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Calibri" w:hAnsi="Calibri"/>
          <w:b/>
          <w:color w:val="1A1A2E"/>
          <w:sz w:val="40"/>
        </w:rPr>
        <w:t>WRASAL CINEMATIC WORK ORDER</w:t>
      </w:r>
    </w:p>
    <w:p>
      <w:pPr>
        <w:jc w:val="center"/>
      </w:pPr>
      <w:r>
        <w:rPr>
          <w:rFonts w:ascii="Calibri" w:hAnsi="Calibri"/>
          <w:i/>
          <w:color w:val="95A5A6"/>
          <w:sz w:val="14"/>
        </w:rPr>
        <w:t>Human Sovereignty  •  Agentic Execution  •  Evidence-Based Verification</w:t>
      </w:r>
    </w:p>
    <w:p>
      <w:pPr>
        <w:spacing w:after="80" w:line="276" w:lineRule="auto"/>
        <w:jc w:val="left"/>
      </w:pPr>
      <w:r>
        <w:rPr>
          <w:rFonts w:ascii="Calibri" w:hAnsi="Calibri"/>
          <w:b w:val="0"/>
          <w:i w:val="0"/>
          <w:color w:val="1A1A2E"/>
          <w:sz w:val="18"/>
        </w:rPr>
      </w:r>
    </w:p>
    <w:tbl>
      <w:tblPr>
        <w:tblStyle w:val="LightShading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A1A2E"/>
          </w:tcPr>
          <w:p>
            <w:pPr>
              <w:spacing w:after="4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WORK ORDER ID</w:t>
            </w:r>
          </w:p>
        </w:tc>
        <w:tc>
          <w:tcPr>
            <w:tcW w:type="dxa" w:w="5184"/>
            <w:shd w:fill="FFFEFE"/>
          </w:tcPr>
          <w:p>
            <w:r>
              <w:rPr>
                <w:rFonts w:ascii="Calibri" w:hAnsi="Calibri"/>
                <w:b w:val="0"/>
                <w:color w:val="1A1A2E"/>
                <w:sz w:val="14"/>
              </w:rPr>
              <w:t>WO-BOTBC-TR001-SHOTLIST-001  (Authority: WO-WRASAL-BOTBC-GM-001)</w:t>
            </w:r>
          </w:p>
        </w:tc>
      </w:tr>
      <w:tr>
        <w:tc>
          <w:tcPr>
            <w:tcW w:type="dxa" w:w="5184"/>
            <w:shd w:fill="1A1A2E"/>
          </w:tcPr>
          <w:p>
            <w:pPr>
              <w:spacing w:after="4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PROJECT</w:t>
            </w:r>
          </w:p>
        </w:tc>
        <w:tc>
          <w:tcPr>
            <w:tcW w:type="dxa" w:w="5184"/>
            <w:shd w:fill="FFFEFE"/>
          </w:tcPr>
          <w:p>
            <w:r>
              <w:rPr>
                <w:rFonts w:ascii="Calibri" w:hAnsi="Calibri"/>
                <w:b w:val="0"/>
                <w:color w:val="1A1A2E"/>
                <w:sz w:val="14"/>
              </w:rPr>
              <w:t>BROTHERS OF THE BLOOD CLOTH — TRAILER 001: THE INVOCATION</w:t>
            </w:r>
          </w:p>
        </w:tc>
      </w:tr>
      <w:tr>
        <w:tc>
          <w:tcPr>
            <w:tcW w:type="dxa" w:w="5184"/>
            <w:shd w:fill="1A1A2E"/>
          </w:tcPr>
          <w:p>
            <w:pPr>
              <w:spacing w:after="4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MISSION CLASS</w:t>
            </w:r>
          </w:p>
        </w:tc>
        <w:tc>
          <w:tcPr>
            <w:tcW w:type="dxa" w:w="5184"/>
            <w:shd w:fill="FFFEFE"/>
          </w:tcPr>
          <w:p>
            <w:r>
              <w:rPr>
                <w:rFonts w:ascii="Calibri" w:hAnsi="Calibri"/>
                <w:b w:val="0"/>
                <w:color w:val="1A1A2E"/>
                <w:sz w:val="14"/>
              </w:rPr>
              <w:t>Autonomous Cinematic Development Engineering</w:t>
            </w:r>
          </w:p>
        </w:tc>
      </w:tr>
      <w:tr>
        <w:tc>
          <w:tcPr>
            <w:tcW w:type="dxa" w:w="5184"/>
            <w:shd w:fill="1A1A2E"/>
          </w:tcPr>
          <w:p>
            <w:pPr>
              <w:spacing w:after="4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VERSION / DATE</w:t>
            </w:r>
          </w:p>
        </w:tc>
        <w:tc>
          <w:tcPr>
            <w:tcW w:type="dxa" w:w="5184"/>
            <w:shd w:fill="FFFEFE"/>
          </w:tcPr>
          <w:p>
            <w:r>
              <w:rPr>
                <w:rFonts w:ascii="Calibri" w:hAnsi="Calibri"/>
                <w:b w:val="0"/>
                <w:color w:val="1A1A2E"/>
                <w:sz w:val="14"/>
              </w:rPr>
              <w:t>1.0  •  2026-10-23</w:t>
            </w:r>
          </w:p>
        </w:tc>
      </w:tr>
      <w:tr>
        <w:tc>
          <w:tcPr>
            <w:tcW w:type="dxa" w:w="5184"/>
            <w:shd w:fill="1A1A2E"/>
          </w:tcPr>
          <w:p>
            <w:pPr>
              <w:spacing w:after="4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STATUS</w:t>
            </w:r>
          </w:p>
        </w:tc>
        <w:tc>
          <w:tcPr>
            <w:tcW w:type="dxa" w:w="5184"/>
            <w:shd w:fill="FFFEFE"/>
          </w:tcPr>
          <w:p>
            <w:r>
              <w:rPr>
                <w:rFonts w:ascii="Calibri" w:hAnsi="Calibri"/>
                <w:b w:val="0"/>
                <w:color w:val="1A1A2E"/>
                <w:sz w:val="14"/>
              </w:rPr>
              <w:t>DRAFT — AWAITING HUMAN MISSION AUTHORIZATION  →  PROPOSED — Pending Acceptance</w:t>
            </w:r>
          </w:p>
        </w:tc>
      </w:tr>
      <w:tr>
        <w:tc>
          <w:tcPr>
            <w:tcW w:type="dxa" w:w="5184"/>
            <w:shd w:fill="1A1A2E"/>
          </w:tcPr>
          <w:p>
            <w:pPr>
              <w:spacing w:after="4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BRANCH / COMMIT</w:t>
            </w:r>
          </w:p>
        </w:tc>
        <w:tc>
          <w:tcPr>
            <w:tcW w:type="dxa" w:w="5184"/>
            <w:shd w:fill="FFFEFE"/>
          </w:tcPr>
          <w:p>
            <w:r>
              <w:rPr>
                <w:rFonts w:ascii="Calibri" w:hAnsi="Calibri"/>
                <w:b w:val="0"/>
                <w:color w:val="1A1A2E"/>
                <w:sz w:val="14"/>
              </w:rPr>
              <w:t>arena/245d64b8-wrasal-control  •  af529b54e14974eec42e1f4dd200f06c61175f15</w:t>
            </w:r>
          </w:p>
        </w:tc>
      </w:tr>
      <w:tr>
        <w:tc>
          <w:tcPr>
            <w:tcW w:type="dxa" w:w="5184"/>
            <w:shd w:fill="1A1A2E"/>
          </w:tcPr>
          <w:p>
            <w:pPr>
              <w:spacing w:after="4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TARGET EVIDENCE</w:t>
            </w:r>
          </w:p>
        </w:tc>
        <w:tc>
          <w:tcPr>
            <w:tcW w:type="dxa" w:w="5184"/>
            <w:shd w:fill="FFFEFE"/>
          </w:tcPr>
          <w:p>
            <w:r>
              <w:rPr>
                <w:rFonts w:ascii="Calibri" w:hAnsi="Calibri"/>
                <w:b w:val="0"/>
                <w:color w:val="1A1A2E"/>
                <w:sz w:val="14"/>
              </w:rPr>
              <w:t>Complete production-planning package (34 ShotSpecs, 105s validated, 6 golden shots, reusable templates)</w:t>
            </w:r>
          </w:p>
        </w:tc>
      </w:tr>
      <w:tr>
        <w:tc>
          <w:tcPr>
            <w:tcW w:type="dxa" w:w="5184"/>
            <w:shd w:fill="1A1A2E"/>
          </w:tcPr>
          <w:p>
            <w:pPr>
              <w:spacing w:after="4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4"/>
              </w:rPr>
              <w:t>HUMAN APPROVAL</w:t>
            </w:r>
          </w:p>
        </w:tc>
        <w:tc>
          <w:tcPr>
            <w:tcW w:type="dxa" w:w="5184"/>
            <w:shd w:fill="FFFEFE"/>
          </w:tcPr>
          <w:p>
            <w:r>
              <w:rPr>
                <w:rFonts w:ascii="Calibri" w:hAnsi="Calibri"/>
                <w:b w:val="0"/>
                <w:color w:val="1A1A2E"/>
                <w:sz w:val="14"/>
              </w:rPr>
              <w:t>Reserved — No canonical promotion without explicit human approval</w:t>
            </w:r>
          </w:p>
        </w:tc>
      </w:tr>
    </w:tbl>
    <w:p/>
    <w:p>
      <w:pPr>
        <w:pStyle w:val="Heading2"/>
        <w:jc w:val="left"/>
        <w:pBdr>
          <w:bottom w:val="single" w:sz="6" w:space="4" w:color="C0392B"/>
        </w:pBdr>
      </w:pPr>
      <w:r>
        <w:rPr>
          <w:rFonts w:ascii="Calibri" w:hAnsi="Calibri"/>
          <w:b/>
          <w:color w:val="C0392B"/>
          <w:sz w:val="22"/>
        </w:rPr>
        <w:t>1. Objective</w:t>
      </w:r>
    </w:p>
    <w:p>
      <w:pPr>
        <w:spacing w:after="80" w:line="276" w:lineRule="auto"/>
        <w:jc w:val="left"/>
      </w:pPr>
      <w:r>
        <w:rPr>
          <w:rFonts w:ascii="Calibri" w:hAnsi="Calibri"/>
          <w:b w:val="0"/>
          <w:i w:val="0"/>
          <w:color w:val="1A1A2E"/>
          <w:sz w:val="18"/>
        </w:rPr>
        <w:t>Transform the existing 105-second trailer concept into a coherent, technically specified, reusable, independently validated production-planning system, ready for human acceptance.</w:t>
      </w:r>
    </w:p>
    <w:p>
      <w:pPr>
        <w:spacing w:after="80" w:line="276" w:lineRule="auto"/>
        <w:jc w:val="left"/>
      </w:pPr>
      <w:r>
        <w:rPr>
          <w:rFonts w:ascii="Calibri" w:hAnsi="Calibri"/>
          <w:b w:val="0"/>
          <w:i w:val="0"/>
          <w:color w:val="1A1A2E"/>
          <w:sz w:val="16"/>
        </w:rPr>
        <w:t>Deliverables: Master cinematic shot list (34 shots), machine-readable shot specifications, cinematic work-order, camera/lens/lighting/blocking matrices, character + garment continuity architecture, sound &amp; editorial cue sheet, storyboard planning package, five reusable template reference artifacts, and independently verified acceptance report.</w:t>
      </w:r>
    </w:p>
    <w:p>
      <w:pPr>
        <w:pStyle w:val="Heading2"/>
        <w:jc w:val="left"/>
        <w:pBdr>
          <w:bottom w:val="single" w:sz="6" w:space="4" w:color="C0392B"/>
        </w:pBdr>
      </w:pPr>
      <w:r>
        <w:rPr>
          <w:rFonts w:ascii="Calibri" w:hAnsi="Calibri"/>
          <w:b/>
          <w:color w:val="C0392B"/>
          <w:sz w:val="22"/>
        </w:rPr>
        <w:t>2. Scope &amp; Required Outputs (A–J)</w:t>
      </w:r>
    </w:p>
    <w:p>
      <w:pPr>
        <w:pStyle w:val="ListBullet"/>
        <w:spacing w:after="80" w:line="276" w:lineRule="auto"/>
        <w:jc w:val="left"/>
      </w:pPr>
      <w:r>
        <w:rPr>
          <w:rFonts w:ascii="Calibri" w:hAnsi="Calibri"/>
          <w:b w:val="0"/>
          <w:i w:val="0"/>
          <w:color w:val="1A1A2E"/>
          <w:sz w:val="16"/>
        </w:rPr>
        <w:t>A. Master cinematic shot list — all 34 shots reconciled to 105s (validated programmatically).</w:t>
      </w:r>
    </w:p>
    <w:p>
      <w:pPr>
        <w:pStyle w:val="ListBullet"/>
        <w:spacing w:after="80" w:line="276" w:lineRule="auto"/>
        <w:jc w:val="left"/>
      </w:pPr>
      <w:r>
        <w:rPr>
          <w:rFonts w:ascii="Calibri" w:hAnsi="Calibri"/>
          <w:b w:val="0"/>
          <w:i w:val="0"/>
          <w:color w:val="1A1A2E"/>
          <w:sz w:val="16"/>
        </w:rPr>
        <w:t>B. Machine-readable shot specifications — YAML with 21 required ShotSpec fields per shot (see §4).</w:t>
      </w:r>
    </w:p>
    <w:p>
      <w:pPr>
        <w:pStyle w:val="ListBullet"/>
        <w:spacing w:after="80" w:line="276" w:lineRule="auto"/>
        <w:jc w:val="left"/>
      </w:pPr>
      <w:r>
        <w:rPr>
          <w:rFonts w:ascii="Calibri" w:hAnsi="Calibri"/>
          <w:b w:val="0"/>
          <w:i w:val="0"/>
          <w:color w:val="1A1A2E"/>
          <w:sz w:val="16"/>
        </w:rPr>
        <w:t>C. Cinematic work-order documentation — this document.</w:t>
      </w:r>
    </w:p>
    <w:p>
      <w:pPr>
        <w:pStyle w:val="ListBullet"/>
        <w:spacing w:after="80" w:line="276" w:lineRule="auto"/>
        <w:jc w:val="left"/>
      </w:pPr>
      <w:r>
        <w:rPr>
          <w:rFonts w:ascii="Calibri" w:hAnsi="Calibri"/>
          <w:b w:val="0"/>
          <w:i w:val="0"/>
          <w:color w:val="1A1A2E"/>
          <w:sz w:val="16"/>
        </w:rPr>
        <w:t>D. Camera, lens, lighting, and blocking matrices — independent technical specs for DP, Gaffer, AD.</w:t>
      </w:r>
    </w:p>
    <w:p>
      <w:pPr>
        <w:pStyle w:val="ListBullet"/>
        <w:spacing w:after="80" w:line="276" w:lineRule="auto"/>
        <w:jc w:val="left"/>
      </w:pPr>
      <w:r>
        <w:rPr>
          <w:rFonts w:ascii="Calibri" w:hAnsi="Calibri"/>
          <w:b w:val="0"/>
          <w:i w:val="0"/>
          <w:color w:val="1A1A2E"/>
          <w:sz w:val="16"/>
        </w:rPr>
        <w:t>E. Character identity &amp; continuity architecture — six independent dimensions per character; no collapse into single drift score.</w:t>
      </w:r>
    </w:p>
    <w:p>
      <w:pPr>
        <w:pStyle w:val="ListBullet"/>
        <w:spacing w:after="80" w:line="276" w:lineRule="auto"/>
        <w:jc w:val="left"/>
      </w:pPr>
      <w:r>
        <w:rPr>
          <w:rFonts w:ascii="Calibri" w:hAnsi="Calibri"/>
          <w:b w:val="0"/>
          <w:i w:val="0"/>
          <w:color w:val="1A1A2E"/>
          <w:sz w:val="16"/>
        </w:rPr>
        <w:t>F. White-shirt material continuity specification — state graph from original garment → blue → white over blue → aged → red → retract (FICTIONAL invention, not folklore).</w:t>
      </w:r>
    </w:p>
    <w:p>
      <w:pPr>
        <w:pStyle w:val="ListBullet"/>
        <w:spacing w:after="80" w:line="276" w:lineRule="auto"/>
        <w:jc w:val="left"/>
      </w:pPr>
      <w:r>
        <w:rPr>
          <w:rFonts w:ascii="Calibri" w:hAnsi="Calibri"/>
          <w:b w:val="0"/>
          <w:i w:val="0"/>
          <w:color w:val="1A1A2E"/>
          <w:sz w:val="16"/>
        </w:rPr>
        <w:t>G. Sound design &amp; editorial cue sheet — 105s timeline, 5.1 stems, fourth-voice stem shared SH007→SH031 (T08), SH020 first supernatural visual (T09).</w:t>
      </w:r>
    </w:p>
    <w:p>
      <w:pPr>
        <w:pStyle w:val="ListBullet"/>
        <w:spacing w:after="80" w:line="276" w:lineRule="auto"/>
        <w:jc w:val="left"/>
      </w:pPr>
      <w:r>
        <w:rPr>
          <w:rFonts w:ascii="Calibri" w:hAnsi="Calibri"/>
          <w:b w:val="0"/>
          <w:i w:val="0"/>
          <w:color w:val="1A1A2E"/>
          <w:sz w:val="16"/>
        </w:rPr>
        <w:t>H. Storyboard planning package — frame requirements per shot, placeholder specifications where imagery pending.</w:t>
      </w:r>
    </w:p>
    <w:p>
      <w:pPr>
        <w:pStyle w:val="ListBullet"/>
        <w:spacing w:after="80" w:line="276" w:lineRule="auto"/>
        <w:jc w:val="left"/>
      </w:pPr>
      <w:r>
        <w:rPr>
          <w:rFonts w:ascii="Calibri" w:hAnsi="Calibri"/>
          <w:b w:val="0"/>
          <w:i w:val="0"/>
          <w:color w:val="1A1A2E"/>
          <w:sz w:val="16"/>
        </w:rPr>
        <w:t>I. Evidence, provenance &amp; uncertainty registers — source authority, assumption status (USER-DIRECTED / PROPOSED / UNVERIFIED / CONTRADICTED / BLOCKED).</w:t>
      </w:r>
    </w:p>
    <w:p>
      <w:pPr>
        <w:pStyle w:val="ListBullet"/>
        <w:spacing w:after="80" w:line="276" w:lineRule="auto"/>
        <w:jc w:val="left"/>
      </w:pPr>
      <w:r>
        <w:rPr>
          <w:rFonts w:ascii="Calibri" w:hAnsi="Calibri"/>
          <w:b w:val="0"/>
          <w:i w:val="0"/>
          <w:color w:val="1A1A2E"/>
          <w:sz w:val="16"/>
        </w:rPr>
        <w:t>J. Independently verified acceptance report — 18 tests (T01–T18) with evidence.</w:t>
      </w:r>
    </w:p>
    <w:p>
      <w:pPr>
        <w:pStyle w:val="Heading2"/>
        <w:jc w:val="left"/>
        <w:pBdr>
          <w:bottom w:val="single" w:sz="6" w:space="4" w:color="C0392B"/>
        </w:pBdr>
      </w:pPr>
      <w:r>
        <w:rPr>
          <w:rFonts w:ascii="Calibri" w:hAnsi="Calibri"/>
          <w:b/>
          <w:color w:val="C0392B"/>
          <w:sz w:val="22"/>
        </w:rPr>
        <w:t>3. Authority &amp; Permission Contract</w:t>
      </w:r>
    </w:p>
    <w:p>
      <w:pPr>
        <w:spacing w:after="80" w:line="276" w:lineRule="auto"/>
        <w:jc w:val="left"/>
      </w:pPr>
      <w:r>
        <w:rPr>
          <w:rFonts w:ascii="Calibri" w:hAnsi="Calibri"/>
          <w:b/>
          <w:i w:val="0"/>
          <w:color w:val="1A1A2E"/>
          <w:sz w:val="16"/>
        </w:rPr>
        <w:t>AUTONOMOUS (within this mission, subject to platform permission prompts):</w:t>
      </w:r>
    </w:p>
    <w:p>
      <w:pPr>
        <w:pStyle w:val="ListBullet"/>
        <w:spacing w:after="80" w:line="276" w:lineRule="auto"/>
        <w:jc w:val="left"/>
      </w:pPr>
      <w:r>
        <w:rPr>
          <w:rFonts w:ascii="Calibri" w:hAnsi="Calibri"/>
          <w:b w:val="0"/>
          <w:i w:val="0"/>
          <w:color w:val="1A1A2E"/>
          <w:sz w:val="14"/>
        </w:rPr>
        <w:t>Read/inspect relevant repositories and existing specifications.</w:t>
      </w:r>
    </w:p>
    <w:p>
      <w:pPr>
        <w:pStyle w:val="ListBullet"/>
        <w:spacing w:after="80" w:line="276" w:lineRule="auto"/>
        <w:jc w:val="left"/>
      </w:pPr>
      <w:r>
        <w:rPr>
          <w:rFonts w:ascii="Calibri" w:hAnsi="Calibri"/>
          <w:b w:val="0"/>
          <w:i w:val="0"/>
          <w:color w:val="1A1A2E"/>
          <w:sz w:val="14"/>
        </w:rPr>
        <w:t>Inspect accessible project records in connected systems (Notion/Linear/Drive — none discovered).</w:t>
      </w:r>
    </w:p>
    <w:p>
      <w:pPr>
        <w:pStyle w:val="ListBullet"/>
        <w:spacing w:after="80" w:line="276" w:lineRule="auto"/>
        <w:jc w:val="left"/>
      </w:pPr>
      <w:r>
        <w:rPr>
          <w:rFonts w:ascii="Calibri" w:hAnsi="Calibri"/>
          <w:b w:val="0"/>
          <w:i w:val="0"/>
          <w:color w:val="1A1A2E"/>
          <w:sz w:val="14"/>
        </w:rPr>
        <w:t>Create/modify mission-scoped draft files under missions/WO-WRASAL-BOTBC-GM-001/.</w:t>
      </w:r>
    </w:p>
    <w:p>
      <w:pPr>
        <w:pStyle w:val="ListBullet"/>
        <w:spacing w:after="80" w:line="276" w:lineRule="auto"/>
        <w:jc w:val="left"/>
      </w:pPr>
      <w:r>
        <w:rPr>
          <w:rFonts w:ascii="Calibri" w:hAnsi="Calibri"/>
          <w:b w:val="0"/>
          <w:i w:val="0"/>
          <w:color w:val="1A1A2E"/>
          <w:sz w:val="14"/>
        </w:rPr>
        <w:t>Implement validation scripts + tests; generate production-planning documents; run local inspections.</w:t>
      </w:r>
    </w:p>
    <w:p>
      <w:pPr>
        <w:pStyle w:val="ListBullet"/>
        <w:spacing w:after="80" w:line="276" w:lineRule="auto"/>
        <w:jc w:val="left"/>
      </w:pPr>
      <w:r>
        <w:rPr>
          <w:rFonts w:ascii="Calibri" w:hAnsi="Calibri"/>
          <w:b w:val="0"/>
          <w:i w:val="0"/>
          <w:color w:val="1A1A2E"/>
          <w:sz w:val="14"/>
        </w:rPr>
        <w:t>Create reproducible reference artifacts; correct defects within approved scope.</w:t>
      </w:r>
    </w:p>
    <w:p>
      <w:pPr>
        <w:pStyle w:val="ListBullet"/>
        <w:spacing w:after="80" w:line="276" w:lineRule="auto"/>
        <w:jc w:val="left"/>
      </w:pPr>
      <w:r>
        <w:rPr>
          <w:rFonts w:ascii="Calibri" w:hAnsi="Calibri"/>
          <w:b w:val="0"/>
          <w:i w:val="0"/>
          <w:color w:val="1A1A2E"/>
          <w:sz w:val="14"/>
        </w:rPr>
        <w:t>Commit/push dedicated branch arena/245d64b8-wrasal-control; open draft PR when authorized.</w:t>
      </w:r>
    </w:p>
    <w:p>
      <w:pPr>
        <w:spacing w:after="80" w:line="276" w:lineRule="auto"/>
        <w:jc w:val="left"/>
      </w:pPr>
      <w:r>
        <w:rPr>
          <w:rFonts w:ascii="Calibri" w:hAnsi="Calibri"/>
          <w:b/>
          <w:i w:val="0"/>
          <w:color w:val="1A1A2E"/>
          <w:sz w:val="16"/>
        </w:rPr>
        <w:t>PROHIBITED without additional explicit authorization (constitutional):</w:t>
      </w:r>
    </w:p>
    <w:p>
      <w:pPr>
        <w:pStyle w:val="ListBullet"/>
        <w:spacing w:after="80" w:line="276" w:lineRule="auto"/>
        <w:jc w:val="left"/>
      </w:pPr>
      <w:r>
        <w:rPr>
          <w:rFonts w:ascii="Calibri" w:hAnsi="Calibri"/>
          <w:b w:val="0"/>
          <w:i w:val="0"/>
          <w:color w:val="1A1A2E"/>
          <w:sz w:val="14"/>
        </w:rPr>
        <w:t>Merging PRs; deploying/production publishing; making repo/doc public.</w:t>
      </w:r>
    </w:p>
    <w:p>
      <w:pPr>
        <w:pStyle w:val="ListBullet"/>
        <w:spacing w:after="80" w:line="276" w:lineRule="auto"/>
        <w:jc w:val="left"/>
      </w:pPr>
      <w:r>
        <w:rPr>
          <w:rFonts w:ascii="Calibri" w:hAnsi="Calibri"/>
          <w:b w:val="0"/>
          <w:i w:val="0"/>
          <w:color w:val="1A1A2E"/>
          <w:sz w:val="14"/>
        </w:rPr>
        <w:t>Promoting draft creative to canonical authority; changing governance rules.</w:t>
      </w:r>
    </w:p>
    <w:p>
      <w:pPr>
        <w:pStyle w:val="ListBullet"/>
        <w:spacing w:after="80" w:line="276" w:lineRule="auto"/>
        <w:jc w:val="left"/>
      </w:pPr>
      <w:r>
        <w:rPr>
          <w:rFonts w:ascii="Calibri" w:hAnsi="Calibri"/>
          <w:b w:val="0"/>
          <w:i w:val="0"/>
          <w:color w:val="1A1A2E"/>
          <w:sz w:val="14"/>
        </w:rPr>
        <w:t>Deleting historical evidence; disclosing private family biography; modifying unrelated projects.</w:t>
      </w:r>
    </w:p>
    <w:p>
      <w:pPr>
        <w:pStyle w:val="ListBullet"/>
        <w:spacing w:after="80" w:line="276" w:lineRule="auto"/>
        <w:jc w:val="left"/>
      </w:pPr>
      <w:r>
        <w:rPr>
          <w:rFonts w:ascii="Calibri" w:hAnsi="Calibri"/>
          <w:b w:val="0"/>
          <w:i w:val="0"/>
          <w:color w:val="1A1A2E"/>
          <w:sz w:val="14"/>
        </w:rPr>
        <w:t>Purchasing services/incurring unapproved costs; generating likenesses of real individuals without authorization.</w:t>
      </w:r>
    </w:p>
    <w:p>
      <w:r>
        <w:rPr>
          <w:rFonts w:ascii="Calibri" w:hAnsi="Calibri"/>
          <w:b/>
          <w:i/>
          <w:color w:val="C0392B"/>
          <w:sz w:val="14"/>
        </w:rPr>
        <w:t>State vocabulary:  EXECUTED → VERIFIED → REVIEWED → HUMAN APPROVED → CANONIZED → RELEASED  (not interchangeable)</w:t>
      </w:r>
    </w:p>
    <w:p>
      <w:pPr>
        <w:pStyle w:val="Heading2"/>
        <w:jc w:val="left"/>
        <w:pBdr>
          <w:bottom w:val="single" w:sz="6" w:space="4" w:color="C0392B"/>
        </w:pBdr>
      </w:pPr>
      <w:r>
        <w:rPr>
          <w:rFonts w:ascii="Calibri" w:hAnsi="Calibri"/>
          <w:b/>
          <w:color w:val="C0392B"/>
          <w:sz w:val="22"/>
        </w:rPr>
        <w:t>4. Baseline Shot Inventory Preservation</w:t>
      </w:r>
    </w:p>
    <w:p>
      <w:pPr>
        <w:spacing w:after="80" w:line="276" w:lineRule="auto"/>
        <w:jc w:val="left"/>
      </w:pPr>
      <w:r>
        <w:rPr>
          <w:rFonts w:ascii="Calibri" w:hAnsi="Calibri"/>
          <w:b w:val="0"/>
          <w:i w:val="0"/>
          <w:color w:val="1A1A2E"/>
          <w:sz w:val="16"/>
        </w:rPr>
        <w:t>All 34 shot identifiers (SH001–SH034) preserved from Mission Directive §5. Original durations total 105s (validated). Revisions permitted only with rationale + original state preserved — no silent overwrite.</w:t>
      </w:r>
    </w:p>
    <w:p>
      <w:pPr>
        <w:pStyle w:val="Heading2"/>
        <w:jc w:val="left"/>
        <w:pBdr>
          <w:bottom w:val="single" w:sz="6" w:space="4" w:color="C0392B"/>
        </w:pBdr>
      </w:pPr>
      <w:r>
        <w:rPr>
          <w:rFonts w:ascii="Calibri" w:hAnsi="Calibri"/>
          <w:b/>
          <w:color w:val="C0392B"/>
          <w:sz w:val="22"/>
        </w:rPr>
        <w:t>5. Acceptance Criteria (Measurable)</w:t>
      </w:r>
    </w:p>
    <w:p>
      <w:pPr>
        <w:pStyle w:val="ListBullet"/>
        <w:spacing w:after="80" w:line="276" w:lineRule="auto"/>
        <w:jc w:val="left"/>
      </w:pPr>
      <w:r>
        <w:rPr>
          <w:rFonts w:ascii="Calibri" w:hAnsi="Calibri"/>
          <w:b w:val="0"/>
          <w:i w:val="0"/>
          <w:color w:val="1A1A2E"/>
          <w:sz w:val="14"/>
        </w:rPr>
        <w:t>All 34 shots accounted for (T01) — validator passes.</w:t>
      </w:r>
    </w:p>
    <w:p>
      <w:pPr>
        <w:pStyle w:val="ListBullet"/>
        <w:spacing w:after="80" w:line="276" w:lineRule="auto"/>
        <w:jc w:val="left"/>
      </w:pPr>
      <w:r>
        <w:rPr>
          <w:rFonts w:ascii="Calibri" w:hAnsi="Calibri"/>
          <w:b w:val="0"/>
          <w:i w:val="0"/>
          <w:color w:val="1A1A2E"/>
          <w:sz w:val="14"/>
        </w:rPr>
        <w:t>Total timeline = 105s (T02) — programmatic sum.</w:t>
      </w:r>
    </w:p>
    <w:p>
      <w:pPr>
        <w:pStyle w:val="ListBullet"/>
        <w:spacing w:after="80" w:line="276" w:lineRule="auto"/>
        <w:jc w:val="left"/>
      </w:pPr>
      <w:r>
        <w:rPr>
          <w:rFonts w:ascii="Calibri" w:hAnsi="Calibri"/>
          <w:b w:val="0"/>
          <w:i w:val="0"/>
          <w:color w:val="1A1A2E"/>
          <w:sz w:val="14"/>
        </w:rPr>
        <w:t>No timecode gaps/overlaps (T03).</w:t>
      </w:r>
    </w:p>
    <w:p>
      <w:pPr>
        <w:pStyle w:val="ListBullet"/>
        <w:spacing w:after="80" w:line="276" w:lineRule="auto"/>
        <w:jc w:val="left"/>
      </w:pPr>
      <w:r>
        <w:rPr>
          <w:rFonts w:ascii="Calibri" w:hAnsi="Calibri"/>
          <w:b w:val="0"/>
          <w:i w:val="0"/>
          <w:color w:val="1A1A2E"/>
          <w:sz w:val="14"/>
        </w:rPr>
        <w:t>Required ShotSpec fields present (T04) — 21 fields per shot.</w:t>
      </w:r>
    </w:p>
    <w:p>
      <w:pPr>
        <w:pStyle w:val="ListBullet"/>
        <w:spacing w:after="80" w:line="276" w:lineRule="auto"/>
        <w:jc w:val="left"/>
      </w:pPr>
      <w:r>
        <w:rPr>
          <w:rFonts w:ascii="Calibri" w:hAnsi="Calibri"/>
          <w:b w:val="0"/>
          <w:i w:val="0"/>
          <w:color w:val="1A1A2E"/>
          <w:sz w:val="14"/>
        </w:rPr>
        <w:t>Referenced characters/props resolve (T05).</w:t>
      </w:r>
    </w:p>
    <w:p>
      <w:pPr>
        <w:pStyle w:val="ListBullet"/>
        <w:spacing w:after="80" w:line="276" w:lineRule="auto"/>
        <w:jc w:val="left"/>
      </w:pPr>
      <w:r>
        <w:rPr>
          <w:rFonts w:ascii="Calibri" w:hAnsi="Calibri"/>
          <w:b w:val="0"/>
          <w:i w:val="0"/>
          <w:color w:val="1A1A2E"/>
          <w:sz w:val="14"/>
        </w:rPr>
        <w:t>White-shirt material progression coherent (T06) — no red before SH019, only SH020 movement.</w:t>
      </w:r>
    </w:p>
    <w:p>
      <w:pPr>
        <w:pStyle w:val="ListBullet"/>
        <w:spacing w:after="80" w:line="276" w:lineRule="auto"/>
        <w:jc w:val="left"/>
      </w:pPr>
      <w:r>
        <w:rPr>
          <w:rFonts w:ascii="Calibri" w:hAnsi="Calibri"/>
          <w:b w:val="0"/>
          <w:i w:val="0"/>
          <w:color w:val="1A1A2E"/>
          <w:sz w:val="14"/>
        </w:rPr>
        <w:t>Genre-state progression preserves audience experience (T07).</w:t>
      </w:r>
    </w:p>
    <w:p>
      <w:pPr>
        <w:pStyle w:val="ListBullet"/>
        <w:spacing w:after="80" w:line="276" w:lineRule="auto"/>
        <w:jc w:val="left"/>
      </w:pPr>
      <w:r>
        <w:rPr>
          <w:rFonts w:ascii="Calibri" w:hAnsi="Calibri"/>
          <w:b w:val="0"/>
          <w:i w:val="0"/>
          <w:color w:val="1A1A2E"/>
          <w:sz w:val="14"/>
        </w:rPr>
        <w:t>SH007 and SH031 reference same intended audio source — same file hash (T08).</w:t>
      </w:r>
    </w:p>
    <w:p>
      <w:pPr>
        <w:pStyle w:val="ListBullet"/>
        <w:spacing w:after="80" w:line="276" w:lineRule="auto"/>
        <w:jc w:val="left"/>
      </w:pPr>
      <w:r>
        <w:rPr>
          <w:rFonts w:ascii="Calibri" w:hAnsi="Calibri"/>
          <w:b w:val="0"/>
          <w:i w:val="0"/>
          <w:color w:val="1A1A2E"/>
          <w:sz w:val="14"/>
        </w:rPr>
        <w:t>SH020 precedes explicit supernatural attribution (T09).</w:t>
      </w:r>
    </w:p>
    <w:p>
      <w:pPr>
        <w:pStyle w:val="ListBullet"/>
        <w:spacing w:after="80" w:line="276" w:lineRule="auto"/>
        <w:jc w:val="left"/>
      </w:pPr>
      <w:r>
        <w:rPr>
          <w:rFonts w:ascii="Calibri" w:hAnsi="Calibri"/>
          <w:b w:val="0"/>
          <w:i w:val="0"/>
          <w:color w:val="1A1A2E"/>
          <w:sz w:val="14"/>
        </w:rPr>
        <w:t>Cultural claims distinguished from fiction (T10).</w:t>
      </w:r>
    </w:p>
    <w:p>
      <w:pPr>
        <w:pStyle w:val="ListBullet"/>
        <w:spacing w:after="80" w:line="276" w:lineRule="auto"/>
        <w:jc w:val="left"/>
      </w:pPr>
      <w:r>
        <w:rPr>
          <w:rFonts w:ascii="Calibri" w:hAnsi="Calibri"/>
          <w:b w:val="0"/>
          <w:i w:val="0"/>
          <w:color w:val="1A1A2E"/>
          <w:sz w:val="14"/>
        </w:rPr>
        <w:t>No real-family biography promoted to canon (T11).</w:t>
      </w:r>
    </w:p>
    <w:p>
      <w:pPr>
        <w:pStyle w:val="ListBullet"/>
        <w:spacing w:after="80" w:line="276" w:lineRule="auto"/>
        <w:jc w:val="left"/>
      </w:pPr>
      <w:r>
        <w:rPr>
          <w:rFonts w:ascii="Calibri" w:hAnsi="Calibri"/>
          <w:b w:val="0"/>
          <w:i w:val="0"/>
          <w:color w:val="1A1A2E"/>
          <w:sz w:val="14"/>
        </w:rPr>
        <w:t>Identity/biological/ etc. dimensions independently evaluated (T12).</w:t>
      </w:r>
    </w:p>
    <w:p>
      <w:pPr>
        <w:pStyle w:val="ListBullet"/>
        <w:spacing w:after="80" w:line="276" w:lineRule="auto"/>
        <w:jc w:val="left"/>
      </w:pPr>
      <w:r>
        <w:rPr>
          <w:rFonts w:ascii="Calibri" w:hAnsi="Calibri"/>
          <w:b w:val="0"/>
          <w:i w:val="0"/>
          <w:color w:val="1A1A2E"/>
          <w:sz w:val="14"/>
        </w:rPr>
        <w:t>Workbooks/documents open and contain expected structure (T13).</w:t>
      </w:r>
    </w:p>
    <w:p>
      <w:pPr>
        <w:pStyle w:val="ListBullet"/>
        <w:spacing w:after="80" w:line="276" w:lineRule="auto"/>
        <w:jc w:val="left"/>
      </w:pPr>
      <w:r>
        <w:rPr>
          <w:rFonts w:ascii="Calibri" w:hAnsi="Calibri"/>
          <w:b w:val="0"/>
          <w:i w:val="0"/>
          <w:color w:val="1A1A2E"/>
          <w:sz w:val="14"/>
        </w:rPr>
        <w:t>Template references contain reusable fields (T14).</w:t>
      </w:r>
    </w:p>
    <w:p>
      <w:pPr>
        <w:pStyle w:val="ListBullet"/>
        <w:spacing w:after="80" w:line="276" w:lineRule="auto"/>
        <w:jc w:val="left"/>
      </w:pPr>
      <w:r>
        <w:rPr>
          <w:rFonts w:ascii="Calibri" w:hAnsi="Calibri"/>
          <w:b w:val="0"/>
          <w:i w:val="0"/>
          <w:color w:val="1A1A2E"/>
          <w:sz w:val="14"/>
        </w:rPr>
        <w:t>No unauthorized remote modification/publication (T15).</w:t>
      </w:r>
    </w:p>
    <w:p>
      <w:pPr>
        <w:pStyle w:val="ListBullet"/>
        <w:spacing w:after="80" w:line="276" w:lineRule="auto"/>
        <w:jc w:val="left"/>
      </w:pPr>
      <w:r>
        <w:rPr>
          <w:rFonts w:ascii="Calibri" w:hAnsi="Calibri"/>
          <w:b w:val="0"/>
          <w:i w:val="0"/>
          <w:color w:val="1A1A2E"/>
          <w:sz w:val="14"/>
        </w:rPr>
        <w:t>Critical unresolved issues reported (T16).</w:t>
      </w:r>
    </w:p>
    <w:p>
      <w:pPr>
        <w:pStyle w:val="ListBullet"/>
        <w:spacing w:after="80" w:line="276" w:lineRule="auto"/>
        <w:jc w:val="left"/>
      </w:pPr>
      <w:r>
        <w:rPr>
          <w:rFonts w:ascii="Calibri" w:hAnsi="Calibri"/>
          <w:b w:val="0"/>
          <w:i w:val="0"/>
          <w:color w:val="1A1A2E"/>
          <w:sz w:val="14"/>
        </w:rPr>
        <w:t>Implementation claims reference actual evidence (T17).</w:t>
      </w:r>
    </w:p>
    <w:p>
      <w:pPr>
        <w:pStyle w:val="ListBullet"/>
        <w:spacing w:after="80" w:line="276" w:lineRule="auto"/>
        <w:jc w:val="left"/>
      </w:pPr>
      <w:r>
        <w:rPr>
          <w:rFonts w:ascii="Calibri" w:hAnsi="Calibri"/>
          <w:b w:val="0"/>
          <w:i w:val="0"/>
          <w:color w:val="1A1A2E"/>
          <w:sz w:val="14"/>
        </w:rPr>
        <w:t>Human approval remains pending (T18).</w:t>
      </w:r>
    </w:p>
    <w:p>
      <w:pPr>
        <w:pStyle w:val="Heading2"/>
        <w:jc w:val="left"/>
        <w:pBdr>
          <w:bottom w:val="single" w:sz="6" w:space="4" w:color="C0392B"/>
        </w:pBdr>
      </w:pPr>
      <w:r>
        <w:rPr>
          <w:rFonts w:ascii="Calibri" w:hAnsi="Calibri"/>
          <w:b/>
          <w:color w:val="C0392B"/>
          <w:sz w:val="22"/>
        </w:rPr>
        <w:t>6. Execution Record &amp; Evidence Pointers</w:t>
      </w:r>
    </w:p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A1A2E"/>
          </w:tcPr>
          <w:p>
            <w:pPr>
              <w:spacing w:after="4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Evidence Type</w:t>
            </w:r>
          </w:p>
        </w:tc>
        <w:tc>
          <w:tcPr>
            <w:tcW w:type="dxa" w:w="5184"/>
            <w:shd w:fill="1A1A2E"/>
          </w:tcPr>
          <w:p>
            <w:pPr>
              <w:spacing w:after="4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Location</w:t>
            </w:r>
          </w:p>
        </w:tc>
      </w:tr>
      <w:tr>
        <w:tc>
          <w:tcPr>
            <w:tcW w:type="dxa" w:w="5184"/>
          </w:tcPr>
          <w:p>
            <w:pPr>
              <w:spacing w:after="40"/>
              <w:jc w:val="left"/>
            </w:pPr>
            <w:r>
              <w:rPr>
                <w:rFonts w:ascii="Calibri" w:hAnsi="Calibri"/>
                <w:b w:val="0"/>
                <w:i w:val="0"/>
                <w:color w:val="1A1A2E"/>
                <w:sz w:val="14"/>
              </w:rPr>
              <w:t>Reconnaissance Report</w:t>
            </w:r>
          </w:p>
        </w:tc>
        <w:tc>
          <w:tcPr>
            <w:tcW w:type="dxa" w:w="5184"/>
          </w:tcPr>
          <w:p>
            <w:pPr>
              <w:spacing w:after="40"/>
              <w:jc w:val="left"/>
            </w:pPr>
            <w:r>
              <w:rPr>
                <w:rFonts w:ascii="Calibri" w:hAnsi="Calibri"/>
                <w:b w:val="0"/>
                <w:i w:val="0"/>
                <w:color w:val="1A5276"/>
                <w:sz w:val="14"/>
              </w:rPr>
              <w:t>00-reconnaissance/reconnaissance-report.md</w:t>
            </w:r>
          </w:p>
        </w:tc>
      </w:tr>
      <w:tr>
        <w:tc>
          <w:tcPr>
            <w:tcW w:type="dxa" w:w="5184"/>
          </w:tcPr>
          <w:p>
            <w:pPr>
              <w:spacing w:after="40"/>
              <w:jc w:val="left"/>
            </w:pPr>
            <w:r>
              <w:rPr>
                <w:rFonts w:ascii="Calibri" w:hAnsi="Calibri"/>
                <w:b w:val="0"/>
                <w:i w:val="0"/>
                <w:color w:val="1A1A2E"/>
                <w:sz w:val="14"/>
              </w:rPr>
              <w:t>Source Authority Register</w:t>
            </w:r>
          </w:p>
        </w:tc>
        <w:tc>
          <w:tcPr>
            <w:tcW w:type="dxa" w:w="5184"/>
          </w:tcPr>
          <w:p>
            <w:pPr>
              <w:spacing w:after="40"/>
              <w:jc w:val="left"/>
            </w:pPr>
            <w:r>
              <w:rPr>
                <w:rFonts w:ascii="Calibri" w:hAnsi="Calibri"/>
                <w:b w:val="0"/>
                <w:i w:val="0"/>
                <w:color w:val="1A5276"/>
                <w:sz w:val="14"/>
              </w:rPr>
              <w:t>01-reconciliation/source-authority-register.md</w:t>
            </w:r>
          </w:p>
        </w:tc>
      </w:tr>
      <w:tr>
        <w:tc>
          <w:tcPr>
            <w:tcW w:type="dxa" w:w="5184"/>
          </w:tcPr>
          <w:p>
            <w:pPr>
              <w:spacing w:after="40"/>
              <w:jc w:val="left"/>
            </w:pPr>
            <w:r>
              <w:rPr>
                <w:rFonts w:ascii="Calibri" w:hAnsi="Calibri"/>
                <w:b w:val="0"/>
                <w:i w:val="0"/>
                <w:color w:val="1A1A2E"/>
                <w:sz w:val="14"/>
              </w:rPr>
              <w:t>Reconciled Creative Brief</w:t>
            </w:r>
          </w:p>
        </w:tc>
        <w:tc>
          <w:tcPr>
            <w:tcW w:type="dxa" w:w="5184"/>
          </w:tcPr>
          <w:p>
            <w:pPr>
              <w:spacing w:after="40"/>
              <w:jc w:val="left"/>
            </w:pPr>
            <w:r>
              <w:rPr>
                <w:rFonts w:ascii="Calibri" w:hAnsi="Calibri"/>
                <w:b w:val="0"/>
                <w:i w:val="0"/>
                <w:color w:val="1A5276"/>
                <w:sz w:val="14"/>
              </w:rPr>
              <w:t>01-reconciliation/reconciled-creative-brief.md</w:t>
            </w:r>
          </w:p>
        </w:tc>
      </w:tr>
      <w:tr>
        <w:tc>
          <w:tcPr>
            <w:tcW w:type="dxa" w:w="5184"/>
          </w:tcPr>
          <w:p>
            <w:pPr>
              <w:spacing w:after="40"/>
              <w:jc w:val="left"/>
            </w:pPr>
            <w:r>
              <w:rPr>
                <w:rFonts w:ascii="Calibri" w:hAnsi="Calibri"/>
                <w:b w:val="0"/>
                <w:i w:val="0"/>
                <w:color w:val="1A1A2E"/>
                <w:sz w:val="14"/>
              </w:rPr>
              <w:t>Six Golden ShotSpecs</w:t>
            </w:r>
          </w:p>
        </w:tc>
        <w:tc>
          <w:tcPr>
            <w:tcW w:type="dxa" w:w="5184"/>
          </w:tcPr>
          <w:p>
            <w:pPr>
              <w:spacing w:after="40"/>
              <w:jc w:val="left"/>
            </w:pPr>
            <w:r>
              <w:rPr>
                <w:rFonts w:ascii="Calibri" w:hAnsi="Calibri"/>
                <w:b w:val="0"/>
                <w:i w:val="0"/>
                <w:color w:val="1A5276"/>
                <w:sz w:val="14"/>
              </w:rPr>
              <w:t>02-golden-shots/SH001, SH007, SH014, SH020, SH030, SH031</w:t>
            </w:r>
          </w:p>
        </w:tc>
      </w:tr>
      <w:tr>
        <w:tc>
          <w:tcPr>
            <w:tcW w:type="dxa" w:w="5184"/>
          </w:tcPr>
          <w:p>
            <w:pPr>
              <w:spacing w:after="40"/>
              <w:jc w:val="left"/>
            </w:pPr>
            <w:r>
              <w:rPr>
                <w:rFonts w:ascii="Calibri" w:hAnsi="Calibri"/>
                <w:b w:val="0"/>
                <w:i w:val="0"/>
                <w:color w:val="1A1A2E"/>
                <w:sz w:val="14"/>
              </w:rPr>
              <w:t>Master Shot List (machine-readable)</w:t>
            </w:r>
          </w:p>
        </w:tc>
        <w:tc>
          <w:tcPr>
            <w:tcW w:type="dxa" w:w="5184"/>
          </w:tcPr>
          <w:p>
            <w:pPr>
              <w:spacing w:after="40"/>
              <w:jc w:val="left"/>
            </w:pPr>
            <w:r>
              <w:rPr>
                <w:rFonts w:ascii="Calibri" w:hAnsi="Calibri"/>
                <w:b w:val="0"/>
                <w:i w:val="0"/>
                <w:color w:val="1A5276"/>
                <w:sz w:val="14"/>
              </w:rPr>
              <w:t>03-full-shotlist/master-shot-list.yaml</w:t>
            </w:r>
          </w:p>
        </w:tc>
      </w:tr>
      <w:tr>
        <w:tc>
          <w:tcPr>
            <w:tcW w:type="dxa" w:w="5184"/>
          </w:tcPr>
          <w:p>
            <w:pPr>
              <w:spacing w:after="40"/>
              <w:jc w:val="left"/>
            </w:pPr>
            <w:r>
              <w:rPr>
                <w:rFonts w:ascii="Calibri" w:hAnsi="Calibri"/>
                <w:b w:val="0"/>
                <w:i w:val="0"/>
                <w:color w:val="1A1A2E"/>
                <w:sz w:val="14"/>
              </w:rPr>
              <w:t>Master Shot List (workbook)</w:t>
            </w:r>
          </w:p>
        </w:tc>
        <w:tc>
          <w:tcPr>
            <w:tcW w:type="dxa" w:w="5184"/>
          </w:tcPr>
          <w:p>
            <w:pPr>
              <w:spacing w:after="40"/>
              <w:jc w:val="left"/>
            </w:pPr>
            <w:r>
              <w:rPr>
                <w:rFonts w:ascii="Calibri" w:hAnsi="Calibri"/>
                <w:b w:val="0"/>
                <w:i w:val="0"/>
                <w:color w:val="1A5276"/>
                <w:sz w:val="14"/>
              </w:rPr>
              <w:t>03-full-shotlist/WRASAL-Cinematic-Master-Shot-List.xlsx</w:t>
            </w:r>
          </w:p>
        </w:tc>
      </w:tr>
      <w:tr>
        <w:tc>
          <w:tcPr>
            <w:tcW w:type="dxa" w:w="5184"/>
          </w:tcPr>
          <w:p>
            <w:pPr>
              <w:spacing w:after="40"/>
              <w:jc w:val="left"/>
            </w:pPr>
            <w:r>
              <w:rPr>
                <w:rFonts w:ascii="Calibri" w:hAnsi="Calibri"/>
                <w:b w:val="0"/>
                <w:i w:val="0"/>
                <w:color w:val="1A1A2E"/>
                <w:sz w:val="14"/>
              </w:rPr>
              <w:t>Continuity: Characters</w:t>
            </w:r>
          </w:p>
        </w:tc>
        <w:tc>
          <w:tcPr>
            <w:tcW w:type="dxa" w:w="5184"/>
          </w:tcPr>
          <w:p>
            <w:pPr>
              <w:spacing w:after="40"/>
              <w:jc w:val="left"/>
            </w:pPr>
            <w:r>
              <w:rPr>
                <w:rFonts w:ascii="Calibri" w:hAnsi="Calibri"/>
                <w:b w:val="0"/>
                <w:i w:val="0"/>
                <w:color w:val="1A5276"/>
                <w:sz w:val="14"/>
              </w:rPr>
              <w:t>04-continuity/character-continuity-matrix.md</w:t>
            </w:r>
          </w:p>
        </w:tc>
      </w:tr>
      <w:tr>
        <w:tc>
          <w:tcPr>
            <w:tcW w:type="dxa" w:w="5184"/>
          </w:tcPr>
          <w:p>
            <w:pPr>
              <w:spacing w:after="40"/>
              <w:jc w:val="left"/>
            </w:pPr>
            <w:r>
              <w:rPr>
                <w:rFonts w:ascii="Calibri" w:hAnsi="Calibri"/>
                <w:b w:val="0"/>
                <w:i w:val="0"/>
                <w:color w:val="1A1A2E"/>
                <w:sz w:val="14"/>
              </w:rPr>
              <w:t>Continuity: White Shirt Graph</w:t>
            </w:r>
          </w:p>
        </w:tc>
        <w:tc>
          <w:tcPr>
            <w:tcW w:type="dxa" w:w="5184"/>
          </w:tcPr>
          <w:p>
            <w:pPr>
              <w:spacing w:after="40"/>
              <w:jc w:val="left"/>
            </w:pPr>
            <w:r>
              <w:rPr>
                <w:rFonts w:ascii="Calibri" w:hAnsi="Calibri"/>
                <w:b w:val="0"/>
                <w:i w:val="0"/>
                <w:color w:val="1A5276"/>
                <w:sz w:val="14"/>
              </w:rPr>
              <w:t>04-continuity/white-shirt-material-graph.md</w:t>
            </w:r>
          </w:p>
        </w:tc>
      </w:tr>
      <w:tr>
        <w:tc>
          <w:tcPr>
            <w:tcW w:type="dxa" w:w="5184"/>
          </w:tcPr>
          <w:p>
            <w:pPr>
              <w:spacing w:after="40"/>
              <w:jc w:val="left"/>
            </w:pPr>
            <w:r>
              <w:rPr>
                <w:rFonts w:ascii="Calibri" w:hAnsi="Calibri"/>
                <w:b w:val="0"/>
                <w:i w:val="0"/>
                <w:color w:val="1A1A2E"/>
                <w:sz w:val="14"/>
              </w:rPr>
              <w:t>Continuity: Env/Temporal/Camera</w:t>
            </w:r>
          </w:p>
        </w:tc>
        <w:tc>
          <w:tcPr>
            <w:tcW w:type="dxa" w:w="5184"/>
          </w:tcPr>
          <w:p>
            <w:pPr>
              <w:spacing w:after="40"/>
              <w:jc w:val="left"/>
            </w:pPr>
            <w:r>
              <w:rPr>
                <w:rFonts w:ascii="Calibri" w:hAnsi="Calibri"/>
                <w:b w:val="0"/>
                <w:i w:val="0"/>
                <w:color w:val="1A5276"/>
                <w:sz w:val="14"/>
              </w:rPr>
              <w:t>04-continuity/environment-temporal-register.md</w:t>
            </w:r>
          </w:p>
        </w:tc>
      </w:tr>
      <w:tr>
        <w:tc>
          <w:tcPr>
            <w:tcW w:type="dxa" w:w="5184"/>
          </w:tcPr>
          <w:p>
            <w:pPr>
              <w:spacing w:after="40"/>
              <w:jc w:val="left"/>
            </w:pPr>
            <w:r>
              <w:rPr>
                <w:rFonts w:ascii="Calibri" w:hAnsi="Calibri"/>
                <w:b w:val="0"/>
                <w:i w:val="0"/>
                <w:color w:val="1A1A2E"/>
                <w:sz w:val="14"/>
              </w:rPr>
              <w:t>Camera &amp; Coverage</w:t>
            </w:r>
          </w:p>
        </w:tc>
        <w:tc>
          <w:tcPr>
            <w:tcW w:type="dxa" w:w="5184"/>
          </w:tcPr>
          <w:p>
            <w:pPr>
              <w:spacing w:after="40"/>
              <w:jc w:val="left"/>
            </w:pPr>
            <w:r>
              <w:rPr>
                <w:rFonts w:ascii="Calibri" w:hAnsi="Calibri"/>
                <w:b w:val="0"/>
                <w:i w:val="0"/>
                <w:color w:val="1A5276"/>
                <w:sz w:val="14"/>
              </w:rPr>
              <w:t>05-production-artifacts/camera-coverage-spec.md</w:t>
            </w:r>
          </w:p>
        </w:tc>
      </w:tr>
      <w:tr>
        <w:tc>
          <w:tcPr>
            <w:tcW w:type="dxa" w:w="5184"/>
          </w:tcPr>
          <w:p>
            <w:pPr>
              <w:spacing w:after="40"/>
              <w:jc w:val="left"/>
            </w:pPr>
            <w:r>
              <w:rPr>
                <w:rFonts w:ascii="Calibri" w:hAnsi="Calibri"/>
                <w:b w:val="0"/>
                <w:i w:val="0"/>
                <w:color w:val="1A1A2E"/>
                <w:sz w:val="14"/>
              </w:rPr>
              <w:t>Lighting Matrix</w:t>
            </w:r>
          </w:p>
        </w:tc>
        <w:tc>
          <w:tcPr>
            <w:tcW w:type="dxa" w:w="5184"/>
          </w:tcPr>
          <w:p>
            <w:pPr>
              <w:spacing w:after="40"/>
              <w:jc w:val="left"/>
            </w:pPr>
            <w:r>
              <w:rPr>
                <w:rFonts w:ascii="Calibri" w:hAnsi="Calibri"/>
                <w:b w:val="0"/>
                <w:i w:val="0"/>
                <w:color w:val="1A5276"/>
                <w:sz w:val="14"/>
              </w:rPr>
              <w:t>05-production-artifacts/lighting-matrix.md</w:t>
            </w:r>
          </w:p>
        </w:tc>
      </w:tr>
      <w:tr>
        <w:tc>
          <w:tcPr>
            <w:tcW w:type="dxa" w:w="5184"/>
          </w:tcPr>
          <w:p>
            <w:pPr>
              <w:spacing w:after="40"/>
              <w:jc w:val="left"/>
            </w:pPr>
            <w:r>
              <w:rPr>
                <w:rFonts w:ascii="Calibri" w:hAnsi="Calibri"/>
                <w:b w:val="0"/>
                <w:i w:val="0"/>
                <w:color w:val="1A1A2E"/>
                <w:sz w:val="14"/>
              </w:rPr>
              <w:t>Blocking Matrix</w:t>
            </w:r>
          </w:p>
        </w:tc>
        <w:tc>
          <w:tcPr>
            <w:tcW w:type="dxa" w:w="5184"/>
          </w:tcPr>
          <w:p>
            <w:pPr>
              <w:spacing w:after="40"/>
              <w:jc w:val="left"/>
            </w:pPr>
            <w:r>
              <w:rPr>
                <w:rFonts w:ascii="Calibri" w:hAnsi="Calibri"/>
                <w:b w:val="0"/>
                <w:i w:val="0"/>
                <w:color w:val="1A5276"/>
                <w:sz w:val="14"/>
              </w:rPr>
              <w:t>05-production-artifacts/blocking-matrix.md</w:t>
            </w:r>
          </w:p>
        </w:tc>
      </w:tr>
      <w:tr>
        <w:tc>
          <w:tcPr>
            <w:tcW w:type="dxa" w:w="5184"/>
          </w:tcPr>
          <w:p>
            <w:pPr>
              <w:spacing w:after="40"/>
              <w:jc w:val="left"/>
            </w:pPr>
            <w:r>
              <w:rPr>
                <w:rFonts w:ascii="Calibri" w:hAnsi="Calibri"/>
                <w:b w:val="0"/>
                <w:i w:val="0"/>
                <w:color w:val="1A1A2E"/>
                <w:sz w:val="14"/>
              </w:rPr>
              <w:t>Prop Matrix</w:t>
            </w:r>
          </w:p>
        </w:tc>
        <w:tc>
          <w:tcPr>
            <w:tcW w:type="dxa" w:w="5184"/>
          </w:tcPr>
          <w:p>
            <w:pPr>
              <w:spacing w:after="40"/>
              <w:jc w:val="left"/>
            </w:pPr>
            <w:r>
              <w:rPr>
                <w:rFonts w:ascii="Calibri" w:hAnsi="Calibri"/>
                <w:b w:val="0"/>
                <w:i w:val="0"/>
                <w:color w:val="1A5276"/>
                <w:sz w:val="14"/>
              </w:rPr>
              <w:t>05-production-artifacts/prop-continuity-matrix.md</w:t>
            </w:r>
          </w:p>
        </w:tc>
      </w:tr>
      <w:tr>
        <w:tc>
          <w:tcPr>
            <w:tcW w:type="dxa" w:w="5184"/>
          </w:tcPr>
          <w:p>
            <w:pPr>
              <w:spacing w:after="40"/>
              <w:jc w:val="left"/>
            </w:pPr>
            <w:r>
              <w:rPr>
                <w:rFonts w:ascii="Calibri" w:hAnsi="Calibri"/>
                <w:b w:val="0"/>
                <w:i w:val="0"/>
                <w:color w:val="1A1A2E"/>
                <w:sz w:val="14"/>
              </w:rPr>
              <w:t>Editorial &amp; Sound Cue Sheet</w:t>
            </w:r>
          </w:p>
        </w:tc>
        <w:tc>
          <w:tcPr>
            <w:tcW w:type="dxa" w:w="5184"/>
          </w:tcPr>
          <w:p>
            <w:pPr>
              <w:spacing w:after="40"/>
              <w:jc w:val="left"/>
            </w:pPr>
            <w:r>
              <w:rPr>
                <w:rFonts w:ascii="Calibri" w:hAnsi="Calibri"/>
                <w:b w:val="0"/>
                <w:i w:val="0"/>
                <w:color w:val="1A5276"/>
                <w:sz w:val="14"/>
              </w:rPr>
              <w:t>05-production-artifacts/editorial-sound-cue-sheet.md</w:t>
            </w:r>
          </w:p>
        </w:tc>
      </w:tr>
      <w:tr>
        <w:tc>
          <w:tcPr>
            <w:tcW w:type="dxa" w:w="5184"/>
          </w:tcPr>
          <w:p>
            <w:pPr>
              <w:spacing w:after="40"/>
              <w:jc w:val="left"/>
            </w:pPr>
            <w:r>
              <w:rPr>
                <w:rFonts w:ascii="Calibri" w:hAnsi="Calibri"/>
                <w:b w:val="0"/>
                <w:i w:val="0"/>
                <w:color w:val="1A1A2E"/>
                <w:sz w:val="14"/>
              </w:rPr>
              <w:t>Storyboard Package</w:t>
            </w:r>
          </w:p>
        </w:tc>
        <w:tc>
          <w:tcPr>
            <w:tcW w:type="dxa" w:w="5184"/>
          </w:tcPr>
          <w:p>
            <w:pPr>
              <w:spacing w:after="40"/>
              <w:jc w:val="left"/>
            </w:pPr>
            <w:r>
              <w:rPr>
                <w:rFonts w:ascii="Calibri" w:hAnsi="Calibri"/>
                <w:b w:val="0"/>
                <w:i w:val="0"/>
                <w:color w:val="1A5276"/>
                <w:sz w:val="14"/>
              </w:rPr>
              <w:t>05-production-artifacts/WRASAL-Cinematic-Storyboard.pptx</w:t>
            </w:r>
          </w:p>
        </w:tc>
      </w:tr>
      <w:tr>
        <w:tc>
          <w:tcPr>
            <w:tcW w:type="dxa" w:w="5184"/>
          </w:tcPr>
          <w:p>
            <w:pPr>
              <w:spacing w:after="40"/>
              <w:jc w:val="left"/>
            </w:pPr>
            <w:r>
              <w:rPr>
                <w:rFonts w:ascii="Calibri" w:hAnsi="Calibri"/>
                <w:b w:val="0"/>
                <w:i w:val="0"/>
                <w:color w:val="1A1A2E"/>
                <w:sz w:val="14"/>
              </w:rPr>
              <w:t>Visual DNA</w:t>
            </w:r>
          </w:p>
        </w:tc>
        <w:tc>
          <w:tcPr>
            <w:tcW w:type="dxa" w:w="5184"/>
          </w:tcPr>
          <w:p>
            <w:pPr>
              <w:spacing w:after="40"/>
              <w:jc w:val="left"/>
            </w:pPr>
            <w:r>
              <w:rPr>
                <w:rFonts w:ascii="Calibri" w:hAnsi="Calibri"/>
                <w:b w:val="0"/>
                <w:i w:val="0"/>
                <w:color w:val="1A5276"/>
                <w:sz w:val="14"/>
              </w:rPr>
              <w:t>06-templates/WRASAL-Visual-DNA-and-Continuity-Sheet.docx</w:t>
            </w:r>
          </w:p>
        </w:tc>
      </w:tr>
      <w:tr>
        <w:tc>
          <w:tcPr>
            <w:tcW w:type="dxa" w:w="5184"/>
          </w:tcPr>
          <w:p>
            <w:pPr>
              <w:spacing w:after="40"/>
              <w:jc w:val="left"/>
            </w:pPr>
            <w:r>
              <w:rPr>
                <w:rFonts w:ascii="Calibri" w:hAnsi="Calibri"/>
                <w:b w:val="0"/>
                <w:i w:val="0"/>
                <w:color w:val="1A1A2E"/>
                <w:sz w:val="14"/>
              </w:rPr>
              <w:t>Cinematic Treatment</w:t>
            </w:r>
          </w:p>
        </w:tc>
        <w:tc>
          <w:tcPr>
            <w:tcW w:type="dxa" w:w="5184"/>
          </w:tcPr>
          <w:p>
            <w:pPr>
              <w:spacing w:after="40"/>
              <w:jc w:val="left"/>
            </w:pPr>
            <w:r>
              <w:rPr>
                <w:rFonts w:ascii="Calibri" w:hAnsi="Calibri"/>
                <w:b w:val="0"/>
                <w:i w:val="0"/>
                <w:color w:val="1A5276"/>
                <w:sz w:val="14"/>
              </w:rPr>
              <w:t>06-templates/WRASAL-Cinematic-Treatment.docx</w:t>
            </w:r>
          </w:p>
        </w:tc>
      </w:tr>
      <w:tr>
        <w:tc>
          <w:tcPr>
            <w:tcW w:type="dxa" w:w="5184"/>
          </w:tcPr>
          <w:p>
            <w:pPr>
              <w:spacing w:after="40"/>
              <w:jc w:val="left"/>
            </w:pPr>
            <w:r>
              <w:rPr>
                <w:rFonts w:ascii="Calibri" w:hAnsi="Calibri"/>
                <w:b w:val="0"/>
                <w:i w:val="0"/>
                <w:color w:val="1A1A2E"/>
                <w:sz w:val="14"/>
              </w:rPr>
              <w:t>Validation Tests</w:t>
            </w:r>
          </w:p>
        </w:tc>
        <w:tc>
          <w:tcPr>
            <w:tcW w:type="dxa" w:w="5184"/>
          </w:tcPr>
          <w:p>
            <w:pPr>
              <w:spacing w:after="40"/>
              <w:jc w:val="left"/>
            </w:pPr>
            <w:r>
              <w:rPr>
                <w:rFonts w:ascii="Calibri" w:hAnsi="Calibri"/>
                <w:b w:val="0"/>
                <w:i w:val="0"/>
                <w:color w:val="1A5276"/>
                <w:sz w:val="14"/>
              </w:rPr>
              <w:t>07-verification/ + validate-shotlist.mjs</w:t>
            </w:r>
          </w:p>
        </w:tc>
      </w:tr>
      <w:tr>
        <w:tc>
          <w:tcPr>
            <w:tcW w:type="dxa" w:w="5184"/>
          </w:tcPr>
          <w:p>
            <w:pPr>
              <w:spacing w:after="40"/>
              <w:jc w:val="left"/>
            </w:pPr>
            <w:r>
              <w:rPr>
                <w:rFonts w:ascii="Calibri" w:hAnsi="Calibri"/>
                <w:b w:val="0"/>
                <w:i w:val="0"/>
                <w:color w:val="1A1A2E"/>
                <w:sz w:val="14"/>
              </w:rPr>
              <w:t>Final Mission Report</w:t>
            </w:r>
          </w:p>
        </w:tc>
        <w:tc>
          <w:tcPr>
            <w:tcW w:type="dxa" w:w="5184"/>
          </w:tcPr>
          <w:p>
            <w:pPr>
              <w:spacing w:after="40"/>
              <w:jc w:val="left"/>
            </w:pPr>
            <w:r>
              <w:rPr>
                <w:rFonts w:ascii="Calibri" w:hAnsi="Calibri"/>
                <w:b w:val="0"/>
                <w:i w:val="0"/>
                <w:color w:val="1A5276"/>
                <w:sz w:val="14"/>
              </w:rPr>
              <w:t>FINAL-MISSION-REPORT.md (mission root)</w:t>
            </w:r>
          </w:p>
        </w:tc>
      </w:tr>
    </w:tbl>
    <w:p>
      <w:pPr>
        <w:pStyle w:val="Heading2"/>
        <w:jc w:val="left"/>
        <w:pBdr>
          <w:bottom w:val="single" w:sz="6" w:space="4" w:color="C0392B"/>
        </w:pBdr>
      </w:pPr>
      <w:r>
        <w:rPr>
          <w:rFonts w:ascii="Calibri" w:hAnsi="Calibri"/>
          <w:b/>
          <w:color w:val="C0392B"/>
          <w:sz w:val="22"/>
        </w:rPr>
        <w:t>7. Risk &amp; Human Decisions</w:t>
      </w:r>
    </w:p>
    <w:p>
      <w:pPr>
        <w:spacing w:after="80" w:line="276" w:lineRule="auto"/>
        <w:jc w:val="left"/>
      </w:pPr>
      <w:r>
        <w:rPr>
          <w:rFonts w:ascii="Calibri" w:hAnsi="Calibri"/>
          <w:b/>
          <w:i w:val="0"/>
          <w:color w:val="C0392B"/>
          <w:sz w:val="16"/>
        </w:rPr>
        <w:t>CRITICAL DEFECTS: None blocking acceptance (see Final Mission Report §E).  CULTURAL REVIEW REQUIRED: 1980s prop period check, Reader Man representation, opening-line framing — tag for Jamaican cultural consultant.</w:t>
      </w:r>
    </w:p>
    <w:p>
      <w:pPr>
        <w:spacing w:after="80" w:line="276" w:lineRule="auto"/>
        <w:jc w:val="left"/>
      </w:pPr>
      <w:r>
        <w:rPr>
          <w:rFonts w:ascii="Calibri" w:hAnsi="Calibri"/>
          <w:b/>
          <w:i w:val="0"/>
          <w:color w:val="1A1A2E"/>
          <w:sz w:val="18"/>
        </w:rPr>
        <w:t>HUMAN DECISION GATE: ☐ ACCEPT PRODUCTION-PLANNING PACKAGE   ☐ RETURN FOR REVISION   ☐ REJECT  — Canonical acceptance/publication remain distinct decisions if later requested.</w:t>
      </w:r>
    </w:p>
    <w:p>
      <w:pPr>
        <w:jc w:val="center"/>
      </w:pPr>
      <w:r>
        <w:rPr>
          <w:rFonts w:ascii="Calibri" w:hAnsi="Calibri"/>
          <w:i/>
          <w:color w:val="95A5A6"/>
          <w:sz w:val="12"/>
        </w:rPr>
        <w:t>WRASAL Media  •  Real Brothers. Woven Fates.  •  This work order does not promote draft creative to canon. Human creative sovereignty is absolute.</w:t>
      </w:r>
    </w:p>
    <w:sectPr w:rsidR="00FC693F" w:rsidRPr="0006063C" w:rsidSect="00034616"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WRASAL Cinematic Work Order — The Invocation</dc:title>
  <dc:subject>BOTBC Trailer 001</dc:subject>
  <dc:creator>WRASAL Executive Creative Production System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