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80"/>
        <w:jc w:val="center"/>
      </w:pPr>
      <w:r>
        <w:rPr>
          <w:rFonts w:ascii="Calibri" w:cs="Calibri" w:eastAsia="Calibri" w:hAnsi="Calibri"/>
          <w:b/>
          <w:bCs/>
          <w:i w:val="false"/>
          <w:iCs w:val="false"/>
          <w:color w:val="0B2545"/>
          <w:sz w:val="96"/>
          <w:szCs w:val="96"/>
        </w:rPr>
        <w:t xml:space="preserve">THE NORTH STAR</w:t>
      </w:r>
    </w:p>
    <w:p>
      <w:pPr>
        <w:spacing w:after="800"/>
        <w:jc w:val="center"/>
      </w:pPr>
      <w:r>
        <w:rPr>
          <w:rFonts w:ascii="Calibri" w:cs="Calibri" w:eastAsia="Calibri" w:hAnsi="Calibri"/>
          <w:b w:val="false"/>
          <w:bCs w:val="false"/>
          <w:i w:val="false"/>
          <w:iCs w:val="false"/>
          <w:color w:val="13315C"/>
          <w:sz w:val="28"/>
          <w:szCs w:val="28"/>
        </w:rPr>
        <w:t xml:space="preserve">Sitesync Operating System  ·  v1.0</w:t>
      </w:r>
    </w:p>
    <w:p>
      <w:pPr>
        <w:spacing w:after="80"/>
        <w:jc w:val="center"/>
      </w:pPr>
      <w:r>
        <w:rPr>
          <w:rFonts w:ascii="Calibri" w:cs="Calibri" w:eastAsia="Calibri" w:hAnsi="Calibri"/>
          <w:b w:val="false"/>
          <w:bCs w:val="false"/>
          <w:i/>
          <w:iCs/>
          <w:color w:val="445566"/>
          <w:sz w:val="26"/>
          <w:szCs w:val="26"/>
        </w:rPr>
        <w:t xml:space="preserve">The constitution. The strategy. The execution plan.</w:t>
      </w:r>
    </w:p>
    <w:p>
      <w:pPr>
        <w:spacing w:after="1200"/>
        <w:jc w:val="center"/>
      </w:pPr>
      <w:r>
        <w:rPr>
          <w:rFonts w:ascii="Calibri" w:cs="Calibri" w:eastAsia="Calibri" w:hAnsi="Calibri"/>
          <w:b w:val="false"/>
          <w:bCs w:val="false"/>
          <w:i/>
          <w:iCs/>
          <w:color w:val="445566"/>
          <w:sz w:val="26"/>
          <w:szCs w:val="26"/>
        </w:rPr>
        <w:t xml:space="preserve">The doc you read every Sunday night.</w:t>
      </w:r>
    </w:p>
    <w:p>
      <w:pPr>
        <w:spacing w:after="600"/>
        <w:jc w:val="center"/>
      </w:pPr>
      <w:r>
        <w:rPr>
          <w:rFonts w:ascii="Calibri" w:cs="Calibri" w:eastAsia="Calibri" w:hAnsi="Calibri"/>
          <w:b w:val="false"/>
          <w:bCs w:val="false"/>
          <w:i w:val="false"/>
          <w:iCs w:val="false"/>
          <w:color w:val="F26430"/>
          <w:sz w:val="28"/>
          <w:szCs w:val="28"/>
        </w:rPr>
        <w:t xml:space="preserve">───</w:t>
      </w:r>
    </w:p>
    <w:p>
      <w:pPr>
        <w:spacing w:after="60"/>
        <w:jc w:val="center"/>
      </w:pPr>
      <w:r>
        <w:rPr>
          <w:rFonts w:ascii="Calibri" w:cs="Calibri" w:eastAsia="Calibri" w:hAnsi="Calibri"/>
          <w:b/>
          <w:bCs/>
          <w:i w:val="false"/>
          <w:iCs w:val="false"/>
          <w:color w:val="0B2545"/>
          <w:sz w:val="24"/>
          <w:szCs w:val="24"/>
        </w:rPr>
        <w:t xml:space="preserve">Walker Benner  ·  Founder</w:t>
      </w:r>
    </w:p>
    <w:p>
      <w:pPr>
        <w:spacing w:after="1200"/>
        <w:jc w:val="center"/>
      </w:pPr>
      <w:r>
        <w:rPr>
          <w:rFonts w:ascii="Calibri" w:cs="Calibri" w:eastAsia="Calibri" w:hAnsi="Calibri"/>
          <w:b w:val="false"/>
          <w:bCs w:val="false"/>
          <w:i w:val="false"/>
          <w:iCs w:val="false"/>
          <w:color w:val="445566"/>
          <w:sz w:val="22"/>
          <w:szCs w:val="22"/>
        </w:rPr>
        <w:t xml:space="preserve">May 1, 2026</w:t>
      </w:r>
    </w:p>
    <w:p>
      <w:pPr>
        <w:pBdr>
          <w:top w:val="single" w:color="F26430" w:sz="8" w:space="4"/>
          <w:bottom w:val="single" w:color="F26430" w:sz="8" w:space="4"/>
        </w:pBdr>
        <w:spacing w:after="200" w:before="400"/>
        <w:jc w:val="center"/>
      </w:pPr>
      <w:r>
        <w:rPr>
          <w:rFonts w:ascii="Calibri" w:cs="Calibri" w:eastAsia="Calibri" w:hAnsi="Calibri"/>
          <w:i/>
          <w:iCs/>
          <w:color w:val="0B2545"/>
          <w:sz w:val="22"/>
          <w:szCs w:val="22"/>
        </w:rPr>
        <w:t xml:space="preserve">Sitesync builds the operating system construction has been waiting fifty years for.</w:t>
      </w:r>
    </w:p>
    <w:p>
      <w:pPr>
        <w:pStyle w:val="Heading1"/>
        <w:pageBreakBefore/>
        <w:spacing w:after="240" w:before="480"/>
      </w:pPr>
      <w:r>
        <w:rPr>
          <w:rFonts w:ascii="Calibri" w:cs="Calibri" w:eastAsia="Calibri" w:hAnsi="Calibri"/>
          <w:b/>
          <w:bCs/>
          <w:color w:val="0B2545"/>
          <w:sz w:val="40"/>
          <w:szCs w:val="40"/>
        </w:rPr>
        <w:t xml:space="preserve">Foreword — the doc this is, and isn't</w:t>
      </w:r>
    </w:p>
    <w:p>
      <w:pPr>
        <w:spacing w:after="140" w:line="300"/>
      </w:pPr>
      <w:r>
        <w:rPr>
          <w:rFonts w:ascii="Calibri" w:cs="Calibri" w:eastAsia="Calibri" w:hAnsi="Calibri"/>
          <w:sz w:val="22"/>
          <w:szCs w:val="22"/>
        </w:rPr>
        <w:t xml:space="preserve">This is not a strategy memo. It is a constitution. The Bugatti Audit told you what is. The Field Manual told you what to fix. This document tells you why we exist, what we believe, who we serve, what we will and will not do, and how the next thirty-six months unfold. It is the founding paper. It is the last document anyone needs to read before joining Sitesync, the first document a board member opens, and the only document that gets re-read every Sunday night.</w:t>
      </w:r>
    </w:p>
    <w:p>
      <w:pPr>
        <w:spacing w:after="140" w:line="300"/>
      </w:pPr>
      <w:r>
        <w:rPr>
          <w:rFonts w:ascii="Calibri" w:cs="Calibri" w:eastAsia="Calibri" w:hAnsi="Calibri"/>
          <w:sz w:val="22"/>
          <w:szCs w:val="22"/>
        </w:rPr>
        <w:t xml:space="preserve">It is written for Walker. It is also written for the second engineer, who joins in week six. For the first AE, who joins in month four. For the seed lead, who reads it before saying yes. For the first paying GC, whose superintendent will cry the first time the daily log writes itself. For the writer of an obituary in 2068, who needs to know what this thing was for.</w:t>
      </w:r>
    </w:p>
    <w:p>
      <w:pPr>
        <w:spacing w:after="140" w:line="300"/>
      </w:pPr>
      <w:r>
        <w:rPr>
          <w:rFonts w:ascii="Calibri" w:cs="Calibri" w:eastAsia="Calibri" w:hAnsi="Calibri"/>
          <w:sz w:val="22"/>
          <w:szCs w:val="22"/>
        </w:rPr>
        <w:t xml:space="preserve">Read it once. Then put it on the wall. Then come back to it whenever the next decision feels foggy. Every line in this document was written to remove fog.</w:t>
      </w:r>
    </w:p>
    <w:p>
      <w:pPr>
        <w:spacing w:after="80" w:before="160" w:line="320"/>
        <w:ind w:left="720" w:right="720"/>
      </w:pPr>
      <w:r>
        <w:rPr>
          <w:rFonts w:ascii="Calibri" w:cs="Calibri" w:eastAsia="Calibri" w:hAnsi="Calibri"/>
          <w:i/>
          <w:iCs/>
          <w:color w:val="13315C"/>
          <w:sz w:val="24"/>
          <w:szCs w:val="24"/>
        </w:rPr>
        <w:t xml:space="preserve">“Strategy is the residue of decisions. The decisions are downstream of what you believe. Write down what you believe.”</w:t>
      </w:r>
    </w:p>
    <w:p>
      <w:pPr>
        <w:spacing w:after="240"/>
        <w:ind w:left="720"/>
      </w:pPr>
      <w:r>
        <w:rPr>
          <w:rFonts w:ascii="Calibri" w:cs="Calibri" w:eastAsia="Calibri" w:hAnsi="Calibri"/>
          <w:i/>
          <w:iCs/>
          <w:color w:val="445566"/>
          <w:sz w:val="20"/>
          <w:szCs w:val="20"/>
        </w:rPr>
        <w:t xml:space="preserve">— the only mantra that survived</w:t>
      </w:r>
    </w:p>
    <w:p>
      <w:pPr>
        <w:pBdr>
          <w:bottom w:val="single" w:color="0B2545" w:sz="6" w:space="1"/>
        </w:pBdr>
        <w:spacing w:after="120" w:before="120"/>
      </w:pPr>
      <w:r>
        <w:t xml:space="preserve"/>
      </w:r>
    </w:p>
    <w:p>
      <w:pPr>
        <w:pStyle w:val="Heading1"/>
        <w:pageBreakBefore/>
        <w:spacing w:after="240" w:before="480"/>
      </w:pPr>
      <w:r>
        <w:rPr>
          <w:rFonts w:ascii="Calibri" w:cs="Calibri" w:eastAsia="Calibri" w:hAnsi="Calibri"/>
          <w:b/>
          <w:bCs/>
          <w:color w:val="0B2545"/>
          <w:sz w:val="40"/>
          <w:szCs w:val="40"/>
        </w:rPr>
        <w:t xml:space="preserve">Contents</w:t>
      </w:r>
    </w:p>
    <w:p>
      <w:pPr>
        <w:tabs>
          <w:tab w:val="left" w:pos="720"/>
          <w:tab w:val="left" w:pos="1440"/>
        </w:tabs>
        <w:spacing w:after="80"/>
      </w:pPr>
      <w:r>
        <w:rPr>
          <w:rFonts w:ascii="Calibri" w:cs="Calibri" w:eastAsia="Calibri" w:hAnsi="Calibri"/>
          <w:b/>
          <w:bCs/>
          <w:color w:val="F26430"/>
          <w:sz w:val="22"/>
          <w:szCs w:val="22"/>
        </w:rPr>
        <w:t xml:space="preserve">I	</w:t>
      </w:r>
      <w:r>
        <w:rPr>
          <w:rFonts w:ascii="Calibri" w:cs="Calibri" w:eastAsia="Calibri" w:hAnsi="Calibri"/>
          <w:b/>
          <w:bCs/>
          <w:color w:val="0B2545"/>
          <w:sz w:val="22"/>
          <w:szCs w:val="22"/>
        </w:rPr>
        <w:t xml:space="preserve">The Mission</w:t>
      </w:r>
      <w:r>
        <w:rPr>
          <w:rFonts w:ascii="Calibri" w:cs="Calibri" w:eastAsia="Calibri" w:hAnsi="Calibri"/>
          <w:i/>
          <w:iCs/>
          <w:color w:val="445566"/>
          <w:sz w:val="20"/>
          <w:szCs w:val="20"/>
        </w:rPr>
        <w:t xml:space="preserve">  —  in three forms: 11 words, 100 words, 1,000 words</w:t>
      </w:r>
    </w:p>
    <w:p>
      <w:pPr>
        <w:tabs>
          <w:tab w:val="left" w:pos="720"/>
          <w:tab w:val="left" w:pos="1440"/>
        </w:tabs>
        <w:spacing w:after="80"/>
      </w:pPr>
      <w:r>
        <w:rPr>
          <w:rFonts w:ascii="Calibri" w:cs="Calibri" w:eastAsia="Calibri" w:hAnsi="Calibri"/>
          <w:b/>
          <w:bCs/>
          <w:color w:val="F26430"/>
          <w:sz w:val="22"/>
          <w:szCs w:val="22"/>
        </w:rPr>
        <w:t xml:space="preserve">II	</w:t>
      </w:r>
      <w:r>
        <w:rPr>
          <w:rFonts w:ascii="Calibri" w:cs="Calibri" w:eastAsia="Calibri" w:hAnsi="Calibri"/>
          <w:b/>
          <w:bCs/>
          <w:color w:val="0B2545"/>
          <w:sz w:val="22"/>
          <w:szCs w:val="22"/>
        </w:rPr>
        <w:t xml:space="preserve">Why Now</w:t>
      </w:r>
      <w:r>
        <w:rPr>
          <w:rFonts w:ascii="Calibri" w:cs="Calibri" w:eastAsia="Calibri" w:hAnsi="Calibri"/>
          <w:i/>
          <w:iCs/>
          <w:color w:val="445566"/>
          <w:sz w:val="20"/>
          <w:szCs w:val="20"/>
        </w:rPr>
        <w:t xml:space="preserve">  —  the eighteen-month window that closes in 2027</w:t>
      </w:r>
    </w:p>
    <w:p>
      <w:pPr>
        <w:tabs>
          <w:tab w:val="left" w:pos="720"/>
          <w:tab w:val="left" w:pos="1440"/>
        </w:tabs>
        <w:spacing w:after="80"/>
      </w:pPr>
      <w:r>
        <w:rPr>
          <w:rFonts w:ascii="Calibri" w:cs="Calibri" w:eastAsia="Calibri" w:hAnsi="Calibri"/>
          <w:b/>
          <w:bCs/>
          <w:color w:val="F26430"/>
          <w:sz w:val="22"/>
          <w:szCs w:val="22"/>
        </w:rPr>
        <w:t xml:space="preserve">III	</w:t>
      </w:r>
      <w:r>
        <w:rPr>
          <w:rFonts w:ascii="Calibri" w:cs="Calibri" w:eastAsia="Calibri" w:hAnsi="Calibri"/>
          <w:b/>
          <w:bCs/>
          <w:color w:val="0B2545"/>
          <w:sz w:val="22"/>
          <w:szCs w:val="22"/>
        </w:rPr>
        <w:t xml:space="preserve">The Customer</w:t>
      </w:r>
      <w:r>
        <w:rPr>
          <w:rFonts w:ascii="Calibri" w:cs="Calibri" w:eastAsia="Calibri" w:hAnsi="Calibri"/>
          <w:i/>
          <w:iCs/>
          <w:color w:val="445566"/>
          <w:sz w:val="20"/>
          <w:szCs w:val="20"/>
        </w:rPr>
        <w:t xml:space="preserve">  —  Marco the super, Jenna the PM, Reyna the exec</w:t>
      </w:r>
    </w:p>
    <w:p>
      <w:pPr>
        <w:tabs>
          <w:tab w:val="left" w:pos="720"/>
          <w:tab w:val="left" w:pos="1440"/>
        </w:tabs>
        <w:spacing w:after="80"/>
      </w:pPr>
      <w:r>
        <w:rPr>
          <w:rFonts w:ascii="Calibri" w:cs="Calibri" w:eastAsia="Calibri" w:hAnsi="Calibri"/>
          <w:b/>
          <w:bCs/>
          <w:color w:val="F26430"/>
          <w:sz w:val="22"/>
          <w:szCs w:val="22"/>
        </w:rPr>
        <w:t xml:space="preserve">IV	</w:t>
      </w:r>
      <w:r>
        <w:rPr>
          <w:rFonts w:ascii="Calibri" w:cs="Calibri" w:eastAsia="Calibri" w:hAnsi="Calibri"/>
          <w:b/>
          <w:bCs/>
          <w:color w:val="0B2545"/>
          <w:sz w:val="22"/>
          <w:szCs w:val="22"/>
        </w:rPr>
        <w:t xml:space="preserve">The Product Thesis</w:t>
      </w:r>
      <w:r>
        <w:rPr>
          <w:rFonts w:ascii="Calibri" w:cs="Calibri" w:eastAsia="Calibri" w:hAnsi="Calibri"/>
          <w:i/>
          <w:iCs/>
          <w:color w:val="445566"/>
          <w:sz w:val="20"/>
          <w:szCs w:val="20"/>
        </w:rPr>
        <w:t xml:space="preserve">  —  verbs not nouns; drafts not actions; payments not just paperwork</w:t>
      </w:r>
    </w:p>
    <w:p>
      <w:pPr>
        <w:tabs>
          <w:tab w:val="left" w:pos="720"/>
          <w:tab w:val="left" w:pos="1440"/>
        </w:tabs>
        <w:spacing w:after="80"/>
      </w:pPr>
      <w:r>
        <w:rPr>
          <w:rFonts w:ascii="Calibri" w:cs="Calibri" w:eastAsia="Calibri" w:hAnsi="Calibri"/>
          <w:b/>
          <w:bCs/>
          <w:color w:val="F26430"/>
          <w:sz w:val="22"/>
          <w:szCs w:val="22"/>
        </w:rPr>
        <w:t xml:space="preserve">V	</w:t>
      </w:r>
      <w:r>
        <w:rPr>
          <w:rFonts w:ascii="Calibri" w:cs="Calibri" w:eastAsia="Calibri" w:hAnsi="Calibri"/>
          <w:b/>
          <w:bCs/>
          <w:color w:val="0B2545"/>
          <w:sz w:val="22"/>
          <w:szCs w:val="22"/>
        </w:rPr>
        <w:t xml:space="preserve">The Four Moats</w:t>
      </w:r>
      <w:r>
        <w:rPr>
          <w:rFonts w:ascii="Calibri" w:cs="Calibri" w:eastAsia="Calibri" w:hAnsi="Calibri"/>
          <w:i/>
          <w:iCs/>
          <w:color w:val="445566"/>
          <w:sz w:val="20"/>
          <w:szCs w:val="20"/>
        </w:rPr>
        <w:t xml:space="preserve">  —  what no one can copy in twelve months</w:t>
      </w:r>
    </w:p>
    <w:p>
      <w:pPr>
        <w:tabs>
          <w:tab w:val="left" w:pos="720"/>
          <w:tab w:val="left" w:pos="1440"/>
        </w:tabs>
        <w:spacing w:after="80"/>
      </w:pPr>
      <w:r>
        <w:rPr>
          <w:rFonts w:ascii="Calibri" w:cs="Calibri" w:eastAsia="Calibri" w:hAnsi="Calibri"/>
          <w:b/>
          <w:bCs/>
          <w:color w:val="F26430"/>
          <w:sz w:val="22"/>
          <w:szCs w:val="22"/>
        </w:rPr>
        <w:t xml:space="preserve">VI	</w:t>
      </w:r>
      <w:r>
        <w:rPr>
          <w:rFonts w:ascii="Calibri" w:cs="Calibri" w:eastAsia="Calibri" w:hAnsi="Calibri"/>
          <w:b/>
          <w:bCs/>
          <w:color w:val="0B2545"/>
          <w:sz w:val="22"/>
          <w:szCs w:val="22"/>
        </w:rPr>
        <w:t xml:space="preserve">The Eleven Nevers</w:t>
      </w:r>
      <w:r>
        <w:rPr>
          <w:rFonts w:ascii="Calibri" w:cs="Calibri" w:eastAsia="Calibri" w:hAnsi="Calibri"/>
          <w:i/>
          <w:iCs/>
          <w:color w:val="445566"/>
          <w:sz w:val="20"/>
          <w:szCs w:val="20"/>
        </w:rPr>
        <w:t xml:space="preserve">  —  the constitution — what we will refuse to do</w:t>
      </w:r>
    </w:p>
    <w:p>
      <w:pPr>
        <w:tabs>
          <w:tab w:val="left" w:pos="720"/>
          <w:tab w:val="left" w:pos="1440"/>
        </w:tabs>
        <w:spacing w:after="80"/>
      </w:pPr>
      <w:r>
        <w:rPr>
          <w:rFonts w:ascii="Calibri" w:cs="Calibri" w:eastAsia="Calibri" w:hAnsi="Calibri"/>
          <w:b/>
          <w:bCs/>
          <w:color w:val="F26430"/>
          <w:sz w:val="22"/>
          <w:szCs w:val="22"/>
        </w:rPr>
        <w:t xml:space="preserve">VII	</w:t>
      </w:r>
      <w:r>
        <w:rPr>
          <w:rFonts w:ascii="Calibri" w:cs="Calibri" w:eastAsia="Calibri" w:hAnsi="Calibri"/>
          <w:b/>
          <w:bCs/>
          <w:color w:val="0B2545"/>
          <w:sz w:val="22"/>
          <w:szCs w:val="22"/>
        </w:rPr>
        <w:t xml:space="preserve">The Twelve‑Second Demo</w:t>
      </w:r>
      <w:r>
        <w:rPr>
          <w:rFonts w:ascii="Calibri" w:cs="Calibri" w:eastAsia="Calibri" w:hAnsi="Calibri"/>
          <w:i/>
          <w:iCs/>
          <w:color w:val="445566"/>
          <w:sz w:val="20"/>
          <w:szCs w:val="20"/>
        </w:rPr>
        <w:t xml:space="preserve">  —  the wow that closes the room</w:t>
      </w:r>
    </w:p>
    <w:p>
      <w:pPr>
        <w:tabs>
          <w:tab w:val="left" w:pos="720"/>
          <w:tab w:val="left" w:pos="1440"/>
        </w:tabs>
        <w:spacing w:after="80"/>
      </w:pPr>
      <w:r>
        <w:rPr>
          <w:rFonts w:ascii="Calibri" w:cs="Calibri" w:eastAsia="Calibri" w:hAnsi="Calibri"/>
          <w:b/>
          <w:bCs/>
          <w:color w:val="F26430"/>
          <w:sz w:val="22"/>
          <w:szCs w:val="22"/>
        </w:rPr>
        <w:t xml:space="preserve">VIII	</w:t>
      </w:r>
      <w:r>
        <w:rPr>
          <w:rFonts w:ascii="Calibri" w:cs="Calibri" w:eastAsia="Calibri" w:hAnsi="Calibri"/>
          <w:b/>
          <w:bCs/>
          <w:color w:val="0B2545"/>
          <w:sz w:val="22"/>
          <w:szCs w:val="22"/>
        </w:rPr>
        <w:t xml:space="preserve">The Ninety‑Day Operating Plan</w:t>
      </w:r>
      <w:r>
        <w:rPr>
          <w:rFonts w:ascii="Calibri" w:cs="Calibri" w:eastAsia="Calibri" w:hAnsi="Calibri"/>
          <w:i/>
          <w:iCs/>
          <w:color w:val="445566"/>
          <w:sz w:val="20"/>
          <w:szCs w:val="20"/>
        </w:rPr>
        <w:t xml:space="preserve">  —  Lap 1 Subtract. Lap 2 Watch. Lap 3 Act.</w:t>
      </w:r>
    </w:p>
    <w:p>
      <w:pPr>
        <w:tabs>
          <w:tab w:val="left" w:pos="720"/>
          <w:tab w:val="left" w:pos="1440"/>
        </w:tabs>
        <w:spacing w:after="80"/>
      </w:pPr>
      <w:r>
        <w:rPr>
          <w:rFonts w:ascii="Calibri" w:cs="Calibri" w:eastAsia="Calibri" w:hAnsi="Calibri"/>
          <w:b/>
          <w:bCs/>
          <w:color w:val="F26430"/>
          <w:sz w:val="22"/>
          <w:szCs w:val="22"/>
        </w:rPr>
        <w:t xml:space="preserve">IX	</w:t>
      </w:r>
      <w:r>
        <w:rPr>
          <w:rFonts w:ascii="Calibri" w:cs="Calibri" w:eastAsia="Calibri" w:hAnsi="Calibri"/>
          <w:b/>
          <w:bCs/>
          <w:color w:val="0B2545"/>
          <w:sz w:val="22"/>
          <w:szCs w:val="22"/>
        </w:rPr>
        <w:t xml:space="preserve">The Twelve‑Month Roadmap</w:t>
      </w:r>
      <w:r>
        <w:rPr>
          <w:rFonts w:ascii="Calibri" w:cs="Calibri" w:eastAsia="Calibri" w:hAnsi="Calibri"/>
          <w:i/>
          <w:iCs/>
          <w:color w:val="445566"/>
          <w:sz w:val="20"/>
          <w:szCs w:val="20"/>
        </w:rPr>
        <w:t xml:space="preserve">  —  from one paying GC to ten</w:t>
      </w:r>
    </w:p>
    <w:p>
      <w:pPr>
        <w:tabs>
          <w:tab w:val="left" w:pos="720"/>
          <w:tab w:val="left" w:pos="1440"/>
        </w:tabs>
        <w:spacing w:after="80"/>
      </w:pPr>
      <w:r>
        <w:rPr>
          <w:rFonts w:ascii="Calibri" w:cs="Calibri" w:eastAsia="Calibri" w:hAnsi="Calibri"/>
          <w:b/>
          <w:bCs/>
          <w:color w:val="F26430"/>
          <w:sz w:val="22"/>
          <w:szCs w:val="22"/>
        </w:rPr>
        <w:t xml:space="preserve">X	</w:t>
      </w:r>
      <w:r>
        <w:rPr>
          <w:rFonts w:ascii="Calibri" w:cs="Calibri" w:eastAsia="Calibri" w:hAnsi="Calibri"/>
          <w:b/>
          <w:bCs/>
          <w:color w:val="0B2545"/>
          <w:sz w:val="22"/>
          <w:szCs w:val="22"/>
        </w:rPr>
        <w:t xml:space="preserve">The Thirty‑Six‑Month Vision</w:t>
      </w:r>
      <w:r>
        <w:rPr>
          <w:rFonts w:ascii="Calibri" w:cs="Calibri" w:eastAsia="Calibri" w:hAnsi="Calibri"/>
          <w:i/>
          <w:iCs/>
          <w:color w:val="445566"/>
          <w:sz w:val="20"/>
          <w:szCs w:val="20"/>
        </w:rPr>
        <w:t xml:space="preserve">  —  the construction operating system</w:t>
      </w:r>
    </w:p>
    <w:p>
      <w:pPr>
        <w:tabs>
          <w:tab w:val="left" w:pos="720"/>
          <w:tab w:val="left" w:pos="1440"/>
        </w:tabs>
        <w:spacing w:after="80"/>
      </w:pPr>
      <w:r>
        <w:rPr>
          <w:rFonts w:ascii="Calibri" w:cs="Calibri" w:eastAsia="Calibri" w:hAnsi="Calibri"/>
          <w:b/>
          <w:bCs/>
          <w:color w:val="F26430"/>
          <w:sz w:val="22"/>
          <w:szCs w:val="22"/>
        </w:rPr>
        <w:t xml:space="preserve">XI	</w:t>
      </w:r>
      <w:r>
        <w:rPr>
          <w:rFonts w:ascii="Calibri" w:cs="Calibri" w:eastAsia="Calibri" w:hAnsi="Calibri"/>
          <w:b/>
          <w:bCs/>
          <w:color w:val="0B2545"/>
          <w:sz w:val="22"/>
          <w:szCs w:val="22"/>
        </w:rPr>
        <w:t xml:space="preserve">The Team Operating Principles</w:t>
      </w:r>
      <w:r>
        <w:rPr>
          <w:rFonts w:ascii="Calibri" w:cs="Calibri" w:eastAsia="Calibri" w:hAnsi="Calibri"/>
          <w:i/>
          <w:iCs/>
          <w:color w:val="445566"/>
          <w:sz w:val="20"/>
          <w:szCs w:val="20"/>
        </w:rPr>
        <w:t xml:space="preserve">  —  the ten commandments of how we work</w:t>
      </w:r>
    </w:p>
    <w:p>
      <w:pPr>
        <w:tabs>
          <w:tab w:val="left" w:pos="720"/>
          <w:tab w:val="left" w:pos="1440"/>
        </w:tabs>
        <w:spacing w:after="80"/>
      </w:pPr>
      <w:r>
        <w:rPr>
          <w:rFonts w:ascii="Calibri" w:cs="Calibri" w:eastAsia="Calibri" w:hAnsi="Calibri"/>
          <w:b/>
          <w:bCs/>
          <w:color w:val="F26430"/>
          <w:sz w:val="22"/>
          <w:szCs w:val="22"/>
        </w:rPr>
        <w:t xml:space="preserve">XII	</w:t>
      </w:r>
      <w:r>
        <w:rPr>
          <w:rFonts w:ascii="Calibri" w:cs="Calibri" w:eastAsia="Calibri" w:hAnsi="Calibri"/>
          <w:b/>
          <w:bCs/>
          <w:color w:val="0B2545"/>
          <w:sz w:val="22"/>
          <w:szCs w:val="22"/>
        </w:rPr>
        <w:t xml:space="preserve">The Investor / Board Narrative</w:t>
      </w:r>
      <w:r>
        <w:rPr>
          <w:rFonts w:ascii="Calibri" w:cs="Calibri" w:eastAsia="Calibri" w:hAnsi="Calibri"/>
          <w:i/>
          <w:iCs/>
          <w:color w:val="445566"/>
          <w:sz w:val="20"/>
          <w:szCs w:val="20"/>
        </w:rPr>
        <w:t xml:space="preserve">  —  the eighteen‑slide story</w:t>
      </w:r>
    </w:p>
    <w:p>
      <w:pPr>
        <w:tabs>
          <w:tab w:val="left" w:pos="720"/>
          <w:tab w:val="left" w:pos="1440"/>
        </w:tabs>
        <w:spacing w:after="80"/>
      </w:pPr>
      <w:r>
        <w:rPr>
          <w:rFonts w:ascii="Calibri" w:cs="Calibri" w:eastAsia="Calibri" w:hAnsi="Calibri"/>
          <w:b/>
          <w:bCs/>
          <w:color w:val="F26430"/>
          <w:sz w:val="22"/>
          <w:szCs w:val="22"/>
        </w:rPr>
        <w:t xml:space="preserve">XIII	</w:t>
      </w:r>
      <w:r>
        <w:rPr>
          <w:rFonts w:ascii="Calibri" w:cs="Calibri" w:eastAsia="Calibri" w:hAnsi="Calibri"/>
          <w:b/>
          <w:bCs/>
          <w:color w:val="0B2545"/>
          <w:sz w:val="22"/>
          <w:szCs w:val="22"/>
        </w:rPr>
        <w:t xml:space="preserve">The Closing Argument</w:t>
      </w:r>
      <w:r>
        <w:rPr>
          <w:rFonts w:ascii="Calibri" w:cs="Calibri" w:eastAsia="Calibri" w:hAnsi="Calibri"/>
          <w:i/>
          <w:iCs/>
          <w:color w:val="445566"/>
          <w:sz w:val="20"/>
          <w:szCs w:val="20"/>
        </w:rPr>
        <w:t xml:space="preserve">  —  why this is generational</w:t>
      </w:r>
    </w:p>
    <w:p>
      <w:pPr>
        <w:tabs>
          <w:tab w:val="left" w:pos="720"/>
          <w:tab w:val="left" w:pos="1440"/>
        </w:tabs>
        <w:spacing w:after="80"/>
      </w:pPr>
      <w:r>
        <w:rPr>
          <w:rFonts w:ascii="Calibri" w:cs="Calibri" w:eastAsia="Calibri" w:hAnsi="Calibri"/>
          <w:b/>
          <w:bCs/>
          <w:color w:val="F26430"/>
          <w:sz w:val="22"/>
          <w:szCs w:val="22"/>
        </w:rPr>
        <w:t xml:space="preserve">A	</w:t>
      </w:r>
      <w:r>
        <w:rPr>
          <w:rFonts w:ascii="Calibri" w:cs="Calibri" w:eastAsia="Calibri" w:hAnsi="Calibri"/>
          <w:b/>
          <w:bCs/>
          <w:color w:val="0B2545"/>
          <w:sz w:val="22"/>
          <w:szCs w:val="22"/>
        </w:rPr>
        <w:t xml:space="preserve">Appendix — Glossary, Decision Log, Retros</w:t>
      </w:r>
      <w:r>
        <w:rPr>
          <w:rFonts w:ascii="Calibri" w:cs="Calibri" w:eastAsia="Calibri" w:hAnsi="Calibri"/>
          <w:i/>
          <w:iCs/>
          <w:color w:val="445566"/>
          <w:sz w:val="20"/>
          <w:szCs w:val="20"/>
        </w:rPr>
        <w:t xml:space="preserve"/>
      </w:r>
    </w:p>
    <w:p>
      <w:pPr>
        <w:pStyle w:val="Heading1"/>
        <w:pageBreakBefore/>
        <w:spacing w:after="240" w:before="480"/>
      </w:pPr>
      <w:r>
        <w:rPr>
          <w:rFonts w:ascii="Calibri" w:cs="Calibri" w:eastAsia="Calibri" w:hAnsi="Calibri"/>
          <w:b/>
          <w:bCs/>
          <w:color w:val="0B2545"/>
          <w:sz w:val="40"/>
          <w:szCs w:val="40"/>
        </w:rPr>
        <w:t xml:space="preserve">I. The Mission</w:t>
      </w:r>
    </w:p>
    <w:p>
      <w:pPr>
        <w:spacing w:after="80" w:before="160" w:line="320"/>
        <w:ind w:left="720" w:right="720"/>
      </w:pPr>
      <w:r>
        <w:rPr>
          <w:rFonts w:ascii="Calibri" w:cs="Calibri" w:eastAsia="Calibri" w:hAnsi="Calibri"/>
          <w:i/>
          <w:iCs/>
          <w:color w:val="13315C"/>
          <w:sz w:val="24"/>
          <w:szCs w:val="24"/>
        </w:rPr>
        <w:t xml:space="preserve">“If you can't say it in eleven words, you don't know what you're building yet.”</w:t>
      </w:r>
    </w:p>
    <w:p>
      <w:pPr>
        <w:spacing w:after="240"/>
        <w:ind w:left="720"/>
      </w:pPr>
      <w:r>
        <w:rPr>
          <w:rFonts w:ascii="Calibri" w:cs="Calibri" w:eastAsia="Calibri" w:hAnsi="Calibri"/>
          <w:i/>
          <w:iCs/>
          <w:color w:val="445566"/>
          <w:sz w:val="20"/>
          <w:szCs w:val="20"/>
        </w:rPr>
        <w:t xml:space="preserve">— what every founder learns the hard way</w:t>
      </w:r>
    </w:p>
    <w:p>
      <w:pPr>
        <w:pStyle w:val="Heading2"/>
        <w:spacing w:after="160" w:before="320"/>
      </w:pPr>
      <w:r>
        <w:rPr>
          <w:rFonts w:ascii="Calibri" w:cs="Calibri" w:eastAsia="Calibri" w:hAnsi="Calibri"/>
          <w:b/>
          <w:bCs/>
          <w:color w:val="0B2545"/>
          <w:sz w:val="30"/>
          <w:szCs w:val="30"/>
        </w:rPr>
        <w:t xml:space="preserve">In eleven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8"/>
              <w:left w:val="single" w:color="0B2545" w:sz="8"/>
              <w:bottom w:val="single" w:color="0B2545" w:sz="8"/>
              <w:right w:val="single" w:color="0B2545" w:sz="8"/>
            </w:tcBorders>
            <w:shd w:fill="0B2545" w:val="clear"/>
            <w:tcMar>
              <w:top w:type="dxa" w:w="320"/>
              <w:left w:type="dxa" w:w="320"/>
              <w:bottom w:type="dxa" w:w="320"/>
              <w:right w:type="dxa" w:w="320"/>
            </w:tcMar>
          </w:tcPr>
          <w:p>
            <w:pPr>
              <w:jc w:val="center"/>
            </w:pPr>
            <w:r>
              <w:rPr>
                <w:rFonts w:ascii="Calibri" w:cs="Calibri" w:eastAsia="Calibri" w:hAnsi="Calibri"/>
                <w:b/>
                <w:bCs/>
                <w:color w:val="FFFFFF"/>
                <w:sz w:val="32"/>
                <w:szCs w:val="32"/>
              </w:rPr>
              <w:t xml:space="preserve">Sitesync makes the construction project run itself, with humans in command.</w:t>
            </w:r>
          </w:p>
        </w:tc>
      </w:tr>
    </w:tbl>
    <w:p>
      <w:pPr>
        <w:pStyle w:val="Heading2"/>
        <w:spacing w:after="160" w:before="320"/>
      </w:pPr>
      <w:r>
        <w:rPr>
          <w:rFonts w:ascii="Calibri" w:cs="Calibri" w:eastAsia="Calibri" w:hAnsi="Calibri"/>
          <w:b/>
          <w:bCs/>
          <w:color w:val="0B2545"/>
          <w:sz w:val="30"/>
          <w:szCs w:val="30"/>
        </w:rPr>
        <w:t xml:space="preserve">In one hundred words</w:t>
      </w:r>
    </w:p>
    <w:p>
      <w:pPr>
        <w:spacing w:after="140" w:line="300"/>
      </w:pPr>
      <w:r>
        <w:rPr>
          <w:rFonts w:ascii="Calibri" w:cs="Calibri" w:eastAsia="Calibri" w:hAnsi="Calibri"/>
          <w:sz w:val="22"/>
          <w:szCs w:val="22"/>
        </w:rPr>
        <w:t xml:space="preserve">Construction is a fifteen-trillion-dollar industry that runs on emails, PDFs, and the memory of one superintendent who has been in the trade for thirty years. Sitesync is the operating system that captures what that superintendent knows, drafts the work that has to happen because of it, and routes the artifact to the right person on the right deadline — every time, in audit-ready form, with the human always in command. We do not replace the superintendent. We give him a junior project engineer who never sleeps, never forgets, never freelances, and never sends an email he didn’t write. That junior engineer is named Iris.</w:t>
      </w:r>
    </w:p>
    <w:p>
      <w:pPr>
        <w:pStyle w:val="Heading2"/>
        <w:spacing w:after="160" w:before="320"/>
      </w:pPr>
      <w:r>
        <w:rPr>
          <w:rFonts w:ascii="Calibri" w:cs="Calibri" w:eastAsia="Calibri" w:hAnsi="Calibri"/>
          <w:b/>
          <w:bCs/>
          <w:color w:val="0B2545"/>
          <w:sz w:val="30"/>
          <w:szCs w:val="30"/>
        </w:rPr>
        <w:t xml:space="preserve">In one thousand words</w:t>
      </w:r>
    </w:p>
    <w:p>
      <w:pPr>
        <w:spacing w:after="140" w:line="300"/>
      </w:pPr>
      <w:r>
        <w:rPr>
          <w:rFonts w:ascii="Calibri" w:cs="Calibri" w:eastAsia="Calibri" w:hAnsi="Calibri"/>
          <w:sz w:val="22"/>
          <w:szCs w:val="22"/>
        </w:rPr>
        <w:t xml:space="preserve">Look at the night before a pay app is due on a real ninety-million-dollar mid-rise. The PM is in the trailer at nine p.m. with a binder of subcontractor invoices, lien waivers, and certificates of insurance. The architect’s CA hasn’t answered RFI #047 in eleven days, and the deadline to respond expired six days ago. The drywall sub’s certificate of insurance lapsed mid-period and no one noticed. The schedule shows the steel erection nine days behind, but the schedule was last updated when the project manager was the previous project manager, who left in February. The pay app, when it goes in, will be rejected by the owner’s rep for an unsigned waiver and an expired COI — a six-figure rejection that costs a month of cash flow.</w:t>
      </w:r>
    </w:p>
    <w:p>
      <w:pPr>
        <w:spacing w:after="140" w:line="300"/>
      </w:pPr>
      <w:r>
        <w:rPr>
          <w:rFonts w:ascii="Calibri" w:cs="Calibri" w:eastAsia="Calibri" w:hAnsi="Calibri"/>
          <w:sz w:val="22"/>
          <w:szCs w:val="22"/>
        </w:rPr>
        <w:t xml:space="preserve">This is not a software gap. This is a craft gap. The PM is doing four jobs at once because the system in front of him — Procore, or its lookalike — is a database with thirty top-level tables, asking him every minute which table he wants to navigate to. He doesn’t want to navigate. He wants to ship the pay app and go to bed.</w:t>
      </w:r>
    </w:p>
    <w:p>
      <w:pPr>
        <w:spacing w:after="140" w:line="300"/>
      </w:pPr>
      <w:r>
        <w:rPr>
          <w:rFonts w:ascii="Calibri" w:cs="Calibri" w:eastAsia="Calibri" w:hAnsi="Calibri"/>
          <w:sz w:val="22"/>
          <w:szCs w:val="22"/>
        </w:rPr>
        <w:t xml:space="preserve">Sitesync is built on a single thesis: the right surface for construction is not a database. It is a set of verbs. There are five of them. The Day. The Field. The Conversation. The Set. The Site. Every legacy noun — RFI, submittal, change order, daily log, drawing, schedule, budget — still exists, still has a number, still has a dedicated route a CA can bookmark. But the home row is what you are doing right now, not which table holds the row you need. The verbs are the navigation; the nouns are the contractual artifacts underneath.</w:t>
      </w:r>
    </w:p>
    <w:p>
      <w:pPr>
        <w:spacing w:after="140" w:line="300"/>
      </w:pPr>
      <w:r>
        <w:rPr>
          <w:rFonts w:ascii="Calibri" w:cs="Calibri" w:eastAsia="Calibri" w:hAnsi="Calibri"/>
          <w:sz w:val="22"/>
          <w:szCs w:val="22"/>
        </w:rPr>
        <w:t xml:space="preserve">The second thesis is that AI does not act. It drafts. Every Iris suggestion goes through one approval gate. Every gated approval writes a hash-chained audit row. Every audit row carries the entity ID, the user ID, the model fingerprint, the prompt hash, and the previous block’s hash. The result is an AI that you can take to a courthouse: a deposition-grade chain that proves what the model proposed, who approved it, and what changed because of it. The PM in the trailer is not afraid of Iris because Iris cannot send an email Iris drafted; the PM has to press Approve, and the PM’s name is on the audit row.</w:t>
      </w:r>
    </w:p>
    <w:p>
      <w:pPr>
        <w:spacing w:after="140" w:line="300"/>
      </w:pPr>
      <w:r>
        <w:rPr>
          <w:rFonts w:ascii="Calibri" w:cs="Calibri" w:eastAsia="Calibri" w:hAnsi="Calibri"/>
          <w:sz w:val="22"/>
          <w:szCs w:val="22"/>
        </w:rPr>
        <w:t xml:space="preserve">The third thesis is that the system has to ship the artifacts. Construction does not run on chat. It runs on G702 forms, AIA G703 schedules of values, lien waivers compliant with state statute, certificates of insurance that match the contract, and PDF exports that survive a courtroom. Sitesync calculates pay apps to the integer cent under round-half-to-even. The G703 line totals reconcile to the G702 header within a dollar, by construction, because they share the same calculator. The pre-submission audit — five deterministic checks — will not let a pay app go out the door if a sub is missing a waiver or a COI is expired. Procore has invoicing, lien waivers, and insurance modules. None of them gate submission on a deterministic cross-module check. We do.</w:t>
      </w:r>
    </w:p>
    <w:p>
      <w:pPr>
        <w:spacing w:after="140" w:line="300"/>
      </w:pPr>
      <w:r>
        <w:rPr>
          <w:rFonts w:ascii="Calibri" w:cs="Calibri" w:eastAsia="Calibri" w:hAnsi="Calibri"/>
          <w:sz w:val="22"/>
          <w:szCs w:val="22"/>
        </w:rPr>
        <w:t xml:space="preserve">The fourth thesis is that switching cost is the moat that wins enterprise construction. Procore charges twenty thousand a year, asks the GC to enter every project from scratch, and locks the data inside a JSON schema you can’t export cleanly. Sitesync ships with a Procore migration tool that ingests projects, RFIs, submittals, COs, and pay apps — each row stamped with the original Procore ID and the verbatim source payload — so a customer can switch in days, not quarters, and never lose lineage.</w:t>
      </w:r>
    </w:p>
    <w:p>
      <w:pPr>
        <w:spacing w:after="140" w:line="300"/>
      </w:pPr>
      <w:r>
        <w:rPr>
          <w:rFonts w:ascii="Calibri" w:cs="Calibri" w:eastAsia="Calibri" w:hAnsi="Calibri"/>
          <w:sz w:val="22"/>
          <w:szCs w:val="22"/>
        </w:rPr>
        <w:t xml:space="preserve">The fifth thesis is that the subcontractor is the hidden user, and the sub portal is the hidden moat. Procore is a GC tool. The sub experience on Procore is so bad the sub uses email and pays the GC’s invoice through the bank. Sitesync ships a free sub portal where subs upload waivers and COIs, view their pay app status, see what they’re owed and when, and — in the second year — get paid through Sitesync’s rails. The sub portal is the network effect. Once the sub knows Sitesync from one job, the sub asks every other GC to use it.</w:t>
      </w:r>
    </w:p>
    <w:p>
      <w:pPr>
        <w:spacing w:after="140" w:line="300"/>
      </w:pPr>
      <w:r>
        <w:rPr>
          <w:rFonts w:ascii="Calibri" w:cs="Calibri" w:eastAsia="Calibri" w:hAnsi="Calibri"/>
          <w:sz w:val="22"/>
          <w:szCs w:val="22"/>
        </w:rPr>
        <w:t xml:space="preserve">Put together: a verb-first surface; an AI that drafts and never acts; a deposition-grade audit log; a financial calculator that reconciles to the penny; a Procore importer that kills switching cost; and a free sub portal that turns single-GC adoption into multi-GC pull. None of these is a feature. Each is a thesis. The sum is an operating system that makes the project run itself, with the human always in command.</w:t>
      </w:r>
    </w:p>
    <w:p>
      <w:pPr>
        <w:spacing w:after="140" w:line="300"/>
      </w:pPr>
      <w:r>
        <w:rPr>
          <w:rFonts w:ascii="Calibri" w:cs="Calibri" w:eastAsia="Calibri" w:hAnsi="Calibri"/>
          <w:sz w:val="22"/>
          <w:szCs w:val="22"/>
        </w:rPr>
        <w:t xml:space="preserve">That is what Sitesync is. The rest of this document is how we ship it.</w:t>
      </w:r>
    </w:p>
    <w:p>
      <w:pPr>
        <w:pStyle w:val="Heading1"/>
        <w:pageBreakBefore/>
        <w:spacing w:after="240" w:before="480"/>
      </w:pPr>
      <w:r>
        <w:rPr>
          <w:rFonts w:ascii="Calibri" w:cs="Calibri" w:eastAsia="Calibri" w:hAnsi="Calibri"/>
          <w:b/>
          <w:bCs/>
          <w:color w:val="0B2545"/>
          <w:sz w:val="40"/>
          <w:szCs w:val="40"/>
        </w:rPr>
        <w:t xml:space="preserve">II. Why Now</w:t>
      </w:r>
    </w:p>
    <w:p>
      <w:pPr>
        <w:spacing w:after="80" w:before="160" w:line="320"/>
        <w:ind w:left="720" w:right="720"/>
      </w:pPr>
      <w:r>
        <w:rPr>
          <w:rFonts w:ascii="Calibri" w:cs="Calibri" w:eastAsia="Calibri" w:hAnsi="Calibri"/>
          <w:i/>
          <w:iCs/>
          <w:color w:val="13315C"/>
          <w:sz w:val="24"/>
          <w:szCs w:val="24"/>
        </w:rPr>
        <w:t xml:space="preserve">“The right idea at the wrong time is a wrong idea. The right idea in the right window is the only thing that builds a generational company.”</w:t>
      </w:r>
    </w:p>
    <w:p>
      <w:pPr>
        <w:pStyle w:val="Heading2"/>
        <w:spacing w:after="160" w:before="320"/>
      </w:pPr>
      <w:r>
        <w:rPr>
          <w:rFonts w:ascii="Calibri" w:cs="Calibri" w:eastAsia="Calibri" w:hAnsi="Calibri"/>
          <w:b/>
          <w:bCs/>
          <w:color w:val="0B2545"/>
          <w:sz w:val="30"/>
          <w:szCs w:val="30"/>
        </w:rPr>
        <w:t xml:space="preserve">The eighteen-month window</w:t>
      </w:r>
    </w:p>
    <w:p>
      <w:pPr>
        <w:spacing w:after="140" w:line="300"/>
      </w:pPr>
      <w:r>
        <w:rPr>
          <w:rFonts w:ascii="Calibri" w:cs="Calibri" w:eastAsia="Calibri" w:hAnsi="Calibri"/>
          <w:sz w:val="22"/>
          <w:szCs w:val="22"/>
        </w:rPr>
        <w:t xml:space="preserve">There is a window. It opens because Anthropic’s tool-use APIs and OpenAI’s structured-output APIs both crossed a competence threshold in 2025. It opens because the construction labor crisis got worse, not better, with Boomers retiring and the trade not training enough Millennials and Gen Z to replace them. It opens because Procore is a public company with shareholder gravity, an aging architecture, and an AI feature roadmap that ships through committee. It opens because owners are demanding tighter audit trails after a decade of pay-app fraud cases, and the existing GC software does not provide them. It closes when the largest incumbent ships a credible AI-native daily log on its own platform — most likely at Procore Groundbreak in October 2026 — and the rest of the field rushes to copy.</w:t>
      </w:r>
    </w:p>
    <w:p>
      <w:pPr>
        <w:spacing w:after="140" w:line="300"/>
      </w:pPr>
      <w:r>
        <w:rPr>
          <w:rFonts w:ascii="Calibri" w:cs="Calibri" w:eastAsia="Calibri" w:hAnsi="Calibri"/>
          <w:sz w:val="22"/>
          <w:szCs w:val="22"/>
        </w:rPr>
        <w:t xml:space="preserve">That gives us, conservatively, until summer 2027 to prove the thesis with paying customers, ship the moat features, and make the switching argument so compelling that the next ten thousand GCs would rather migrate from Procore than wait for Procore Agent. After Q3 2027, the question is no longer who built it first; it is who has the most installations. The window is now.</w:t>
      </w:r>
    </w:p>
    <w:p>
      <w:pPr>
        <w:pStyle w:val="Heading2"/>
        <w:spacing w:after="160" w:before="320"/>
      </w:pPr>
      <w:r>
        <w:rPr>
          <w:rFonts w:ascii="Calibri" w:cs="Calibri" w:eastAsia="Calibri" w:hAnsi="Calibri"/>
          <w:b/>
          <w:bCs/>
          <w:color w:val="0B2545"/>
          <w:sz w:val="30"/>
          <w:szCs w:val="30"/>
        </w:rPr>
        <w:t xml:space="preserve">The four converging waves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880"/>
        <w:gridCol w:w="2880"/>
        <w:gridCol w:w="2520"/>
      </w:tblGrid>
      <w:tr>
        <w:trPr>
          <w:tblHeader/>
        </w:trPr>
        <w:tc>
          <w:tcPr>
            <w:tcW w:type="dxa" w:w="1080"/>
            <w:tcBorders>
              <w:top w:val="single" w:color="CCCCCC" w:sz="1"/>
              <w:left w:val="single" w:color="CCCCCC" w:sz="1"/>
              <w:bottom w:val="single" w:color="CCCCCC" w:sz="1"/>
              <w:right w:val="single" w:color="CCCCCC" w:sz="1"/>
            </w:tcBorders>
            <w:shd w:fill="0B2545" w:val="clear"/>
            <w:tcMar>
              <w:top w:type="dxa" w:w="120"/>
              <w:left w:type="dxa" w:w="140"/>
              <w:bottom w:type="dxa" w:w="120"/>
              <w:right w:type="dxa" w:w="120"/>
            </w:tcMar>
          </w:tcPr>
          <w:p>
            <w:r>
              <w:rPr>
                <w:rFonts w:ascii="Calibri" w:cs="Calibri" w:eastAsia="Calibri" w:hAnsi="Calibri"/>
                <w:b/>
                <w:bCs/>
                <w:color w:val="FFFFFF"/>
                <w:sz w:val="20"/>
                <w:szCs w:val="20"/>
              </w:rPr>
              <w:t xml:space="preserve">Wave</w:t>
            </w:r>
          </w:p>
        </w:tc>
        <w:tc>
          <w:tcPr>
            <w:tcW w:type="dxa" w:w="2880"/>
            <w:tcBorders>
              <w:top w:val="single" w:color="CCCCCC" w:sz="1"/>
              <w:left w:val="single" w:color="CCCCCC" w:sz="1"/>
              <w:bottom w:val="single" w:color="CCCCCC" w:sz="1"/>
              <w:right w:val="single" w:color="CCCCCC" w:sz="1"/>
            </w:tcBorders>
            <w:shd w:fill="0B2545" w:val="clear"/>
            <w:tcMar>
              <w:top w:type="dxa" w:w="120"/>
              <w:left w:type="dxa" w:w="140"/>
              <w:bottom w:type="dxa" w:w="120"/>
              <w:right w:type="dxa" w:w="120"/>
            </w:tcMar>
          </w:tcPr>
          <w:p>
            <w:r>
              <w:rPr>
                <w:rFonts w:ascii="Calibri" w:cs="Calibri" w:eastAsia="Calibri" w:hAnsi="Calibri"/>
                <w:b/>
                <w:bCs/>
                <w:color w:val="FFFFFF"/>
                <w:sz w:val="20"/>
                <w:szCs w:val="20"/>
              </w:rPr>
              <w:t xml:space="preserve">What changed</w:t>
            </w:r>
          </w:p>
        </w:tc>
        <w:tc>
          <w:tcPr>
            <w:tcW w:type="dxa" w:w="2880"/>
            <w:tcBorders>
              <w:top w:val="single" w:color="CCCCCC" w:sz="1"/>
              <w:left w:val="single" w:color="CCCCCC" w:sz="1"/>
              <w:bottom w:val="single" w:color="CCCCCC" w:sz="1"/>
              <w:right w:val="single" w:color="CCCCCC" w:sz="1"/>
            </w:tcBorders>
            <w:shd w:fill="0B2545" w:val="clear"/>
            <w:tcMar>
              <w:top w:type="dxa" w:w="120"/>
              <w:left w:type="dxa" w:w="140"/>
              <w:bottom w:type="dxa" w:w="120"/>
              <w:right w:type="dxa" w:w="120"/>
            </w:tcMar>
          </w:tcPr>
          <w:p>
            <w:r>
              <w:rPr>
                <w:rFonts w:ascii="Calibri" w:cs="Calibri" w:eastAsia="Calibri" w:hAnsi="Calibri"/>
                <w:b/>
                <w:bCs/>
                <w:color w:val="FFFFFF"/>
                <w:sz w:val="20"/>
                <w:szCs w:val="20"/>
              </w:rPr>
              <w:t xml:space="preserve">What it unlocked</w:t>
            </w:r>
          </w:p>
        </w:tc>
        <w:tc>
          <w:tcPr>
            <w:tcW w:type="dxa" w:w="2520"/>
            <w:tcBorders>
              <w:top w:val="single" w:color="CCCCCC" w:sz="1"/>
              <w:left w:val="single" w:color="CCCCCC" w:sz="1"/>
              <w:bottom w:val="single" w:color="CCCCCC" w:sz="1"/>
              <w:right w:val="single" w:color="CCCCCC" w:sz="1"/>
            </w:tcBorders>
            <w:shd w:fill="0B2545" w:val="clear"/>
            <w:tcMar>
              <w:top w:type="dxa" w:w="120"/>
              <w:left w:type="dxa" w:w="140"/>
              <w:bottom w:type="dxa" w:w="120"/>
              <w:right w:type="dxa" w:w="120"/>
            </w:tcMar>
          </w:tcPr>
          <w:p>
            <w:r>
              <w:rPr>
                <w:rFonts w:ascii="Calibri" w:cs="Calibri" w:eastAsia="Calibri" w:hAnsi="Calibri"/>
                <w:b/>
                <w:bCs/>
                <w:color w:val="FFFFFF"/>
                <w:sz w:val="20"/>
                <w:szCs w:val="20"/>
              </w:rPr>
              <w:t xml:space="preserve">Why it favors us</w:t>
            </w:r>
          </w:p>
        </w:tc>
      </w:tr>
      <w:tr>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AI</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Frontier models can now use tools, follow long structured workflows, and ground in source documents reliably enough to draft contractual artifacts.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Iris can read a transcript and draft a daily log narrative the super only edits in two minutes.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We bet on this thesis early. Our chokepoint architecture (every AI call through one server gate) means we can swap models without changing app code.</w:t>
            </w:r>
          </w:p>
        </w:tc>
      </w:tr>
      <w:tr>
        <w:tc>
          <w:tcPr>
            <w:tcW w:type="dxa" w:w="108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Labor</w:t>
            </w:r>
          </w:p>
        </w:tc>
        <w:tc>
          <w:tcPr>
            <w:tcW w:type="dxa" w:w="288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GC field labor is shrinking 6–9% per year. The average super is 54. The next generation is on a phone, not a desktop.</w:t>
            </w:r>
          </w:p>
        </w:tc>
        <w:tc>
          <w:tcPr>
            <w:tcW w:type="dxa" w:w="288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A mobile-first capture surface that turns photo + voice into structured records is no longer a nice-to-have — it’s table stakes.</w:t>
            </w:r>
          </w:p>
        </w:tc>
        <w:tc>
          <w:tcPr>
            <w:tcW w:type="dxa" w:w="252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We built mobile-first from day one. Procore added mobile after twelve years of being desktop-native. Their app is a port. Ours is the home.</w:t>
            </w:r>
          </w:p>
        </w:tc>
      </w:tr>
      <w:tr>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Audit</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Owners post-2023 demand verifiable provenance on every pay app. Insurance carriers tighten COI compliance. State AGs prosecute lien waiver fraud.</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A hash-chained audit log isn’t a feature — it’s a procurement requirement on jobs over $50M.</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We built it. Procore’s audit trail is event logging without verifiable chaining.</w:t>
            </w:r>
          </w:p>
        </w:tc>
      </w:tr>
      <w:tr>
        <w:tc>
          <w:tcPr>
            <w:tcW w:type="dxa" w:w="108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Switching</w:t>
            </w:r>
          </w:p>
        </w:tc>
        <w:tc>
          <w:tcPr>
            <w:tcW w:type="dxa" w:w="288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Procore’s customer base is increasingly frustrated by price hikes, multi-year lock-ins, and a roadmap dominated by enterprise sales asks.</w:t>
            </w:r>
          </w:p>
        </w:tc>
        <w:tc>
          <w:tcPr>
            <w:tcW w:type="dxa" w:w="288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G2 review sentiment moved from 4.4 to 4.1 between 2023 and 2025. Reddit r/Construction has weekly ‘how do I leave Procore’ threads.</w:t>
            </w:r>
          </w:p>
        </w:tc>
        <w:tc>
          <w:tcPr>
            <w:tcW w:type="dxa" w:w="252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Our migration tool turns six months of switching pain into three days. That’s not marketing — that’s in the codebase.</w:t>
            </w:r>
          </w:p>
        </w:tc>
      </w:tr>
    </w:tbl>
    <w:p>
      <w:pPr>
        <w:pStyle w:val="Heading2"/>
        <w:spacing w:after="160" w:before="320"/>
      </w:pPr>
      <w:r>
        <w:rPr>
          <w:rFonts w:ascii="Calibri" w:cs="Calibri" w:eastAsia="Calibri" w:hAnsi="Calibri"/>
          <w:b/>
          <w:bCs/>
          <w:color w:val="0B2545"/>
          <w:sz w:val="30"/>
          <w:szCs w:val="30"/>
        </w:rPr>
        <w:t xml:space="preserve">Why no one has built this yet</w:t>
      </w:r>
    </w:p>
    <w:p>
      <w:pPr>
        <w:pStyle w:val="ListParagraph"/>
        <w:numPr>
          <w:ilvl w:val="0"/>
          <w:numId w:val="2"/>
        </w:numPr>
        <w:spacing w:after="100" w:line="280"/>
      </w:pPr>
      <w:r>
        <w:rPr>
          <w:rFonts w:ascii="Calibri" w:cs="Calibri" w:eastAsia="Calibri" w:hAnsi="Calibri"/>
          <w:b/>
          <w:bCs/>
          <w:sz w:val="22"/>
          <w:szCs w:val="22"/>
        </w:rPr>
        <w:t xml:space="preserve">The incumbents are too busy defending the noun list. </w:t>
      </w:r>
      <w:r>
        <w:rPr>
          <w:rFonts w:ascii="Calibri" w:cs="Calibri" w:eastAsia="Calibri" w:hAnsi="Calibri"/>
          <w:sz w:val="22"/>
          <w:szCs w:val="22"/>
        </w:rPr>
        <w:t xml:space="preserve">Procore added 30+ top-level pages between 2018 and 2024. They cannot delete them without a customer revolt. They will add a chat layer on top, not a verb layer underneath.</w:t>
      </w:r>
    </w:p>
    <w:p>
      <w:pPr>
        <w:pStyle w:val="ListParagraph"/>
        <w:numPr>
          <w:ilvl w:val="0"/>
          <w:numId w:val="2"/>
        </w:numPr>
        <w:spacing w:after="100" w:line="280"/>
      </w:pPr>
      <w:r>
        <w:rPr>
          <w:rFonts w:ascii="Calibri" w:cs="Calibri" w:eastAsia="Calibri" w:hAnsi="Calibri"/>
          <w:b/>
          <w:bCs/>
          <w:sz w:val="22"/>
          <w:szCs w:val="22"/>
        </w:rPr>
        <w:t xml:space="preserve">The startups are too busy chasing point solutions. </w:t>
      </w:r>
      <w:r>
        <w:rPr>
          <w:rFonts w:ascii="Calibri" w:cs="Calibri" w:eastAsia="Calibri" w:hAnsi="Calibri"/>
          <w:sz w:val="22"/>
          <w:szCs w:val="22"/>
        </w:rPr>
        <w:t xml:space="preserve">Trunk Tools has a chatbot. Document Crunch has a doc reader. Buildots has a vision system. None of them ship the artifact that legally closes the loop — the signed daily log, the audited pay app, the contractual RFI response.</w:t>
      </w:r>
    </w:p>
    <w:p>
      <w:pPr>
        <w:pStyle w:val="ListParagraph"/>
        <w:numPr>
          <w:ilvl w:val="0"/>
          <w:numId w:val="2"/>
        </w:numPr>
        <w:spacing w:after="100" w:line="280"/>
      </w:pPr>
      <w:r>
        <w:rPr>
          <w:rFonts w:ascii="Calibri" w:cs="Calibri" w:eastAsia="Calibri" w:hAnsi="Calibri"/>
          <w:b/>
          <w:bCs/>
          <w:sz w:val="22"/>
          <w:szCs w:val="22"/>
        </w:rPr>
        <w:t xml:space="preserve">The technical bar moved in the last twelve months. </w:t>
      </w:r>
      <w:r>
        <w:rPr>
          <w:rFonts w:ascii="Calibri" w:cs="Calibri" w:eastAsia="Calibri" w:hAnsi="Calibri"/>
          <w:sz w:val="22"/>
          <w:szCs w:val="22"/>
        </w:rPr>
        <w:t xml:space="preserve">Hash-chained audit logs over Postgres triggers; SSE chokepoints; tool-use grounding with strict schemas. None of these were table-stakes in 2023. By the time the incumbent’s engineering org figures it out, we’ve shipped three versions.</w:t>
      </w:r>
    </w:p>
    <w:p>
      <w:pPr>
        <w:pStyle w:val="ListParagraph"/>
        <w:numPr>
          <w:ilvl w:val="0"/>
          <w:numId w:val="2"/>
        </w:numPr>
        <w:spacing w:after="100" w:line="280"/>
      </w:pPr>
      <w:r>
        <w:rPr>
          <w:rFonts w:ascii="Calibri" w:cs="Calibri" w:eastAsia="Calibri" w:hAnsi="Calibri"/>
          <w:b/>
          <w:bCs/>
          <w:sz w:val="22"/>
          <w:szCs w:val="22"/>
        </w:rPr>
        <w:t xml:space="preserve">The market does not look attractive to most VCs. </w:t>
      </w:r>
      <w:r>
        <w:rPr>
          <w:rFonts w:ascii="Calibri" w:cs="Calibri" w:eastAsia="Calibri" w:hAnsi="Calibri"/>
          <w:sz w:val="22"/>
          <w:szCs w:val="22"/>
        </w:rPr>
        <w:t xml:space="preserve">Construction is dirty, slow, fragmented. The handful who do invest — Brick &amp; Mortar, Fifth Wall, Suffolk’s fund — are willing to bet on people who actually built jobs. That is our advantage, not our disadvantage.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4"/>
              <w:left w:val="single" w:color="F26430" w:sz="24"/>
              <w:bottom w:val="single" w:color="0B2545" w:sz="4"/>
              <w:right w:val="single" w:color="0B2545" w:sz="4"/>
            </w:tcBorders>
            <w:shd w:fill="F7F4EE" w:val="clear"/>
            <w:tcMar>
              <w:top w:type="dxa" w:w="200"/>
              <w:left w:type="dxa" w:w="280"/>
              <w:bottom w:type="dxa" w:w="200"/>
              <w:right w:type="dxa" w:w="200"/>
            </w:tcMar>
          </w:tcPr>
          <w:p>
            <w:pPr>
              <w:spacing w:after="80"/>
            </w:pPr>
            <w:r>
              <w:rPr>
                <w:rFonts w:ascii="Calibri" w:cs="Calibri" w:eastAsia="Calibri" w:hAnsi="Calibri"/>
                <w:b/>
                <w:bCs/>
                <w:color w:val="F26430"/>
                <w:sz w:val="18"/>
                <w:szCs w:val="18"/>
              </w:rPr>
              <w:t xml:space="preserve">THE CLOCK</w:t>
            </w:r>
          </w:p>
          <w:p>
            <w:r>
              <w:rPr>
                <w:rFonts w:ascii="Calibri" w:cs="Calibri" w:eastAsia="Calibri" w:hAnsi="Calibri"/>
                <w:sz w:val="22"/>
                <w:szCs w:val="22"/>
              </w:rPr>
              <w:t xml:space="preserve">Procore Groundbreak runs October 7–9, 2026. Assume a credible ‘Procore Agent for Daily Logs’ GA on day one. We need a paying GC reference, a closed seed, and a 12-second demo on stage at a regional ABC chapter event before that date. That is the calendar.</w:t>
            </w:r>
          </w:p>
        </w:tc>
      </w:tr>
    </w:tbl>
    <w:p>
      <w:pPr>
        <w:pStyle w:val="Heading1"/>
        <w:pageBreakBefore/>
        <w:spacing w:after="240" w:before="480"/>
      </w:pPr>
      <w:r>
        <w:rPr>
          <w:rFonts w:ascii="Calibri" w:cs="Calibri" w:eastAsia="Calibri" w:hAnsi="Calibri"/>
          <w:b/>
          <w:bCs/>
          <w:color w:val="0B2545"/>
          <w:sz w:val="40"/>
          <w:szCs w:val="40"/>
        </w:rPr>
        <w:t xml:space="preserve">III. The Customer</w:t>
      </w:r>
    </w:p>
    <w:p>
      <w:pPr>
        <w:spacing w:after="80" w:before="160" w:line="320"/>
        <w:ind w:left="720" w:right="720"/>
      </w:pPr>
      <w:r>
        <w:rPr>
          <w:rFonts w:ascii="Calibri" w:cs="Calibri" w:eastAsia="Calibri" w:hAnsi="Calibri"/>
          <w:i/>
          <w:iCs/>
          <w:color w:val="13315C"/>
          <w:sz w:val="24"/>
          <w:szCs w:val="24"/>
        </w:rPr>
        <w:t xml:space="preserve">“Software is not built for personas. Software is built for one person you can name, whose Tuesday afternoon you have memorized.”</w:t>
      </w:r>
    </w:p>
    <w:p>
      <w:pPr>
        <w:pStyle w:val="Heading2"/>
        <w:spacing w:after="160" w:before="320"/>
      </w:pPr>
      <w:r>
        <w:rPr>
          <w:rFonts w:ascii="Calibri" w:cs="Calibri" w:eastAsia="Calibri" w:hAnsi="Calibri"/>
          <w:b/>
          <w:bCs/>
          <w:color w:val="0B2545"/>
          <w:sz w:val="30"/>
          <w:szCs w:val="30"/>
        </w:rPr>
        <w:t xml:space="preserve">Three names. Three Tuesdays.</w:t>
      </w:r>
    </w:p>
    <w:p>
      <w:pPr>
        <w:spacing w:after="140" w:line="300"/>
      </w:pPr>
      <w:r>
        <w:rPr>
          <w:rFonts w:ascii="Calibri" w:cs="Calibri" w:eastAsia="Calibri" w:hAnsi="Calibri"/>
          <w:sz w:val="22"/>
          <w:szCs w:val="22"/>
        </w:rPr>
        <w:t xml:space="preserve">We do not build for “the construction industry.” We build for three named humans whose lives this product changes by Friday.</w:t>
      </w:r>
    </w:p>
    <w:p>
      <w:pPr>
        <w:pStyle w:val="Heading3"/>
        <w:spacing w:after="120" w:before="240"/>
      </w:pPr>
      <w:r>
        <w:rPr>
          <w:rFonts w:ascii="Calibri" w:cs="Calibri" w:eastAsia="Calibri" w:hAnsi="Calibri"/>
          <w:b/>
          <w:bCs/>
          <w:color w:val="13315C"/>
          <w:sz w:val="25"/>
          <w:szCs w:val="25"/>
        </w:rPr>
        <w:t xml:space="preserve">Marco — the superintendent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20"/>
            </w:tcMar>
          </w:tcPr>
          <w:p>
            <w:r>
              <w:rPr>
                <w:rFonts w:ascii="Calibri" w:cs="Calibri" w:eastAsia="Calibri" w:hAnsi="Calibri"/>
                <w:b/>
                <w:bCs/>
                <w:sz w:val="20"/>
                <w:szCs w:val="20"/>
              </w:rPr>
              <w:t xml:space="preserve">Who</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20"/>
            </w:tcMar>
          </w:tcPr>
          <w:p>
            <w:r>
              <w:rPr>
                <w:rFonts w:ascii="Calibri" w:cs="Calibri" w:eastAsia="Calibri" w:hAnsi="Calibri"/>
                <w:sz w:val="20"/>
                <w:szCs w:val="20"/>
              </w:rPr>
              <w:t xml:space="preserve">53. Local 3 retired electrician turned super at a mid-size GC in Houston. Job: $46M elementary school in Sugar Land, second of three in a contract.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Calibri" w:cs="Calibri" w:eastAsia="Calibri" w:hAnsi="Calibri"/>
                <w:b/>
                <w:bCs/>
                <w:sz w:val="20"/>
                <w:szCs w:val="20"/>
              </w:rPr>
              <w:t xml:space="preserve">Today’s pain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Calibri" w:cs="Calibri" w:eastAsia="Calibri" w:hAnsi="Calibri"/>
                <w:sz w:val="20"/>
                <w:szCs w:val="20"/>
              </w:rPr>
              <w:t xml:space="preserve">He walks the slab three times a day with a phone and a damp paper notebook. He texts photos to the PM. He forgets which suite the photo was for. He gets home at 6:45, opens his laptop, retypes the day into Procore for an hour while his daughter eats dinner alone.</w:t>
            </w:r>
          </w:p>
        </w:tc>
      </w:tr>
      <w:tr>
        <w:tc>
          <w:tcPr>
            <w:tcW w:type="dxa" w:w="312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20"/>
            </w:tcMar>
          </w:tcPr>
          <w:p>
            <w:r>
              <w:rPr>
                <w:rFonts w:ascii="Calibri" w:cs="Calibri" w:eastAsia="Calibri" w:hAnsi="Calibri"/>
                <w:b/>
                <w:bCs/>
                <w:sz w:val="20"/>
                <w:szCs w:val="20"/>
              </w:rPr>
              <w:t xml:space="preserve">What we ship him</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20"/>
            </w:tcMar>
          </w:tcPr>
          <w:p>
            <w:r>
              <w:rPr>
                <w:rFonts w:ascii="Calibri" w:cs="Calibri" w:eastAsia="Calibri" w:hAnsi="Calibri"/>
                <w:sz w:val="20"/>
                <w:szCs w:val="20"/>
              </w:rPr>
              <w:t xml:space="preserve">Capture button. He speaks his sentence, snaps a photo. The location pin lands itself off the GPS. The classifier routes it to a punch item, an RFI, or a daily-log entry. He never opens /punch-list or /rfis. The daily log writes itself by 5 p.m. He reviews, signs, drives home.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Calibri" w:cs="Calibri" w:eastAsia="Calibri" w:hAnsi="Calibri"/>
                <w:b/>
                <w:bCs/>
                <w:sz w:val="20"/>
                <w:szCs w:val="20"/>
              </w:rPr>
              <w:t xml:space="preserve">The moment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Calibri" w:cs="Calibri" w:eastAsia="Calibri" w:hAnsi="Calibri"/>
                <w:sz w:val="20"/>
                <w:szCs w:val="20"/>
              </w:rPr>
              <w:t xml:space="preserve">First Tuesday after we install: he gets home at 5:20. His daughter is still at the table. He looks at his wife and says “the app wrote the log.” That sentence is the entire product.</w:t>
            </w:r>
          </w:p>
        </w:tc>
      </w:tr>
    </w:tbl>
    <w:p>
      <w:pPr>
        <w:pStyle w:val="Heading3"/>
        <w:spacing w:after="120" w:before="240"/>
      </w:pPr>
      <w:r>
        <w:rPr>
          <w:rFonts w:ascii="Calibri" w:cs="Calibri" w:eastAsia="Calibri" w:hAnsi="Calibri"/>
          <w:b/>
          <w:bCs/>
          <w:color w:val="13315C"/>
          <w:sz w:val="25"/>
          <w:szCs w:val="25"/>
        </w:rPr>
        <w:t xml:space="preserve">Jenna — the project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20"/>
            </w:tcMar>
          </w:tcPr>
          <w:p>
            <w:r>
              <w:rPr>
                <w:rFonts w:ascii="Calibri" w:cs="Calibri" w:eastAsia="Calibri" w:hAnsi="Calibri"/>
                <w:b/>
                <w:bCs/>
                <w:sz w:val="20"/>
                <w:szCs w:val="20"/>
              </w:rPr>
              <w:t xml:space="preserve">Who</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20"/>
            </w:tcMar>
          </w:tcPr>
          <w:p>
            <w:r>
              <w:rPr>
                <w:rFonts w:ascii="Calibri" w:cs="Calibri" w:eastAsia="Calibri" w:hAnsi="Calibri"/>
                <w:sz w:val="20"/>
                <w:szCs w:val="20"/>
              </w:rPr>
              <w:t xml:space="preserve">34. PM at the same GC, two years into the role, three projects on her plate, the same school is one. CCM in 2017.</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Calibri" w:cs="Calibri" w:eastAsia="Calibri" w:hAnsi="Calibri"/>
                <w:b/>
                <w:bCs/>
                <w:sz w:val="20"/>
                <w:szCs w:val="20"/>
              </w:rPr>
              <w:t xml:space="preserve">Today’s pain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Calibri" w:cs="Calibri" w:eastAsia="Calibri" w:hAnsi="Calibri"/>
                <w:sz w:val="20"/>
                <w:szCs w:val="20"/>
              </w:rPr>
              <w:t xml:space="preserve">Sunday night dread. Eight RFIs older than seven days, three submittals waiting on the architect since the holiday, two pay apps due Friday, and an owner call Monday at 9 a.m. She runs four reports across three modules to figure out who owes whom what.</w:t>
            </w:r>
          </w:p>
        </w:tc>
      </w:tr>
      <w:tr>
        <w:tc>
          <w:tcPr>
            <w:tcW w:type="dxa" w:w="312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20"/>
            </w:tcMar>
          </w:tcPr>
          <w:p>
            <w:r>
              <w:rPr>
                <w:rFonts w:ascii="Calibri" w:cs="Calibri" w:eastAsia="Calibri" w:hAnsi="Calibri"/>
                <w:b/>
                <w:bCs/>
                <w:sz w:val="20"/>
                <w:szCs w:val="20"/>
              </w:rPr>
              <w:t xml:space="preserve">What we ship her</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20"/>
            </w:tcMar>
          </w:tcPr>
          <w:p>
            <w:r>
              <w:rPr>
                <w:rFonts w:ascii="Calibri" w:cs="Calibri" w:eastAsia="Calibri" w:hAnsi="Calibri"/>
                <w:sz w:val="20"/>
                <w:szCs w:val="20"/>
              </w:rPr>
              <w:t xml:space="preserve">The Conversation. One inbox of every artifact waiting on a person, ranked by ball-in-court SLA. Iris drafts the response to RFI #047 because the answer is in the architect’s SK-12 sketch from October. She approves, sends. The five-check pre-submission audit catches a missing lien waiver and an expired COI before submission. The owner call opens with “here’s the audit log,” not “let me explain.”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Calibri" w:cs="Calibri" w:eastAsia="Calibri" w:hAnsi="Calibri"/>
                <w:b/>
                <w:bCs/>
                <w:sz w:val="20"/>
                <w:szCs w:val="20"/>
              </w:rPr>
              <w:t xml:space="preserve">The moment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Calibri" w:cs="Calibri" w:eastAsia="Calibri" w:hAnsi="Calibri"/>
                <w:sz w:val="20"/>
                <w:szCs w:val="20"/>
              </w:rPr>
              <w:t xml:space="preserve">Second pay app cycle: she clicks Submit, the audit passes, the email goes. She closes the laptop at 7:08 p.m. on Thursday for the first time in six months.</w:t>
            </w:r>
          </w:p>
        </w:tc>
      </w:tr>
    </w:tbl>
    <w:p>
      <w:pPr>
        <w:pStyle w:val="Heading3"/>
        <w:spacing w:after="120" w:before="240"/>
      </w:pPr>
      <w:r>
        <w:rPr>
          <w:rFonts w:ascii="Calibri" w:cs="Calibri" w:eastAsia="Calibri" w:hAnsi="Calibri"/>
          <w:b/>
          <w:bCs/>
          <w:color w:val="13315C"/>
          <w:sz w:val="25"/>
          <w:szCs w:val="25"/>
        </w:rPr>
        <w:t xml:space="preserve">Reyna — the executive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20"/>
            </w:tcMar>
          </w:tcPr>
          <w:p>
            <w:r>
              <w:rPr>
                <w:rFonts w:ascii="Calibri" w:cs="Calibri" w:eastAsia="Calibri" w:hAnsi="Calibri"/>
                <w:b/>
                <w:bCs/>
                <w:sz w:val="20"/>
                <w:szCs w:val="20"/>
              </w:rPr>
              <w:t xml:space="preserve">Who</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20"/>
            </w:tcMar>
          </w:tcPr>
          <w:p>
            <w:r>
              <w:rPr>
                <w:rFonts w:ascii="Calibri" w:cs="Calibri" w:eastAsia="Calibri" w:hAnsi="Calibri"/>
                <w:sz w:val="20"/>
                <w:szCs w:val="20"/>
              </w:rPr>
              <w:t xml:space="preserve">47. VP Construction at a regional GC, $400M annual volume, twelve active projects, board update on the first Tuesday of every month.</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Calibri" w:cs="Calibri" w:eastAsia="Calibri" w:hAnsi="Calibri"/>
                <w:b/>
                <w:bCs/>
                <w:sz w:val="20"/>
                <w:szCs w:val="20"/>
              </w:rPr>
              <w:t xml:space="preserve">Today’s pain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Calibri" w:cs="Calibri" w:eastAsia="Calibri" w:hAnsi="Calibri"/>
                <w:sz w:val="20"/>
                <w:szCs w:val="20"/>
              </w:rPr>
              <w:t xml:space="preserve">She does not know which project is in trouble until the PM tells her. The PM tells her late. The board update is a PowerPoint stitched together by three PMs at midnight.</w:t>
            </w:r>
          </w:p>
        </w:tc>
      </w:tr>
      <w:tr>
        <w:tc>
          <w:tcPr>
            <w:tcW w:type="dxa" w:w="312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20"/>
            </w:tcMar>
          </w:tcPr>
          <w:p>
            <w:r>
              <w:rPr>
                <w:rFonts w:ascii="Calibri" w:cs="Calibri" w:eastAsia="Calibri" w:hAnsi="Calibri"/>
                <w:b/>
                <w:bCs/>
                <w:sz w:val="20"/>
                <w:szCs w:val="20"/>
              </w:rPr>
              <w:t xml:space="preserve">What we ship her</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20"/>
            </w:tcMar>
          </w:tcPr>
          <w:p>
            <w:r>
              <w:rPr>
                <w:rFonts w:ascii="Calibri" w:cs="Calibri" w:eastAsia="Calibri" w:hAnsi="Calibri"/>
                <w:sz w:val="20"/>
                <w:szCs w:val="20"/>
              </w:rPr>
              <w:t xml:space="preserve">Portfolio rollup. One screen, twelve projects, a single risk score per project that combines schedule slip, budget burn, RFI age, and pay-app rejection rate. She drills into the red one, sees the chain (RFI → drawing markup → RFI response → CO), and writes the board update in twenty minutes.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Calibri" w:cs="Calibri" w:eastAsia="Calibri" w:hAnsi="Calibri"/>
                <w:b/>
                <w:bCs/>
                <w:sz w:val="20"/>
                <w:szCs w:val="20"/>
              </w:rPr>
              <w:t xml:space="preserve">The moment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Calibri" w:cs="Calibri" w:eastAsia="Calibri" w:hAnsi="Calibri"/>
                <w:sz w:val="20"/>
                <w:szCs w:val="20"/>
              </w:rPr>
              <w:t xml:space="preserve">Third month: the board chair asks a follow-up question. She opens the chain on her phone and answers it live. The next week she expands Sitesync to three more projects without asking permission.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4"/>
              <w:left w:val="single" w:color="F26430" w:sz="24"/>
              <w:bottom w:val="single" w:color="0B2545" w:sz="4"/>
              <w:right w:val="single" w:color="0B2545" w:sz="4"/>
            </w:tcBorders>
            <w:shd w:fill="F7F4EE" w:val="clear"/>
            <w:tcMar>
              <w:top w:type="dxa" w:w="200"/>
              <w:left w:type="dxa" w:w="280"/>
              <w:bottom w:type="dxa" w:w="200"/>
              <w:right w:type="dxa" w:w="200"/>
            </w:tcMar>
          </w:tcPr>
          <w:p>
            <w:pPr>
              <w:spacing w:after="80"/>
            </w:pPr>
            <w:r>
              <w:rPr>
                <w:rFonts w:ascii="Calibri" w:cs="Calibri" w:eastAsia="Calibri" w:hAnsi="Calibri"/>
                <w:b/>
                <w:bCs/>
                <w:color w:val="F26430"/>
                <w:sz w:val="18"/>
                <w:szCs w:val="18"/>
              </w:rPr>
              <w:t xml:space="preserve">DESIGN TEST</w:t>
            </w:r>
          </w:p>
          <w:p>
            <w:r>
              <w:rPr>
                <w:rFonts w:ascii="Calibri" w:cs="Calibri" w:eastAsia="Calibri" w:hAnsi="Calibri"/>
                <w:sz w:val="22"/>
                <w:szCs w:val="22"/>
              </w:rPr>
              <w:t xml:space="preserve">Every feature ships only if you can name which of the three it serves and which Tuesday it changes. If a feature serves all three equally well, it serves none of them; refine until the answer sharpens.</w:t>
            </w:r>
          </w:p>
        </w:tc>
      </w:tr>
    </w:tbl>
    <w:p>
      <w:pPr>
        <w:pStyle w:val="Heading1"/>
        <w:pageBreakBefore/>
        <w:spacing w:after="240" w:before="480"/>
      </w:pPr>
      <w:r>
        <w:rPr>
          <w:rFonts w:ascii="Calibri" w:cs="Calibri" w:eastAsia="Calibri" w:hAnsi="Calibri"/>
          <w:b/>
          <w:bCs/>
          <w:color w:val="0B2545"/>
          <w:sz w:val="40"/>
          <w:szCs w:val="40"/>
        </w:rPr>
        <w:t xml:space="preserve">IV. The Product Thesis</w:t>
      </w:r>
    </w:p>
    <w:p>
      <w:pPr>
        <w:spacing w:after="80" w:before="160" w:line="320"/>
        <w:ind w:left="720" w:right="720"/>
      </w:pPr>
      <w:r>
        <w:rPr>
          <w:rFonts w:ascii="Calibri" w:cs="Calibri" w:eastAsia="Calibri" w:hAnsi="Calibri"/>
          <w:i/>
          <w:iCs/>
          <w:color w:val="13315C"/>
          <w:sz w:val="24"/>
          <w:szCs w:val="24"/>
        </w:rPr>
        <w:t xml:space="preserve">“Tools that survive fifty years all share one trait: they make the user feel competent, not capable. Capability is what marketing sells. Competence is what gets re-bought.”</w:t>
      </w:r>
    </w:p>
    <w:p>
      <w:pPr>
        <w:pStyle w:val="Heading2"/>
        <w:spacing w:after="160" w:before="320"/>
      </w:pPr>
      <w:r>
        <w:rPr>
          <w:rFonts w:ascii="Calibri" w:cs="Calibri" w:eastAsia="Calibri" w:hAnsi="Calibri"/>
          <w:b/>
          <w:bCs/>
          <w:color w:val="0B2545"/>
          <w:sz w:val="30"/>
          <w:szCs w:val="30"/>
        </w:rPr>
        <w:t xml:space="preserve">Five theses, six words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8"/>
              <w:left w:val="single" w:color="0B2545" w:sz="8"/>
              <w:bottom w:val="single" w:color="0B2545" w:sz="8"/>
              <w:right w:val="single" w:color="0B2545" w:sz="8"/>
            </w:tcBorders>
            <w:shd w:fill="0B2545" w:val="clear"/>
            <w:tcMar>
              <w:top w:type="dxa" w:w="320"/>
              <w:left w:type="dxa" w:w="320"/>
              <w:bottom w:type="dxa" w:w="320"/>
              <w:right w:type="dxa" w:w="320"/>
            </w:tcMar>
          </w:tcPr>
          <w:p>
            <w:pPr>
              <w:jc w:val="center"/>
            </w:pPr>
            <w:r>
              <w:rPr>
                <w:rFonts w:ascii="Calibri" w:cs="Calibri" w:eastAsia="Calibri" w:hAnsi="Calibri"/>
                <w:b/>
                <w:bCs/>
                <w:color w:val="FFFFFF"/>
                <w:sz w:val="32"/>
                <w:szCs w:val="32"/>
              </w:rPr>
              <w:t xml:space="preserve">Verbs over nouns. Drafts over actions. Audited over autonomous. Mobile over desktop. Subs over silos. Speed over surface.</w:t>
            </w:r>
          </w:p>
        </w:tc>
      </w:tr>
    </w:tbl>
    <w:p>
      <w:pPr>
        <w:pStyle w:val="Heading2"/>
        <w:spacing w:after="160" w:before="320"/>
      </w:pPr>
      <w:r>
        <w:rPr>
          <w:rFonts w:ascii="Calibri" w:cs="Calibri" w:eastAsia="Calibri" w:hAnsi="Calibri"/>
          <w:b/>
          <w:bCs/>
          <w:color w:val="0B2545"/>
          <w:sz w:val="30"/>
          <w:szCs w:val="30"/>
        </w:rPr>
        <w:t xml:space="preserve">Thesis one — verbs over nouns</w:t>
      </w:r>
    </w:p>
    <w:p>
      <w:pPr>
        <w:spacing w:after="140" w:line="300"/>
      </w:pPr>
      <w:r>
        <w:rPr>
          <w:rFonts w:ascii="Calibri" w:cs="Calibri" w:eastAsia="Calibri" w:hAnsi="Calibri"/>
          <w:sz w:val="22"/>
          <w:szCs w:val="22"/>
        </w:rPr>
        <w:t xml:space="preserve">The home row is what you are doing, not which database table you need to touch. Five verbs: The Day, The Field, The Conversation, The Set, The Site. Documented in docs/THE_FIVE.md. The legacy nouns — RFI, Submittal, CO, Daily Log, Drawing, Schedule, Budget — each map to a verb and keep their dedicated route, number, and PDF export. The judge in a contract dispute still sees RFI #047. The super never had to know what an RFI is.</w:t>
      </w:r>
    </w:p>
    <w:p>
      <w:pPr>
        <w:pStyle w:val="Heading2"/>
        <w:spacing w:after="160" w:before="320"/>
      </w:pPr>
      <w:r>
        <w:rPr>
          <w:rFonts w:ascii="Calibri" w:cs="Calibri" w:eastAsia="Calibri" w:hAnsi="Calibri"/>
          <w:b/>
          <w:bCs/>
          <w:color w:val="0B2545"/>
          <w:sz w:val="30"/>
          <w:szCs w:val="30"/>
        </w:rPr>
        <w:t xml:space="preserve">Thesis two — drafts over actions</w:t>
      </w:r>
    </w:p>
    <w:p>
      <w:pPr>
        <w:spacing w:after="140" w:line="300"/>
      </w:pPr>
      <w:r>
        <w:rPr>
          <w:rFonts w:ascii="Calibri" w:cs="Calibri" w:eastAsia="Calibri" w:hAnsi="Calibri"/>
          <w:sz w:val="22"/>
          <w:szCs w:val="22"/>
        </w:rPr>
        <w:t xml:space="preserve">Iris drafts. Iris does not act. Every suggestion writes a row to drafted_actions before any side effect. The approval gate at src/components/iris/IrisApprovalGate.tsx is the single bottleneck where human consent becomes machine permission. The audit row that follows captures the model fingerprint, the prompt hash, the user ID, the entity ID, and the previous block’s SHA. A tampered chain is provably altered. This is the architecture that lets a court accept Iris-drafted work as evidence.</w:t>
      </w:r>
    </w:p>
    <w:p>
      <w:pPr>
        <w:pStyle w:val="Heading2"/>
        <w:spacing w:after="160" w:before="320"/>
      </w:pPr>
      <w:r>
        <w:rPr>
          <w:rFonts w:ascii="Calibri" w:cs="Calibri" w:eastAsia="Calibri" w:hAnsi="Calibri"/>
          <w:b/>
          <w:bCs/>
          <w:color w:val="0B2545"/>
          <w:sz w:val="30"/>
          <w:szCs w:val="30"/>
        </w:rPr>
        <w:t xml:space="preserve">Thesis three — audited over autonomous</w:t>
      </w:r>
    </w:p>
    <w:p>
      <w:pPr>
        <w:spacing w:after="140" w:line="300"/>
      </w:pPr>
      <w:r>
        <w:rPr>
          <w:rFonts w:ascii="Calibri" w:cs="Calibri" w:eastAsia="Calibri" w:hAnsi="Calibri"/>
          <w:sz w:val="22"/>
          <w:szCs w:val="22"/>
        </w:rPr>
        <w:t xml:space="preserve">The audit log is the product. Hash-chained per supabase/migrations/20260426000001_audit_log_hash_chain.sql. Verifier at src/lib/audit/hashChainVerifier.ts. Sealed export at src/lib/audit/sealedExport.ts. We will never ship an autonomous executor that bypasses the chain. We will ship higher and higher confidence drafts; the human stays on the trigger.</w:t>
      </w:r>
    </w:p>
    <w:p>
      <w:pPr>
        <w:pStyle w:val="Heading2"/>
        <w:spacing w:after="160" w:before="320"/>
      </w:pPr>
      <w:r>
        <w:rPr>
          <w:rFonts w:ascii="Calibri" w:cs="Calibri" w:eastAsia="Calibri" w:hAnsi="Calibri"/>
          <w:b/>
          <w:bCs/>
          <w:color w:val="0B2545"/>
          <w:sz w:val="30"/>
          <w:szCs w:val="30"/>
        </w:rPr>
        <w:t xml:space="preserve">Thesis four — mobile over desktop</w:t>
      </w:r>
    </w:p>
    <w:p>
      <w:pPr>
        <w:spacing w:after="140" w:line="300"/>
      </w:pPr>
      <w:r>
        <w:rPr>
          <w:rFonts w:ascii="Calibri" w:cs="Calibri" w:eastAsia="Calibri" w:hAnsi="Calibri"/>
          <w:sz w:val="22"/>
          <w:szCs w:val="22"/>
        </w:rPr>
        <w:t xml:space="preserve">The super in the basement of a thirty-story tower has no signal. Capture queues locally, syncs when connectivity returns, never loses a photo. The mobile shell is the surface where 80% of capture happens. The desktop is where the PM batch-approves at 5 p.m. and where the architect’s CA still bookmarks /submittals. Both surfaces share one schema, one calculator, one audit chain.</w:t>
      </w:r>
    </w:p>
    <w:p>
      <w:pPr>
        <w:pStyle w:val="Heading2"/>
        <w:spacing w:after="160" w:before="320"/>
      </w:pPr>
      <w:r>
        <w:rPr>
          <w:rFonts w:ascii="Calibri" w:cs="Calibri" w:eastAsia="Calibri" w:hAnsi="Calibri"/>
          <w:b/>
          <w:bCs/>
          <w:color w:val="0B2545"/>
          <w:sz w:val="30"/>
          <w:szCs w:val="30"/>
        </w:rPr>
        <w:t xml:space="preserve">Thesis five — subs over silos</w:t>
      </w:r>
    </w:p>
    <w:p>
      <w:pPr>
        <w:spacing w:after="140" w:line="300"/>
      </w:pPr>
      <w:r>
        <w:rPr>
          <w:rFonts w:ascii="Calibri" w:cs="Calibri" w:eastAsia="Calibri" w:hAnsi="Calibri"/>
          <w:sz w:val="22"/>
          <w:szCs w:val="22"/>
        </w:rPr>
        <w:t xml:space="preserve">The subcontractor is the hidden user. The sub portal is free. The sub uploads waivers and COIs, sees pay app status, and — in year two — gets paid through Sitesync rails. The portal is the wedge that converts single-GC adoption into multi-GC pull. Procore charges $30K/yr extra for a watered-down version. Fieldwire cannot ship it (no financials). Trunk Tools cannot ship it (no document substrate). We can. The migration is documented in MARKET_INTELLIGENCE.md as the #5 most-demanded feature across 3,000+ G2/Capterra/Reddit reviews.</w:t>
      </w:r>
    </w:p>
    <w:p>
      <w:pPr>
        <w:pStyle w:val="Heading2"/>
        <w:spacing w:after="160" w:before="320"/>
      </w:pPr>
      <w:r>
        <w:rPr>
          <w:rFonts w:ascii="Calibri" w:cs="Calibri" w:eastAsia="Calibri" w:hAnsi="Calibri"/>
          <w:b/>
          <w:bCs/>
          <w:color w:val="0B2545"/>
          <w:sz w:val="30"/>
          <w:szCs w:val="30"/>
        </w:rPr>
        <w:t xml:space="preserve">Thesis six — speed over surface</w:t>
      </w:r>
    </w:p>
    <w:p>
      <w:pPr>
        <w:spacing w:after="140" w:line="300"/>
      </w:pPr>
      <w:r>
        <w:rPr>
          <w:rFonts w:ascii="Calibri" w:cs="Calibri" w:eastAsia="Calibri" w:hAnsi="Calibri"/>
          <w:sz w:val="22"/>
          <w:szCs w:val="22"/>
        </w:rPr>
        <w:t xml:space="preserve">Every interaction has a budget. Capture: 2.0 seconds from button to confirmation. Inbox load: 1.2 seconds to first paint. Iris draft: 4.0 seconds to first token streamed. PDF export: 6.0 seconds to download. We will refuse a feature that would breach any of these. Procore’s pages take 4–7 seconds. We measure ours every commit and ship it on the 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4"/>
              <w:left w:val="single" w:color="F26430" w:sz="24"/>
              <w:bottom w:val="single" w:color="0B2545" w:sz="4"/>
              <w:right w:val="single" w:color="0B2545" w:sz="4"/>
            </w:tcBorders>
            <w:shd w:fill="F7F4EE" w:val="clear"/>
            <w:tcMar>
              <w:top w:type="dxa" w:w="200"/>
              <w:left w:type="dxa" w:w="280"/>
              <w:bottom w:type="dxa" w:w="200"/>
              <w:right w:type="dxa" w:w="200"/>
            </w:tcMar>
          </w:tcPr>
          <w:p>
            <w:pPr>
              <w:spacing w:after="80"/>
            </w:pPr>
            <w:r>
              <w:rPr>
                <w:rFonts w:ascii="Calibri" w:cs="Calibri" w:eastAsia="Calibri" w:hAnsi="Calibri"/>
                <w:b/>
                <w:bCs/>
                <w:color w:val="F26430"/>
                <w:sz w:val="18"/>
                <w:szCs w:val="18"/>
              </w:rPr>
              <w:t xml:space="preserve">THE TWO-SECOND RULE</w:t>
            </w:r>
          </w:p>
          <w:p>
            <w:r>
              <w:rPr>
                <w:rFonts w:ascii="Calibri" w:cs="Calibri" w:eastAsia="Calibri" w:hAnsi="Calibri"/>
                <w:sz w:val="22"/>
                <w:szCs w:val="22"/>
              </w:rPr>
              <w:t xml:space="preserve">If the PM’s next action takes more than two seconds of computer-imposed wait, we’ve broken the contract. Field workers wait on weather, on inspectors, on subs. They do not wait on us.</w:t>
            </w:r>
          </w:p>
        </w:tc>
      </w:tr>
    </w:tbl>
    <w:p>
      <w:pPr>
        <w:pStyle w:val="Heading1"/>
        <w:pageBreakBefore/>
        <w:spacing w:after="240" w:before="480"/>
      </w:pPr>
      <w:r>
        <w:rPr>
          <w:rFonts w:ascii="Calibri" w:cs="Calibri" w:eastAsia="Calibri" w:hAnsi="Calibri"/>
          <w:b/>
          <w:bCs/>
          <w:color w:val="0B2545"/>
          <w:sz w:val="40"/>
          <w:szCs w:val="40"/>
        </w:rPr>
        <w:t xml:space="preserve">V. The Four Moats</w:t>
      </w:r>
    </w:p>
    <w:p>
      <w:pPr>
        <w:spacing w:after="80" w:before="160" w:line="320"/>
        <w:ind w:left="720" w:right="720"/>
      </w:pPr>
      <w:r>
        <w:rPr>
          <w:rFonts w:ascii="Calibri" w:cs="Calibri" w:eastAsia="Calibri" w:hAnsi="Calibri"/>
          <w:i/>
          <w:iCs/>
          <w:color w:val="13315C"/>
          <w:sz w:val="24"/>
          <w:szCs w:val="24"/>
        </w:rPr>
        <w:t xml:space="preserve">“A moat is what your competitor cannot copy in twelve months even after you put it on the box.”</w:t>
      </w:r>
    </w:p>
    <w:p>
      <w:pPr>
        <w:pStyle w:val="Heading2"/>
        <w:spacing w:after="160" w:before="320"/>
      </w:pPr>
      <w:r>
        <w:rPr>
          <w:rFonts w:ascii="Calibri" w:cs="Calibri" w:eastAsia="Calibri" w:hAnsi="Calibri"/>
          <w:b/>
          <w:bCs/>
          <w:color w:val="0B2545"/>
          <w:sz w:val="30"/>
          <w:szCs w:val="30"/>
        </w:rPr>
        <w:t xml:space="preserve">Moat one — the audited AI architecture</w:t>
      </w:r>
    </w:p>
    <w:p>
      <w:pPr>
        <w:spacing w:after="140" w:line="300"/>
      </w:pPr>
      <w:r>
        <w:rPr>
          <w:rFonts w:ascii="Calibri" w:cs="Calibri" w:eastAsia="Calibri" w:hAnsi="Calibri"/>
          <w:sz w:val="22"/>
          <w:szCs w:val="22"/>
        </w:rPr>
        <w:t xml:space="preserve">The audited-AI architecture is not Iris. It is the chokepoint. Every browser-originated AI call goes through one path: src/lib/ai/callIris.ts → supabase/functions/iris-call. The function authenticates the JWT, verifies project membership against RLS, applies a per-user sliding-window rate limit, checks a 24-hour idempotency cache keyed on a hash of the inputs, routes to Anthropic or OpenAI via SSE, streams deltas back to the browser, and writes a hash-chained audit row before the function returns. There are zero direct LLM calls in the browser bundle. We have grep’d. There is no second path.</w:t>
      </w:r>
    </w:p>
    <w:p>
      <w:pPr>
        <w:spacing w:after="140" w:line="300"/>
      </w:pPr>
      <w:r>
        <w:rPr>
          <w:rFonts w:ascii="Calibri" w:cs="Calibri" w:eastAsia="Calibri" w:hAnsi="Calibri"/>
          <w:sz w:val="22"/>
          <w:szCs w:val="22"/>
        </w:rPr>
        <w:t xml:space="preserve">To copy this, an incumbent must (a) build a SSE chokepoint inside an existing app shell, (b) port every existing AI call to it without breaking workflows, (c) wire the audit chain into a Postgres trigger system, (d) ship the verifier, (e) certify the chain to an auditor, and (f) defend the architecture against three years of accumulated tech debt. Estimated time for a 200-person engineering org: 14–18 months. Estimated time for a 1,500-person engineering org: 22–26 months. The chokepoint is the moat.</w:t>
      </w:r>
    </w:p>
    <w:p>
      <w:pPr>
        <w:pStyle w:val="Heading2"/>
        <w:spacing w:after="160" w:before="320"/>
      </w:pPr>
      <w:r>
        <w:rPr>
          <w:rFonts w:ascii="Calibri" w:cs="Calibri" w:eastAsia="Calibri" w:hAnsi="Calibri"/>
          <w:b/>
          <w:bCs/>
          <w:color w:val="0B2545"/>
          <w:sz w:val="30"/>
          <w:szCs w:val="30"/>
        </w:rPr>
        <w:t xml:space="preserve">Moat two — the financial calculator</w:t>
      </w:r>
    </w:p>
    <w:p>
      <w:pPr>
        <w:spacing w:after="140" w:line="300"/>
      </w:pPr>
      <w:r>
        <w:rPr>
          <w:rFonts w:ascii="Calibri" w:cs="Calibri" w:eastAsia="Calibri" w:hAnsi="Calibri"/>
          <w:sz w:val="22"/>
          <w:szCs w:val="22"/>
        </w:rPr>
        <w:t xml:space="preserve">Round-half-to-even on integer cents per docs/PLATINUM_FINANCIAL.md. Audited calculator at src/lib/payApp/g702Audited.ts. Server-side mirror at supabase/functions/payapp-audit/index.ts. The five deterministic pre-submission checks — lien waivers, COIs, retention math, schedule alignment, signature chain — are mirrored server-side so a forged client cannot bypass them. G703 line totals reconcile to the G702 header to within a dollar by construction.</w:t>
      </w:r>
    </w:p>
    <w:p>
      <w:pPr>
        <w:spacing w:after="140" w:line="300"/>
      </w:pPr>
      <w:r>
        <w:rPr>
          <w:rFonts w:ascii="Calibri" w:cs="Calibri" w:eastAsia="Calibri" w:hAnsi="Calibri"/>
          <w:sz w:val="22"/>
          <w:szCs w:val="22"/>
        </w:rPr>
        <w:t xml:space="preserve">To copy this, an incumbent must rewrite their pay-app code to integer cents, decide which of their existing modules is authoritative when they disagree (their UI uses floats, their PDF uses cents — we have evidence), build a server-side gate, sell the deterministic check to enterprise customers who liked the manual override, and absorb the consulting blowback. Estimated time: 9–12 months and a customer revolt.</w:t>
      </w:r>
    </w:p>
    <w:p>
      <w:pPr>
        <w:pStyle w:val="Heading2"/>
        <w:spacing w:after="160" w:before="320"/>
      </w:pPr>
      <w:r>
        <w:rPr>
          <w:rFonts w:ascii="Calibri" w:cs="Calibri" w:eastAsia="Calibri" w:hAnsi="Calibri"/>
          <w:b/>
          <w:bCs/>
          <w:color w:val="0B2545"/>
          <w:sz w:val="30"/>
          <w:szCs w:val="30"/>
        </w:rPr>
        <w:t xml:space="preserve">Moat three — the verb navigation + Procore importer</w:t>
      </w:r>
    </w:p>
    <w:p>
      <w:pPr>
        <w:spacing w:after="140" w:line="300"/>
      </w:pPr>
      <w:r>
        <w:rPr>
          <w:rFonts w:ascii="Calibri" w:cs="Calibri" w:eastAsia="Calibri" w:hAnsi="Calibri"/>
          <w:sz w:val="22"/>
          <w:szCs w:val="22"/>
        </w:rPr>
        <w:t xml:space="preserve">Verb navigation is documented in docs/THE_FIVE.md. The Procore importer ships at src/lib/integrations/procore and src/pages/admin/procore-import. Each row imported is stamped with the original Procore ID via external_ids and the verbatim payload via legacy_payload. A customer can switch in three days, audit lineage forever, and roll back if they want.</w:t>
      </w:r>
    </w:p>
    <w:p>
      <w:pPr>
        <w:spacing w:after="140" w:line="300"/>
      </w:pPr>
      <w:r>
        <w:rPr>
          <w:rFonts w:ascii="Calibri" w:cs="Calibri" w:eastAsia="Calibri" w:hAnsi="Calibri"/>
          <w:sz w:val="22"/>
          <w:szCs w:val="22"/>
        </w:rPr>
        <w:t xml:space="preserve">To copy this, the incumbent must give the customer a tool to leave them. They will not. Smaller competitors might — but smaller competitors do not have the document substrate to receive the data. Trunk Tools, Document Crunch, Procore-killer-of-the-week: none of them have RFIs, submittals, COs, and pay apps as first-class entities. We do.</w:t>
      </w:r>
    </w:p>
    <w:p>
      <w:pPr>
        <w:pStyle w:val="Heading2"/>
        <w:spacing w:after="160" w:before="320"/>
      </w:pPr>
      <w:r>
        <w:rPr>
          <w:rFonts w:ascii="Calibri" w:cs="Calibri" w:eastAsia="Calibri" w:hAnsi="Calibri"/>
          <w:b/>
          <w:bCs/>
          <w:color w:val="0B2545"/>
          <w:sz w:val="30"/>
          <w:szCs w:val="30"/>
        </w:rPr>
        <w:t xml:space="preserve">Moat four — the free sub portal (year two)</w:t>
      </w:r>
    </w:p>
    <w:p>
      <w:pPr>
        <w:spacing w:after="140" w:line="300"/>
      </w:pPr>
      <w:r>
        <w:rPr>
          <w:rFonts w:ascii="Calibri" w:cs="Calibri" w:eastAsia="Calibri" w:hAnsi="Calibri"/>
          <w:sz w:val="22"/>
          <w:szCs w:val="22"/>
        </w:rPr>
        <w:t xml:space="preserve">The sub portal is not yet built. It is the planned moat that converts a vendor sale into a network. The sub uploads waivers and COIs once — to Sitesync, not to a GC. The sub sees every pay app status across every GC who uses Sitesync. In year two, the sub gets paid through Sitesync rails: an ACH push the day the GC approves, with the lien waiver and COI auto-attached. Once a sub knows Sitesync, the sub asks every GC to use it. That is the network effect that turns linear sales into compounding.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4"/>
              <w:left w:val="single" w:color="F26430" w:sz="24"/>
              <w:bottom w:val="single" w:color="0B2545" w:sz="4"/>
              <w:right w:val="single" w:color="0B2545" w:sz="4"/>
            </w:tcBorders>
            <w:shd w:fill="F7F4EE" w:val="clear"/>
            <w:tcMar>
              <w:top w:type="dxa" w:w="200"/>
              <w:left w:type="dxa" w:w="280"/>
              <w:bottom w:type="dxa" w:w="200"/>
              <w:right w:type="dxa" w:w="200"/>
            </w:tcMar>
          </w:tcPr>
          <w:p>
            <w:pPr>
              <w:spacing w:after="80"/>
            </w:pPr>
            <w:r>
              <w:rPr>
                <w:rFonts w:ascii="Calibri" w:cs="Calibri" w:eastAsia="Calibri" w:hAnsi="Calibri"/>
                <w:b/>
                <w:bCs/>
                <w:color w:val="F26430"/>
                <w:sz w:val="18"/>
                <w:szCs w:val="18"/>
              </w:rPr>
              <w:t xml:space="preserve">THE MOAT TEST</w:t>
            </w:r>
          </w:p>
          <w:p>
            <w:r>
              <w:rPr>
                <w:rFonts w:ascii="Calibri" w:cs="Calibri" w:eastAsia="Calibri" w:hAnsi="Calibri"/>
                <w:sz w:val="22"/>
                <w:szCs w:val="22"/>
              </w:rPr>
              <w:t xml:space="preserve">If a competitor announces the same feature on stage tomorrow, can they ship it within twelve months without rewriting their core architecture? If yes, it is not a moat. If no, it is. All four pass the test today.</w:t>
            </w:r>
          </w:p>
        </w:tc>
      </w:tr>
    </w:tbl>
    <w:p>
      <w:pPr>
        <w:pStyle w:val="Heading1"/>
        <w:pageBreakBefore/>
        <w:spacing w:after="240" w:before="480"/>
      </w:pPr>
      <w:r>
        <w:rPr>
          <w:rFonts w:ascii="Calibri" w:cs="Calibri" w:eastAsia="Calibri" w:hAnsi="Calibri"/>
          <w:b/>
          <w:bCs/>
          <w:color w:val="0B2545"/>
          <w:sz w:val="40"/>
          <w:szCs w:val="40"/>
        </w:rPr>
        <w:t xml:space="preserve">VI. The Eleven Nevers</w:t>
      </w:r>
    </w:p>
    <w:p>
      <w:pPr>
        <w:spacing w:after="80" w:before="160" w:line="320"/>
        <w:ind w:left="720" w:right="720"/>
      </w:pPr>
      <w:r>
        <w:rPr>
          <w:rFonts w:ascii="Calibri" w:cs="Calibri" w:eastAsia="Calibri" w:hAnsi="Calibri"/>
          <w:i/>
          <w:iCs/>
          <w:color w:val="13315C"/>
          <w:sz w:val="24"/>
          <w:szCs w:val="24"/>
        </w:rPr>
        <w:t xml:space="preserve">“The constitution of a company is not what it builds. It is what it refuses to build.”</w:t>
      </w:r>
    </w:p>
    <w:p>
      <w:pPr>
        <w:spacing w:after="140" w:line="300"/>
      </w:pPr>
      <w:r>
        <w:rPr>
          <w:rFonts w:ascii="Calibri" w:cs="Calibri" w:eastAsia="Calibri" w:hAnsi="Calibri"/>
          <w:sz w:val="22"/>
          <w:szCs w:val="22"/>
        </w:rPr>
        <w:t xml:space="preserve">These are the lines we do not cross. They are the constitution. They override quarterly priorities, board pressure, and customer asks. If a feature requires breaking one of them, the answer is no, even if the deal would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00"/>
        <w:gridCol w:w="4640"/>
      </w:tblGrid>
      <w:tr>
        <w:trPr>
          <w:tblHeader/>
        </w:trPr>
        <w:tc>
          <w:tcPr>
            <w:tcW w:type="dxa" w:w="720"/>
            <w:tcBorders>
              <w:top w:val="single" w:color="CCCCCC" w:sz="1"/>
              <w:left w:val="single" w:color="CCCCCC" w:sz="1"/>
              <w:bottom w:val="single" w:color="CCCCCC" w:sz="1"/>
              <w:right w:val="single" w:color="CCCCCC" w:sz="1"/>
            </w:tcBorders>
            <w:shd w:fill="0B2545" w:val="clear"/>
            <w:tcMar>
              <w:top w:type="dxa" w:w="120"/>
              <w:left w:type="dxa" w:w="140"/>
              <w:bottom w:type="dxa" w:w="120"/>
              <w:right w:type="dxa" w:w="120"/>
            </w:tcMar>
          </w:tcPr>
          <w:p>
            <w:r>
              <w:rPr>
                <w:rFonts w:ascii="Calibri" w:cs="Calibri" w:eastAsia="Calibri" w:hAnsi="Calibri"/>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0B2545" w:val="clear"/>
            <w:tcMar>
              <w:top w:type="dxa" w:w="120"/>
              <w:left w:type="dxa" w:w="140"/>
              <w:bottom w:type="dxa" w:w="120"/>
              <w:right w:type="dxa" w:w="120"/>
            </w:tcMar>
          </w:tcPr>
          <w:p>
            <w:r>
              <w:rPr>
                <w:rFonts w:ascii="Calibri" w:cs="Calibri" w:eastAsia="Calibri" w:hAnsi="Calibri"/>
                <w:b/>
                <w:bCs/>
                <w:color w:val="FFFFFF"/>
                <w:sz w:val="20"/>
                <w:szCs w:val="20"/>
              </w:rPr>
              <w:t xml:space="preserve">Never</w:t>
            </w:r>
          </w:p>
        </w:tc>
        <w:tc>
          <w:tcPr>
            <w:tcW w:type="dxa" w:w="4640"/>
            <w:tcBorders>
              <w:top w:val="single" w:color="CCCCCC" w:sz="1"/>
              <w:left w:val="single" w:color="CCCCCC" w:sz="1"/>
              <w:bottom w:val="single" w:color="CCCCCC" w:sz="1"/>
              <w:right w:val="single" w:color="CCCCCC" w:sz="1"/>
            </w:tcBorders>
            <w:shd w:fill="0B2545" w:val="clear"/>
            <w:tcMar>
              <w:top w:type="dxa" w:w="120"/>
              <w:left w:type="dxa" w:w="140"/>
              <w:bottom w:type="dxa" w:w="120"/>
              <w:right w:type="dxa" w:w="120"/>
            </w:tcMar>
          </w:tcPr>
          <w:p>
            <w:r>
              <w:rPr>
                <w:rFonts w:ascii="Calibri" w:cs="Calibri" w:eastAsia="Calibri" w:hAnsi="Calibri"/>
                <w:b/>
                <w:bCs/>
                <w:color w:val="FFFFFF"/>
                <w:sz w:val="20"/>
                <w:szCs w:val="20"/>
              </w:rPr>
              <w:t xml:space="preserve">Why</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We will never ship Iris that acts without human approval.</w:t>
            </w:r>
          </w:p>
        </w:tc>
        <w:tc>
          <w:tcPr>
            <w:tcW w:type="dxa" w:w="4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The audit chain is the company. An autonomous executor breaks it. A future feature flag for opt-in auto-execute on confidence ≥ 0.92 is permissible only because a human has explicitly traded approval cost for confidence; the chain still records the trade.</w:t>
            </w:r>
          </w:p>
        </w:tc>
      </w:tr>
      <w:tr>
        <w:tc>
          <w:tcPr>
            <w:tcW w:type="dxa" w:w="72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2</w:t>
            </w:r>
          </w:p>
        </w:tc>
        <w:tc>
          <w:tcPr>
            <w:tcW w:type="dxa" w:w="400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We will never store credentials, signatures, or hashes in floats.</w:t>
            </w:r>
          </w:p>
        </w:tc>
        <w:tc>
          <w:tcPr>
            <w:tcW w:type="dxa" w:w="464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Money is integer cents. Hashes are 64-character hex. Signatures are PNG bytes plus a SHA-256 of the signed payload. Every regression on this rule is reverted within an hour.</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We will never ship a feature that breaks the two-second rule.</w:t>
            </w:r>
          </w:p>
        </w:tc>
        <w:tc>
          <w:tcPr>
            <w:tcW w:type="dxa" w:w="4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Capture, inbox, draft, export each have a budget. We measure on every commit and we will refuse a PR that breaks any of them by more than 200ms without an explicit owner sign-off in the PR body.</w:t>
            </w:r>
          </w:p>
        </w:tc>
      </w:tr>
      <w:tr>
        <w:tc>
          <w:tcPr>
            <w:tcW w:type="dxa" w:w="72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4</w:t>
            </w:r>
          </w:p>
        </w:tc>
        <w:tc>
          <w:tcPr>
            <w:tcW w:type="dxa" w:w="400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We will never weaken the pre-submission audit to close a deal.</w:t>
            </w:r>
          </w:p>
        </w:tc>
        <w:tc>
          <w:tcPr>
            <w:tcW w:type="dxa" w:w="464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The five checks are deterministic. An override exists, but the override writes a row that names the human who overrode and the reason. We will not ship a silent bypass for a $200K customer.</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We will never let the LLM keys into the browser bundle.</w:t>
            </w:r>
          </w:p>
        </w:tc>
        <w:tc>
          <w:tcPr>
            <w:tcW w:type="dxa" w:w="4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Every AI call goes through src/lib/ai/callIris.ts. We grep dist/ on every release. A regression here is treated as a security incident, not a refactor.</w:t>
            </w:r>
          </w:p>
        </w:tc>
      </w:tr>
      <w:tr>
        <w:tc>
          <w:tcPr>
            <w:tcW w:type="dxa" w:w="72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6</w:t>
            </w:r>
          </w:p>
        </w:tc>
        <w:tc>
          <w:tcPr>
            <w:tcW w:type="dxa" w:w="400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We will never build a chat-only experience.</w:t>
            </w:r>
          </w:p>
        </w:tc>
        <w:tc>
          <w:tcPr>
            <w:tcW w:type="dxa" w:w="464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Chat is a fallback. The product is the artifact. If a feature can be replaced by chat, the feature is unfinished.</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We will never name a noun in the home row.</w:t>
            </w:r>
          </w:p>
        </w:tc>
        <w:tc>
          <w:tcPr>
            <w:tcW w:type="dxa" w:w="4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RFIs, Submittals, COs, Drawings, Schedule, Budget keep their dedicated routes. They never appear in the top-level navigation. The verbs are the home; the nouns are the filter.</w:t>
            </w:r>
          </w:p>
        </w:tc>
      </w:tr>
      <w:tr>
        <w:tc>
          <w:tcPr>
            <w:tcW w:type="dxa" w:w="72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8</w:t>
            </w:r>
          </w:p>
        </w:tc>
        <w:tc>
          <w:tcPr>
            <w:tcW w:type="dxa" w:w="400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We will never bill the customer for AI usage.</w:t>
            </w:r>
          </w:p>
        </w:tc>
        <w:tc>
          <w:tcPr>
            <w:tcW w:type="dxa" w:w="464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AI cost is bundled into the seat. The PM should never feel a budget pressure when drafting. The day we charge per token is the day we lose the field worker.</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9</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We will never ship a stub page in production.</w:t>
            </w:r>
          </w:p>
        </w:tc>
        <w:tc>
          <w:tcPr>
            <w:tcW w:type="dxa" w:w="4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If a route renders a placeholder, it is hidden behind a feature flag, gated by role, or removed from the build. The product is a Bugatti; one fake button is a Honda.</w:t>
            </w:r>
          </w:p>
        </w:tc>
      </w:tr>
      <w:tr>
        <w:tc>
          <w:tcPr>
            <w:tcW w:type="dxa" w:w="72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10</w:t>
            </w:r>
          </w:p>
        </w:tc>
        <w:tc>
          <w:tcPr>
            <w:tcW w:type="dxa" w:w="400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We will never promise SOC 2 Type II we have not earned.</w:t>
            </w:r>
          </w:p>
        </w:tc>
        <w:tc>
          <w:tcPr>
            <w:tcW w:type="dxa" w:w="464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We have controls aligned with SOC 2 (compliance/SOC2_EVIDENCE_PACK.md). We do not promise certification until the auditor has signed. Every claim about compliance in our marketing is checked against the evidence pack.</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11</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We will never confuse motion with progress.</w:t>
            </w:r>
          </w:p>
        </w:tc>
        <w:tc>
          <w:tcPr>
            <w:tcW w:type="dxa" w:w="4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A merged PR is not a shipped feature. A shipped feature is not a paying customer. A paying customer is not a renewal. The metric that matters is the next one in the chain. We measure the next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4"/>
              <w:left w:val="single" w:color="F26430" w:sz="24"/>
              <w:bottom w:val="single" w:color="0B2545" w:sz="4"/>
              <w:right w:val="single" w:color="0B2545" w:sz="4"/>
            </w:tcBorders>
            <w:shd w:fill="F7F4EE" w:val="clear"/>
            <w:tcMar>
              <w:top w:type="dxa" w:w="200"/>
              <w:left w:type="dxa" w:w="280"/>
              <w:bottom w:type="dxa" w:w="200"/>
              <w:right w:type="dxa" w:w="200"/>
            </w:tcMar>
          </w:tcPr>
          <w:p>
            <w:pPr>
              <w:spacing w:after="80"/>
            </w:pPr>
            <w:r>
              <w:rPr>
                <w:rFonts w:ascii="Calibri" w:cs="Calibri" w:eastAsia="Calibri" w:hAnsi="Calibri"/>
                <w:b/>
                <w:bCs/>
                <w:color w:val="F26430"/>
                <w:sz w:val="18"/>
                <w:szCs w:val="18"/>
              </w:rPr>
              <w:t xml:space="preserve">SUNDAY-NIGHT TEST</w:t>
            </w:r>
          </w:p>
          <w:p>
            <w:r>
              <w:rPr>
                <w:rFonts w:ascii="Calibri" w:cs="Calibri" w:eastAsia="Calibri" w:hAnsi="Calibri"/>
                <w:sz w:val="22"/>
                <w:szCs w:val="22"/>
              </w:rPr>
              <w:t xml:space="preserve">Re-read the eleven nevers every Sunday night. If a Friday decision broke one, write it in the decision log and reverse it Monday. If the team disagrees, the founder breaks the tie.</w:t>
            </w:r>
          </w:p>
        </w:tc>
      </w:tr>
    </w:tbl>
    <w:p>
      <w:pPr>
        <w:pStyle w:val="Heading1"/>
        <w:pageBreakBefore/>
        <w:spacing w:after="240" w:before="480"/>
      </w:pPr>
      <w:r>
        <w:rPr>
          <w:rFonts w:ascii="Calibri" w:cs="Calibri" w:eastAsia="Calibri" w:hAnsi="Calibri"/>
          <w:b/>
          <w:bCs/>
          <w:color w:val="0B2545"/>
          <w:sz w:val="40"/>
          <w:szCs w:val="40"/>
        </w:rPr>
        <w:t xml:space="preserve">VII. The Twelve‑Second Demo</w:t>
      </w:r>
    </w:p>
    <w:p>
      <w:pPr>
        <w:spacing w:after="80" w:before="160" w:line="320"/>
        <w:ind w:left="720" w:right="720"/>
      </w:pPr>
      <w:r>
        <w:rPr>
          <w:rFonts w:ascii="Calibri" w:cs="Calibri" w:eastAsia="Calibri" w:hAnsi="Calibri"/>
          <w:i/>
          <w:iCs/>
          <w:color w:val="13315C"/>
          <w:sz w:val="24"/>
          <w:szCs w:val="24"/>
        </w:rPr>
        <w:t xml:space="preserve">“If you can’t close the room in twelve seconds, the rest of the deck is consolation.”</w:t>
      </w:r>
    </w:p>
    <w:p>
      <w:pPr>
        <w:pStyle w:val="Heading2"/>
        <w:spacing w:after="160" w:before="320"/>
      </w:pPr>
      <w:r>
        <w:rPr>
          <w:rFonts w:ascii="Calibri" w:cs="Calibri" w:eastAsia="Calibri" w:hAnsi="Calibri"/>
          <w:b/>
          <w:bCs/>
          <w:color w:val="0B2545"/>
          <w:sz w:val="30"/>
          <w:szCs w:val="30"/>
        </w:rPr>
        <w:t xml:space="preserve">The setup</w:t>
      </w:r>
    </w:p>
    <w:p>
      <w:pPr>
        <w:spacing w:after="140" w:line="300"/>
      </w:pPr>
      <w:r>
        <w:rPr>
          <w:rFonts w:ascii="Calibri" w:cs="Calibri" w:eastAsia="Calibri" w:hAnsi="Calibri"/>
          <w:sz w:val="22"/>
          <w:szCs w:val="22"/>
        </w:rPr>
        <w:t xml:space="preserve">The demo opens cold. No introduction. Walker (or the AE) opens the laptop, hits Capture on a phone, speaks one sentence, holds up the phone, and waits twelve seconds. The room is silent. The screen does the talking.</w:t>
      </w:r>
    </w:p>
    <w:p>
      <w:pPr>
        <w:pStyle w:val="Heading2"/>
        <w:spacing w:after="160" w:before="320"/>
      </w:pPr>
      <w:r>
        <w:rPr>
          <w:rFonts w:ascii="Calibri" w:cs="Calibri" w:eastAsia="Calibri" w:hAnsi="Calibri"/>
          <w:b/>
          <w:bCs/>
          <w:color w:val="0B2545"/>
          <w:sz w:val="30"/>
          <w:szCs w:val="30"/>
        </w:rPr>
        <w:t xml:space="preserve">The script (literal, twelve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gridCol w:w="0"/>
        <w:gridCol w:w="0"/>
      </w:tblGrid>
      <w:tr>
        <w:trPr>
          <w:tblHeader/>
        </w:trPr>
        <w:tc>
          <w:tcPr>
            <w:tcW w:type="dxa" w:w="1080"/>
            <w:tcBorders>
              <w:top w:val="single" w:color="CCCCCC" w:sz="1"/>
              <w:left w:val="single" w:color="CCCCCC" w:sz="1"/>
              <w:bottom w:val="single" w:color="CCCCCC" w:sz="1"/>
              <w:right w:val="single" w:color="CCCCCC" w:sz="1"/>
            </w:tcBorders>
            <w:shd w:fill="0B2545" w:val="clear"/>
            <w:tcMar>
              <w:top w:type="dxa" w:w="120"/>
              <w:left w:type="dxa" w:w="140"/>
              <w:bottom w:type="dxa" w:w="120"/>
              <w:right w:type="dxa" w:w="120"/>
            </w:tcMar>
          </w:tcPr>
          <w:p>
            <w:r>
              <w:rPr>
                <w:rFonts w:ascii="Calibri" w:cs="Calibri" w:eastAsia="Calibri" w:hAnsi="Calibri"/>
                <w:b/>
                <w:bCs/>
                <w:color w:val="FFFFFF"/>
                <w:sz w:val="20"/>
                <w:szCs w:val="20"/>
              </w:rPr>
              <w:t xml:space="preserve">Time</w:t>
            </w:r>
          </w:p>
        </w:tc>
        <w:tc>
          <w:tcPr>
            <w:tcW w:type="dxa" w:w="8280"/>
            <w:tcBorders>
              <w:top w:val="single" w:color="CCCCCC" w:sz="1"/>
              <w:left w:val="single" w:color="CCCCCC" w:sz="1"/>
              <w:bottom w:val="single" w:color="CCCCCC" w:sz="1"/>
              <w:right w:val="single" w:color="CCCCCC" w:sz="1"/>
            </w:tcBorders>
            <w:shd w:fill="0B2545" w:val="clear"/>
            <w:tcMar>
              <w:top w:type="dxa" w:w="120"/>
              <w:left w:type="dxa" w:w="140"/>
              <w:bottom w:type="dxa" w:w="120"/>
              <w:right w:type="dxa" w:w="120"/>
            </w:tcMar>
          </w:tcPr>
          <w:p>
            <w:r>
              <w:rPr>
                <w:rFonts w:ascii="Calibri" w:cs="Calibri" w:eastAsia="Calibri" w:hAnsi="Calibri"/>
                <w:b/>
                <w:bCs/>
                <w:color w:val="FFFFFF"/>
                <w:sz w:val="20"/>
                <w:szCs w:val="20"/>
              </w:rPr>
              <w:t xml:space="preserve">What happens</w:t>
            </w:r>
          </w:p>
        </w:tc>
        <w:tc>
          <w:tcPr>
            <w:tcW w:type="dxa" w:w="0"/>
            <w:tcBorders>
              <w:top w:val="single" w:color="CCCCCC" w:sz="1"/>
              <w:left w:val="single" w:color="CCCCCC" w:sz="1"/>
              <w:bottom w:val="single" w:color="CCCCCC" w:sz="1"/>
              <w:right w:val="single" w:color="CCCCCC" w:sz="1"/>
            </w:tcBorders>
            <w:shd w:fill="0B2545" w:val="clear"/>
            <w:tcMar>
              <w:top w:type="dxa" w:w="120"/>
              <w:left w:type="dxa" w:w="140"/>
              <w:bottom w:type="dxa" w:w="120"/>
              <w:right w:type="dxa" w:w="120"/>
            </w:tcMar>
          </w:tcPr>
          <w:p>
            <w:r>
              <w:rPr>
                <w:rFonts w:ascii="Calibri" w:cs="Calibri" w:eastAsia="Calibri" w:hAnsi="Calibri"/>
                <w:b/>
                <w:bCs/>
                <w:color w:val="FFFFFF"/>
                <w:sz w:val="20"/>
                <w:szCs w:val="20"/>
              </w:rPr>
              <w:t xml:space="preserve"/>
            </w:r>
          </w:p>
        </w:tc>
        <w:tc>
          <w:tcPr>
            <w:tcW w:type="dxa" w:w="0"/>
            <w:tcBorders>
              <w:top w:val="single" w:color="CCCCCC" w:sz="1"/>
              <w:left w:val="single" w:color="CCCCCC" w:sz="1"/>
              <w:bottom w:val="single" w:color="CCCCCC" w:sz="1"/>
              <w:right w:val="single" w:color="CCCCCC" w:sz="1"/>
            </w:tcBorders>
            <w:shd w:fill="0B2545" w:val="clear"/>
            <w:tcMar>
              <w:top w:type="dxa" w:w="120"/>
              <w:left w:type="dxa" w:w="140"/>
              <w:bottom w:type="dxa" w:w="120"/>
              <w:right w:type="dxa" w:w="120"/>
            </w:tcMar>
          </w:tcPr>
          <w:p>
            <w:r>
              <w:rPr>
                <w:rFonts w:ascii="Calibri" w:cs="Calibri" w:eastAsia="Calibri" w:hAnsi="Calibri"/>
                <w:b/>
                <w:bCs/>
                <w:color w:val="FFFFFF"/>
                <w:sz w:val="20"/>
                <w:szCs w:val="20"/>
              </w:rPr>
              <w:t xml:space="preserve"/>
            </w:r>
          </w:p>
        </w:tc>
      </w:tr>
      <w:tr>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00:00</w:t>
            </w:r>
          </w:p>
        </w:tc>
        <w:tc>
          <w:tcPr>
            <w:tcW w:type="dxa" w:w="8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Walker hits Capture. Speaks: “Drywall in suite 312 has a finish defect on the south wall.” Snaps a photo. Hits stop.</w:t>
            </w:r>
          </w:p>
        </w:tc>
        <w:tc>
          <w:tcPr>
            <w:tcW w:type="dxa" w:w="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
            </w:r>
          </w:p>
        </w:tc>
        <w:tc>
          <w:tcPr>
            <w:tcW w:type="dxa" w:w="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
            </w:r>
          </w:p>
        </w:tc>
      </w:tr>
      <w:tr>
        <w:tc>
          <w:tcPr>
            <w:tcW w:type="dxa" w:w="108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00:02</w:t>
            </w:r>
          </w:p>
        </w:tc>
        <w:tc>
          <w:tcPr>
            <w:tcW w:type="dxa" w:w="828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Voice waveform animates. Whisper transcript appears (live). Iris classifier badge: ‘Punch Item draft.’</w:t>
            </w:r>
          </w:p>
        </w:tc>
        <w:tc>
          <w:tcPr>
            <w:tcW w:type="dxa" w:w="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
            </w:r>
          </w:p>
        </w:tc>
        <w:tc>
          <w:tcPr>
            <w:tcW w:type="dxa" w:w="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
            </w:r>
          </w:p>
        </w:tc>
      </w:tr>
      <w:tr>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00:04</w:t>
            </w:r>
          </w:p>
        </w:tc>
        <w:tc>
          <w:tcPr>
            <w:tcW w:type="dxa" w:w="8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Punch item card materializes. Title: ‘Drywall finish defect, suite 312, south wall.’ Photo attached. Pin auto-resolved to S312 on drawing A-301.</w:t>
            </w:r>
          </w:p>
        </w:tc>
        <w:tc>
          <w:tcPr>
            <w:tcW w:type="dxa" w:w="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
            </w:r>
          </w:p>
        </w:tc>
        <w:tc>
          <w:tcPr>
            <w:tcW w:type="dxa" w:w="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
            </w:r>
          </w:p>
        </w:tc>
      </w:tr>
      <w:tr>
        <w:tc>
          <w:tcPr>
            <w:tcW w:type="dxa" w:w="108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00:06</w:t>
            </w:r>
          </w:p>
        </w:tc>
        <w:tc>
          <w:tcPr>
            <w:tcW w:type="dxa" w:w="828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Ball-in-court avatar fades in: drywall sub. SLA badge: ‘7 days.’ Status badge: ‘Awaiting fix.’</w:t>
            </w:r>
          </w:p>
        </w:tc>
        <w:tc>
          <w:tcPr>
            <w:tcW w:type="dxa" w:w="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
            </w:r>
          </w:p>
        </w:tc>
        <w:tc>
          <w:tcPr>
            <w:tcW w:type="dxa" w:w="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
            </w:r>
          </w:p>
        </w:tc>
      </w:tr>
      <w:tr>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00:08</w:t>
            </w:r>
          </w:p>
        </w:tc>
        <w:tc>
          <w:tcPr>
            <w:tcW w:type="dxa" w:w="8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Audit row drawer slides up: model fingerprint, prompt hash, previous block hash, user ID, entity ID.</w:t>
            </w:r>
          </w:p>
        </w:tc>
        <w:tc>
          <w:tcPr>
            <w:tcW w:type="dxa" w:w="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
            </w:r>
          </w:p>
        </w:tc>
        <w:tc>
          <w:tcPr>
            <w:tcW w:type="dxa" w:w="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
            </w:r>
          </w:p>
        </w:tc>
      </w:tr>
      <w:tr>
        <w:tc>
          <w:tcPr>
            <w:tcW w:type="dxa" w:w="108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00:10</w:t>
            </w:r>
          </w:p>
        </w:tc>
        <w:tc>
          <w:tcPr>
            <w:tcW w:type="dxa" w:w="828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Walker says: “That photo is now linked to the drawing. The sub knows. The audit log proves it. The super is in his truck.”</w:t>
            </w:r>
          </w:p>
        </w:tc>
        <w:tc>
          <w:tcPr>
            <w:tcW w:type="dxa" w:w="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
            </w:r>
          </w:p>
        </w:tc>
        <w:tc>
          <w:tcPr>
            <w:tcW w:type="dxa" w:w="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
            </w:r>
          </w:p>
        </w:tc>
      </w:tr>
      <w:tr>
        <w:tc>
          <w:tcPr>
            <w:tcW w:type="dxa" w:w="1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00:12</w:t>
            </w:r>
          </w:p>
        </w:tc>
        <w:tc>
          <w:tcPr>
            <w:tcW w:type="dxa" w:w="8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Walker hands the laptop to the prospect.</w:t>
            </w:r>
          </w:p>
        </w:tc>
        <w:tc>
          <w:tcPr>
            <w:tcW w:type="dxa" w:w="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
            </w:r>
          </w:p>
        </w:tc>
        <w:tc>
          <w:tcPr>
            <w:tcW w:type="dxa" w:w="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
            </w:r>
          </w:p>
        </w:tc>
      </w:tr>
    </w:tbl>
    <w:p>
      <w:pPr>
        <w:pStyle w:val="Heading2"/>
        <w:spacing w:after="160" w:before="320"/>
      </w:pPr>
      <w:r>
        <w:rPr>
          <w:rFonts w:ascii="Calibri" w:cs="Calibri" w:eastAsia="Calibri" w:hAnsi="Calibri"/>
          <w:b/>
          <w:bCs/>
          <w:color w:val="0B2545"/>
          <w:sz w:val="30"/>
          <w:szCs w:val="30"/>
        </w:rPr>
        <w:t xml:space="preserve">Why this works</w:t>
      </w:r>
    </w:p>
    <w:p>
      <w:pPr>
        <w:spacing w:after="140" w:line="300"/>
      </w:pPr>
      <w:r>
        <w:rPr>
          <w:rFonts w:ascii="Calibri" w:cs="Calibri" w:eastAsia="Calibri" w:hAnsi="Calibri"/>
          <w:sz w:val="22"/>
          <w:szCs w:val="22"/>
        </w:rPr>
        <w:t xml:space="preserve">The demo is not about the AI. The AI is in service of the artifact. The prospect sees, in twelve seconds, the closed loop: capture → classify → draft → link → route → audit. Every other vendor demonstrates a chatbot. We demonstrate a daily log entry that has already been turned into a punch item, linked to a drawing, routed to a sub, and chained to evidence — in less time than it takes to find Procore’s RFI button.</w:t>
      </w:r>
    </w:p>
    <w:p>
      <w:pPr>
        <w:pStyle w:val="Heading2"/>
        <w:spacing w:after="160" w:before="320"/>
      </w:pPr>
      <w:r>
        <w:rPr>
          <w:rFonts w:ascii="Calibri" w:cs="Calibri" w:eastAsia="Calibri" w:hAnsi="Calibri"/>
          <w:b/>
          <w:bCs/>
          <w:color w:val="0B2545"/>
          <w:sz w:val="30"/>
          <w:szCs w:val="30"/>
        </w:rPr>
        <w:t xml:space="preserve">Backstop</w:t>
      </w:r>
    </w:p>
    <w:p>
      <w:pPr>
        <w:spacing w:after="140" w:line="300"/>
      </w:pPr>
      <w:r>
        <w:rPr>
          <w:rFonts w:ascii="Calibri" w:cs="Calibri" w:eastAsia="Calibri" w:hAnsi="Calibri"/>
          <w:sz w:val="22"/>
          <w:szCs w:val="22"/>
        </w:rPr>
        <w:t xml:space="preserve">If anything fails on stage, the fallback is the seeded demo at scripts/seed-demo-account.ts and the Iris seed at scripts/seed-iris-inbox.ts. Pre-flight checklist: 30 minutes before any demo, run npm run seed:demo-account; verify the photo-to-pin resolver at src/lib/linkage/photoLinker.ts; verify the SSE endpoint streams (curl-only, not browser); verify the audit row drawer renders in under 1.0s. The full eight-act version is documented in docs/business/DEMO_SCRIPT.md.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4"/>
              <w:left w:val="single" w:color="F26430" w:sz="24"/>
              <w:bottom w:val="single" w:color="0B2545" w:sz="4"/>
              <w:right w:val="single" w:color="0B2545" w:sz="4"/>
            </w:tcBorders>
            <w:shd w:fill="F7F4EE" w:val="clear"/>
            <w:tcMar>
              <w:top w:type="dxa" w:w="200"/>
              <w:left w:type="dxa" w:w="280"/>
              <w:bottom w:type="dxa" w:w="200"/>
              <w:right w:type="dxa" w:w="200"/>
            </w:tcMar>
          </w:tcPr>
          <w:p>
            <w:pPr>
              <w:spacing w:after="80"/>
            </w:pPr>
            <w:r>
              <w:rPr>
                <w:rFonts w:ascii="Calibri" w:cs="Calibri" w:eastAsia="Calibri" w:hAnsi="Calibri"/>
                <w:b/>
                <w:bCs/>
                <w:color w:val="F26430"/>
                <w:sz w:val="18"/>
                <w:szCs w:val="18"/>
              </w:rPr>
              <w:t xml:space="preserve">DEMO DISCIPLINE</w:t>
            </w:r>
          </w:p>
          <w:p>
            <w:r>
              <w:rPr>
                <w:rFonts w:ascii="Calibri" w:cs="Calibri" w:eastAsia="Calibri" w:hAnsi="Calibri"/>
                <w:sz w:val="22"/>
                <w:szCs w:val="22"/>
              </w:rPr>
              <w:t xml:space="preserve">Practice the twelve seconds 200 times. The voice line should be muscle memory. The phone should be in your hand before you sit down. The audience should be silent for the full twelve. Charisma is not what closes; the silence after “The super is in his truck” is what closes.</w:t>
            </w:r>
          </w:p>
        </w:tc>
      </w:tr>
    </w:tbl>
    <w:p>
      <w:pPr>
        <w:pStyle w:val="Heading1"/>
        <w:pageBreakBefore/>
        <w:spacing w:after="240" w:before="480"/>
      </w:pPr>
      <w:r>
        <w:rPr>
          <w:rFonts w:ascii="Calibri" w:cs="Calibri" w:eastAsia="Calibri" w:hAnsi="Calibri"/>
          <w:b/>
          <w:bCs/>
          <w:color w:val="0B2545"/>
          <w:sz w:val="40"/>
          <w:szCs w:val="40"/>
        </w:rPr>
        <w:t xml:space="preserve">VIII. The Ninety‑Day Operating Plan</w:t>
      </w:r>
    </w:p>
    <w:p>
      <w:pPr>
        <w:spacing w:after="80" w:before="160" w:line="320"/>
        <w:ind w:left="720" w:right="720"/>
      </w:pPr>
      <w:r>
        <w:rPr>
          <w:rFonts w:ascii="Calibri" w:cs="Calibri" w:eastAsia="Calibri" w:hAnsi="Calibri"/>
          <w:i/>
          <w:iCs/>
          <w:color w:val="13315C"/>
          <w:sz w:val="24"/>
          <w:szCs w:val="24"/>
        </w:rPr>
        <w:t xml:space="preserve">“Three laps around the track. Each lap, the chassis gets faster. The driver doesn’t change.”</w:t>
      </w:r>
    </w:p>
    <w:p>
      <w:pPr>
        <w:spacing w:after="140" w:line="300"/>
      </w:pPr>
      <w:r>
        <w:rPr>
          <w:rFonts w:ascii="Calibri" w:cs="Calibri" w:eastAsia="Calibri" w:hAnsi="Calibri"/>
          <w:sz w:val="22"/>
          <w:szCs w:val="22"/>
        </w:rPr>
        <w:t xml:space="preserve">The plan is three laps of thirty days each. Each lap has one verb, three weekly outcomes, one demo, and one acceptance gate. We do not start a new lap until the prior lap’s gate passes.</w:t>
      </w:r>
    </w:p>
    <w:p>
      <w:pPr>
        <w:pStyle w:val="Heading2"/>
        <w:spacing w:after="160" w:before="320"/>
      </w:pPr>
      <w:r>
        <w:rPr>
          <w:rFonts w:ascii="Calibri" w:cs="Calibri" w:eastAsia="Calibri" w:hAnsi="Calibri"/>
          <w:b/>
          <w:bCs/>
          <w:color w:val="0B2545"/>
          <w:sz w:val="30"/>
          <w:szCs w:val="30"/>
        </w:rPr>
        <w:t xml:space="preserve">Lap 1 — Subtract (days 1–30)</w:t>
      </w:r>
    </w:p>
    <w:p>
      <w:pPr>
        <w:spacing w:after="140" w:line="300"/>
      </w:pPr>
      <w:r>
        <w:rPr>
          <w:rFonts w:ascii="Calibri" w:cs="Calibri" w:eastAsia="Calibri" w:hAnsi="Calibri"/>
          <w:sz w:val="22"/>
          <w:szCs w:val="22"/>
        </w:rPr>
        <w:t xml:space="preserve">Goal: take the Bugatti chassis from ‘confused brilliance’ to ‘obviously coherent.’ Delete what doesn’t serve the demo. Wire what already exists. Make the demo path instant on a cold open.</w:t>
      </w:r>
    </w:p>
    <w:p>
      <w:pPr>
        <w:spacing w:after="80" w:before="200"/>
      </w:pPr>
      <w:r>
        <w:rPr>
          <w:rFonts w:ascii="Calibri" w:cs="Calibri" w:eastAsia="Calibri" w:hAnsi="Calibri"/>
          <w:b/>
          <w:bCs/>
          <w:color w:val="13315C"/>
          <w:sz w:val="22"/>
          <w:szCs w:val="22"/>
        </w:rPr>
        <w:t xml:space="preserve">Weekly outcomes</w:t>
      </w:r>
    </w:p>
    <w:p>
      <w:pPr>
        <w:pStyle w:val="ListParagraph"/>
        <w:numPr>
          <w:ilvl w:val="0"/>
          <w:numId w:val="3"/>
        </w:numPr>
        <w:spacing w:after="100" w:line="280"/>
      </w:pPr>
      <w:r>
        <w:rPr>
          <w:rFonts w:ascii="Calibri" w:cs="Calibri" w:eastAsia="Calibri" w:hAnsi="Calibri"/>
          <w:sz w:val="22"/>
          <w:szCs w:val="22"/>
        </w:rPr>
        <w:t xml:space="preserve">Week 1: PermissionGate applied to every action button across RFIs, Submittals, COs, Pay Apps, Punch, Daily Log. The 25+ stub pages are removed from the build (kept under a flag).</w:t>
      </w:r>
    </w:p>
    <w:p>
      <w:pPr>
        <w:pStyle w:val="ListParagraph"/>
        <w:numPr>
          <w:ilvl w:val="0"/>
          <w:numId w:val="3"/>
        </w:numPr>
        <w:spacing w:after="100" w:line="280"/>
      </w:pPr>
      <w:r>
        <w:rPr>
          <w:rFonts w:ascii="Calibri" w:cs="Calibri" w:eastAsia="Calibri" w:hAnsi="Calibri"/>
          <w:sz w:val="22"/>
          <w:szCs w:val="22"/>
        </w:rPr>
        <w:t xml:space="preserve">Week 2: 22 Zustand stores collapsed to 5 (project, conversation, capture, audit, ui). Money becomes integer cents end-to-end — billing, PDF, calculator agree on the same primitive.</w:t>
      </w:r>
    </w:p>
    <w:p>
      <w:pPr>
        <w:pStyle w:val="ListParagraph"/>
        <w:numPr>
          <w:ilvl w:val="0"/>
          <w:numId w:val="3"/>
        </w:numPr>
        <w:spacing w:after="100" w:line="280"/>
      </w:pPr>
      <w:r>
        <w:rPr>
          <w:rFonts w:ascii="Calibri" w:cs="Calibri" w:eastAsia="Calibri" w:hAnsi="Calibri"/>
          <w:sz w:val="22"/>
          <w:szCs w:val="22"/>
        </w:rPr>
        <w:t xml:space="preserve">Week 3: 15 state machines wired to actual production calls via useMachine. Every mutation passes through a transition. The XState devtool is mounted in dev so a contractor can see the diagram light up live.</w:t>
      </w:r>
    </w:p>
    <w:p>
      <w:pPr>
        <w:pStyle w:val="ListParagraph"/>
        <w:numPr>
          <w:ilvl w:val="0"/>
          <w:numId w:val="3"/>
        </w:numPr>
        <w:spacing w:after="100" w:line="280"/>
      </w:pPr>
      <w:r>
        <w:rPr>
          <w:rFonts w:ascii="Calibri" w:cs="Calibri" w:eastAsia="Calibri" w:hAnsi="Calibri"/>
          <w:sz w:val="22"/>
          <w:szCs w:val="22"/>
        </w:rPr>
        <w:t xml:space="preserve">Week 4: bundle from 1.87 MB to 500 KB on the demo path. PDF and Three.js lazy-loaded behind their routes. Lighthouse ‘Performance’ ≥ 90 on the demo URL.</w:t>
      </w:r>
    </w:p>
    <w:p>
      <w:pPr>
        <w:spacing w:after="80" w:before="200"/>
      </w:pPr>
      <w:r>
        <w:rPr>
          <w:rFonts w:ascii="Calibri" w:cs="Calibri" w:eastAsia="Calibri" w:hAnsi="Calibri"/>
          <w:b/>
          <w:bCs/>
          <w:color w:val="13315C"/>
          <w:sz w:val="22"/>
          <w:szCs w:val="22"/>
        </w:rPr>
        <w:t xml:space="preserve">Lap 1 acceptance gate</w:t>
      </w:r>
    </w:p>
    <w:p>
      <w:pPr>
        <w:spacing w:after="140" w:line="300"/>
      </w:pPr>
      <w:r>
        <w:rPr>
          <w:rFonts w:ascii="Calibri" w:cs="Calibri" w:eastAsia="Calibri" w:hAnsi="Calibri"/>
          <w:sz w:val="22"/>
          <w:szCs w:val="22"/>
        </w:rPr>
        <w:t xml:space="preserve">On day 30, the cold-open demo (twelve-second version) runs end-to-end on a 4G iPhone in 1.4 seconds to first paint, the audit row drawer renders in under 800ms, and a friendly GC from your network walks through it without prompting and emails you the next day asking when they can pilot.</w:t>
      </w:r>
    </w:p>
    <w:p>
      <w:pPr>
        <w:pStyle w:val="Heading2"/>
        <w:spacing w:after="160" w:before="320"/>
      </w:pPr>
      <w:r>
        <w:rPr>
          <w:rFonts w:ascii="Calibri" w:cs="Calibri" w:eastAsia="Calibri" w:hAnsi="Calibri"/>
          <w:b/>
          <w:bCs/>
          <w:color w:val="0B2545"/>
          <w:sz w:val="30"/>
          <w:szCs w:val="30"/>
        </w:rPr>
        <w:t xml:space="preserve">Lap 2 — Watch (days 31–60)</w:t>
      </w:r>
    </w:p>
    <w:p>
      <w:pPr>
        <w:spacing w:after="140" w:line="300"/>
      </w:pPr>
      <w:r>
        <w:rPr>
          <w:rFonts w:ascii="Calibri" w:cs="Calibri" w:eastAsia="Calibri" w:hAnsi="Calibri"/>
          <w:sz w:val="22"/>
          <w:szCs w:val="22"/>
        </w:rPr>
        <w:t xml:space="preserve">Goal: Iris stops being a chatbot and starts watching projects. Drafts arrive without being asked. Grounding tightens. Voice gets a personality.</w:t>
      </w:r>
    </w:p>
    <w:p>
      <w:pPr>
        <w:spacing w:after="80" w:before="200"/>
      </w:pPr>
      <w:r>
        <w:rPr>
          <w:rFonts w:ascii="Calibri" w:cs="Calibri" w:eastAsia="Calibri" w:hAnsi="Calibri"/>
          <w:b/>
          <w:bCs/>
          <w:color w:val="13315C"/>
          <w:sz w:val="22"/>
          <w:szCs w:val="22"/>
        </w:rPr>
        <w:t xml:space="preserve">Weekly outcomes</w:t>
      </w:r>
    </w:p>
    <w:p>
      <w:pPr>
        <w:pStyle w:val="ListParagraph"/>
        <w:numPr>
          <w:ilvl w:val="0"/>
          <w:numId w:val="3"/>
        </w:numPr>
        <w:spacing w:after="100" w:line="280"/>
      </w:pPr>
      <w:r>
        <w:rPr>
          <w:rFonts w:ascii="Calibri" w:cs="Calibri" w:eastAsia="Calibri" w:hAnsi="Calibri"/>
          <w:sz w:val="22"/>
          <w:szCs w:val="22"/>
        </w:rPr>
        <w:t xml:space="preserve">Week 5: scheduled-insights edge function fires every 15 minutes per project, reads the data, and writes draft suggestions to drafted_actions. The Conversation surfaces them.</w:t>
      </w:r>
    </w:p>
    <w:p>
      <w:pPr>
        <w:pStyle w:val="ListParagraph"/>
        <w:numPr>
          <w:ilvl w:val="0"/>
          <w:numId w:val="3"/>
        </w:numPr>
        <w:spacing w:after="100" w:line="280"/>
      </w:pPr>
      <w:r>
        <w:rPr>
          <w:rFonts w:ascii="Calibri" w:cs="Calibri" w:eastAsia="Calibri" w:hAnsi="Calibri"/>
          <w:sz w:val="22"/>
          <w:szCs w:val="22"/>
        </w:rPr>
        <w:t xml:space="preserve">Week 6: grounding upgrade — every Iris draft cites a source (RFI #, drawing rev, daily log date, pay-app line). Citations are clickable and open the source in a side panel.</w:t>
      </w:r>
    </w:p>
    <w:p>
      <w:pPr>
        <w:pStyle w:val="ListParagraph"/>
        <w:numPr>
          <w:ilvl w:val="0"/>
          <w:numId w:val="3"/>
        </w:numPr>
        <w:spacing w:after="100" w:line="280"/>
      </w:pPr>
      <w:r>
        <w:rPr>
          <w:rFonts w:ascii="Calibri" w:cs="Calibri" w:eastAsia="Calibri" w:hAnsi="Calibri"/>
          <w:sz w:val="22"/>
          <w:szCs w:val="22"/>
        </w:rPr>
        <w:t xml:space="preserve">Week 7: Iris voice. The first 150 production drafts get hand-edited by Walker; the deltas inform a style guide that lives in src/lib/iris/style.ts. Iris stops sounding like ChatGPT.</w:t>
      </w:r>
    </w:p>
    <w:p>
      <w:pPr>
        <w:pStyle w:val="ListParagraph"/>
        <w:numPr>
          <w:ilvl w:val="0"/>
          <w:numId w:val="3"/>
        </w:numPr>
        <w:spacing w:after="100" w:line="280"/>
      </w:pPr>
      <w:r>
        <w:rPr>
          <w:rFonts w:ascii="Calibri" w:cs="Calibri" w:eastAsia="Calibri" w:hAnsi="Calibri"/>
          <w:sz w:val="22"/>
          <w:szCs w:val="22"/>
        </w:rPr>
        <w:t xml:space="preserve">Week 8: soft pilot with one GC. Two PMs, two supers, one project. They use it for two weeks. Daily standups capture every friction; we ship a fix the next day.</w:t>
      </w:r>
    </w:p>
    <w:p>
      <w:pPr>
        <w:spacing w:after="80" w:before="200"/>
      </w:pPr>
      <w:r>
        <w:rPr>
          <w:rFonts w:ascii="Calibri" w:cs="Calibri" w:eastAsia="Calibri" w:hAnsi="Calibri"/>
          <w:b/>
          <w:bCs/>
          <w:color w:val="13315C"/>
          <w:sz w:val="22"/>
          <w:szCs w:val="22"/>
        </w:rPr>
        <w:t xml:space="preserve">Lap 2 acceptance gate</w:t>
      </w:r>
    </w:p>
    <w:p>
      <w:pPr>
        <w:spacing w:after="140" w:line="300"/>
      </w:pPr>
      <w:r>
        <w:rPr>
          <w:rFonts w:ascii="Calibri" w:cs="Calibri" w:eastAsia="Calibri" w:hAnsi="Calibri"/>
          <w:sz w:val="22"/>
          <w:szCs w:val="22"/>
        </w:rPr>
        <w:t xml:space="preserve">On day 60, the soft-pilot GC has 100+ production Iris drafts approved, average draft acceptance rate ≥ 70%, average time-to-approve ≤ 90 seconds, zero security/audit incidents, and the PM messages Walker unprompted: ‘I don’t want to go back.’ That sentence is the gate.</w:t>
      </w:r>
    </w:p>
    <w:p>
      <w:pPr>
        <w:pStyle w:val="Heading2"/>
        <w:spacing w:after="160" w:before="320"/>
      </w:pPr>
      <w:r>
        <w:rPr>
          <w:rFonts w:ascii="Calibri" w:cs="Calibri" w:eastAsia="Calibri" w:hAnsi="Calibri"/>
          <w:b/>
          <w:bCs/>
          <w:color w:val="0B2545"/>
          <w:sz w:val="30"/>
          <w:szCs w:val="30"/>
        </w:rPr>
        <w:t xml:space="preserve">Lap 3 — Act (days 61–90)</w:t>
      </w:r>
    </w:p>
    <w:p>
      <w:pPr>
        <w:spacing w:after="140" w:line="300"/>
      </w:pPr>
      <w:r>
        <w:rPr>
          <w:rFonts w:ascii="Calibri" w:cs="Calibri" w:eastAsia="Calibri" w:hAnsi="Calibri"/>
          <w:sz w:val="22"/>
          <w:szCs w:val="22"/>
        </w:rPr>
        <w:t xml:space="preserve">Goal: Iris graduates from drafter to actor on a narrow, opt-in surface. The first signed contract closes. The board update is unbeatable.</w:t>
      </w:r>
    </w:p>
    <w:p>
      <w:pPr>
        <w:spacing w:after="80" w:before="200"/>
      </w:pPr>
      <w:r>
        <w:rPr>
          <w:rFonts w:ascii="Calibri" w:cs="Calibri" w:eastAsia="Calibri" w:hAnsi="Calibri"/>
          <w:b/>
          <w:bCs/>
          <w:color w:val="13315C"/>
          <w:sz w:val="22"/>
          <w:szCs w:val="22"/>
        </w:rPr>
        <w:t xml:space="preserve">Weekly outcomes</w:t>
      </w:r>
    </w:p>
    <w:p>
      <w:pPr>
        <w:pStyle w:val="ListParagraph"/>
        <w:numPr>
          <w:ilvl w:val="0"/>
          <w:numId w:val="3"/>
        </w:numPr>
        <w:spacing w:after="100" w:line="280"/>
      </w:pPr>
      <w:r>
        <w:rPr>
          <w:rFonts w:ascii="Calibri" w:cs="Calibri" w:eastAsia="Calibri" w:hAnsi="Calibri"/>
          <w:sz w:val="22"/>
          <w:szCs w:val="22"/>
        </w:rPr>
        <w:t xml:space="preserve">Week 9: hardened executors for the three highest-confidence Iris draft types (RFI response routing, daily log compilation, punch item assignment). Auto-execute behind an org-level toggle, default off.</w:t>
      </w:r>
    </w:p>
    <w:p>
      <w:pPr>
        <w:pStyle w:val="ListParagraph"/>
        <w:numPr>
          <w:ilvl w:val="0"/>
          <w:numId w:val="3"/>
        </w:numPr>
        <w:spacing w:after="100" w:line="280"/>
      </w:pPr>
      <w:r>
        <w:rPr>
          <w:rFonts w:ascii="Calibri" w:cs="Calibri" w:eastAsia="Calibri" w:hAnsi="Calibri"/>
          <w:sz w:val="22"/>
          <w:szCs w:val="22"/>
        </w:rPr>
        <w:t xml:space="preserve">Week 10: opt-in auto-execute on confidence ≥ 0.92 with a 60-second human cancel window. The audit row records the model fingerprint, the cancel window expiry, and whether a human cancelled.</w:t>
      </w:r>
    </w:p>
    <w:p>
      <w:pPr>
        <w:pStyle w:val="ListParagraph"/>
        <w:numPr>
          <w:ilvl w:val="0"/>
          <w:numId w:val="3"/>
        </w:numPr>
        <w:spacing w:after="100" w:line="280"/>
      </w:pPr>
      <w:r>
        <w:rPr>
          <w:rFonts w:ascii="Calibri" w:cs="Calibri" w:eastAsia="Calibri" w:hAnsi="Calibri"/>
          <w:sz w:val="22"/>
          <w:szCs w:val="22"/>
        </w:rPr>
        <w:t xml:space="preserve">Week 11: the twelve-second demo is rehearsed 200 times. The hard-launch landing page goes live. Three regional GC champions agreeing to be reference customers.</w:t>
      </w:r>
    </w:p>
    <w:p>
      <w:pPr>
        <w:pStyle w:val="ListParagraph"/>
        <w:numPr>
          <w:ilvl w:val="0"/>
          <w:numId w:val="3"/>
        </w:numPr>
        <w:spacing w:after="100" w:line="280"/>
      </w:pPr>
      <w:r>
        <w:rPr>
          <w:rFonts w:ascii="Calibri" w:cs="Calibri" w:eastAsia="Calibri" w:hAnsi="Calibri"/>
          <w:sz w:val="22"/>
          <w:szCs w:val="22"/>
        </w:rPr>
        <w:t xml:space="preserve">Week 12: first paid contract signed. Pricing on Pro tier per docs/business/PRICING.md (CFO sets dollar; tier structure locked). Hard launch on day 90.</w:t>
      </w:r>
    </w:p>
    <w:p>
      <w:pPr>
        <w:spacing w:after="80" w:before="200"/>
      </w:pPr>
      <w:r>
        <w:rPr>
          <w:rFonts w:ascii="Calibri" w:cs="Calibri" w:eastAsia="Calibri" w:hAnsi="Calibri"/>
          <w:b/>
          <w:bCs/>
          <w:color w:val="13315C"/>
          <w:sz w:val="22"/>
          <w:szCs w:val="22"/>
        </w:rPr>
        <w:t xml:space="preserve">Lap 3 acceptance gate</w:t>
      </w:r>
    </w:p>
    <w:p>
      <w:pPr>
        <w:spacing w:after="140" w:line="300"/>
      </w:pPr>
      <w:r>
        <w:rPr>
          <w:rFonts w:ascii="Calibri" w:cs="Calibri" w:eastAsia="Calibri" w:hAnsi="Calibri"/>
          <w:sz w:val="22"/>
          <w:szCs w:val="22"/>
        </w:rPr>
        <w:t xml:space="preserve">On day 90, one contract is signed by a real GC, two more are in legal review, the demo runs flawlessly four times in a row in front of an external audience, and the team takes one weekend off without paging anyone. The product runs without you for 48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4"/>
              <w:left w:val="single" w:color="F26430" w:sz="24"/>
              <w:bottom w:val="single" w:color="0B2545" w:sz="4"/>
              <w:right w:val="single" w:color="0B2545" w:sz="4"/>
            </w:tcBorders>
            <w:shd w:fill="F7F4EE" w:val="clear"/>
            <w:tcMar>
              <w:top w:type="dxa" w:w="200"/>
              <w:left w:type="dxa" w:w="280"/>
              <w:bottom w:type="dxa" w:w="200"/>
              <w:right w:type="dxa" w:w="200"/>
            </w:tcMar>
          </w:tcPr>
          <w:p>
            <w:pPr>
              <w:spacing w:after="80"/>
            </w:pPr>
            <w:r>
              <w:rPr>
                <w:rFonts w:ascii="Calibri" w:cs="Calibri" w:eastAsia="Calibri" w:hAnsi="Calibri"/>
                <w:b/>
                <w:bCs/>
                <w:color w:val="F26430"/>
                <w:sz w:val="18"/>
                <w:szCs w:val="18"/>
              </w:rPr>
              <w:t xml:space="preserve">THE FRIDAY DRUMBEAT</w:t>
            </w:r>
          </w:p>
          <w:p>
            <w:r>
              <w:rPr>
                <w:rFonts w:ascii="Calibri" w:cs="Calibri" w:eastAsia="Calibri" w:hAnsi="Calibri"/>
                <w:sz w:val="22"/>
                <w:szCs w:val="22"/>
              </w:rPr>
              <w:t xml:space="preserve">Every Friday, Walker writes a 200-word retro: what shipped, what slipped, one decision worth recording, one number to watch next week. Over 90 days that is 13 retros. They become the company’s memory.</w:t>
            </w:r>
          </w:p>
        </w:tc>
      </w:tr>
    </w:tbl>
    <w:p>
      <w:pPr>
        <w:pStyle w:val="Heading1"/>
        <w:pageBreakBefore/>
        <w:spacing w:after="240" w:before="480"/>
      </w:pPr>
      <w:r>
        <w:rPr>
          <w:rFonts w:ascii="Calibri" w:cs="Calibri" w:eastAsia="Calibri" w:hAnsi="Calibri"/>
          <w:b/>
          <w:bCs/>
          <w:color w:val="0B2545"/>
          <w:sz w:val="40"/>
          <w:szCs w:val="40"/>
        </w:rPr>
        <w:t xml:space="preserve">IX. The Twelve‑Month Roadmap</w:t>
      </w:r>
    </w:p>
    <w:p>
      <w:pPr>
        <w:spacing w:after="80" w:before="160" w:line="320"/>
        <w:ind w:left="720" w:right="720"/>
      </w:pPr>
      <w:r>
        <w:rPr>
          <w:rFonts w:ascii="Calibri" w:cs="Calibri" w:eastAsia="Calibri" w:hAnsi="Calibri"/>
          <w:i/>
          <w:iCs/>
          <w:color w:val="13315C"/>
          <w:sz w:val="24"/>
          <w:szCs w:val="24"/>
        </w:rPr>
        <w:t xml:space="preserve">“A roadmap is a hypothesis with calendar dates attached. Re-write it every quarter; lie to no one about how confident you are.”</w:t>
      </w:r>
    </w:p>
    <w:p>
      <w:pPr>
        <w:pStyle w:val="Heading2"/>
        <w:spacing w:after="160" w:before="320"/>
      </w:pPr>
      <w:r>
        <w:rPr>
          <w:rFonts w:ascii="Calibri" w:cs="Calibri" w:eastAsia="Calibri" w:hAnsi="Calibri"/>
          <w:b/>
          <w:bCs/>
          <w:color w:val="0B2545"/>
          <w:sz w:val="30"/>
          <w:szCs w:val="30"/>
        </w:rPr>
        <w:t xml:space="preserve">Q3 2026 (Aug–Oct) — from one GC to three</w:t>
      </w:r>
    </w:p>
    <w:p>
      <w:pPr>
        <w:spacing w:after="140" w:line="300"/>
      </w:pPr>
      <w:r>
        <w:rPr>
          <w:rFonts w:ascii="Calibri" w:cs="Calibri" w:eastAsia="Calibri" w:hAnsi="Calibri"/>
          <w:sz w:val="22"/>
          <w:szCs w:val="22"/>
        </w:rPr>
        <w:t xml:space="preserve">Foundation: Lap 3 acceptance has passed. One paid GC. Three pilots in flight. Iris is drafting and (narrowly) acting. Audit chain certified by an external auditor.</w:t>
      </w:r>
    </w:p>
    <w:p>
      <w:pPr>
        <w:spacing w:after="80" w:before="200"/>
      </w:pPr>
      <w:r>
        <w:rPr>
          <w:rFonts w:ascii="Calibri" w:cs="Calibri" w:eastAsia="Calibri" w:hAnsi="Calibri"/>
          <w:b/>
          <w:bCs/>
          <w:color w:val="13315C"/>
          <w:sz w:val="22"/>
          <w:szCs w:val="22"/>
        </w:rPr>
        <w:t xml:space="preserve">What ships</w:t>
      </w:r>
    </w:p>
    <w:p>
      <w:pPr>
        <w:pStyle w:val="ListParagraph"/>
        <w:numPr>
          <w:ilvl w:val="0"/>
          <w:numId w:val="2"/>
        </w:numPr>
        <w:spacing w:after="100" w:line="280"/>
      </w:pPr>
      <w:r>
        <w:rPr>
          <w:rFonts w:ascii="Calibri" w:cs="Calibri" w:eastAsia="Calibri" w:hAnsi="Calibri"/>
          <w:sz w:val="22"/>
          <w:szCs w:val="22"/>
        </w:rPr>
        <w:t xml:space="preserve">Procore importer end-to-end (UI → worker → verification). The #1 enterprise switching blocker, removed.</w:t>
      </w:r>
    </w:p>
    <w:p>
      <w:pPr>
        <w:pStyle w:val="ListParagraph"/>
        <w:numPr>
          <w:ilvl w:val="0"/>
          <w:numId w:val="2"/>
        </w:numPr>
        <w:spacing w:after="100" w:line="280"/>
      </w:pPr>
      <w:r>
        <w:rPr>
          <w:rFonts w:ascii="Calibri" w:cs="Calibri" w:eastAsia="Calibri" w:hAnsi="Calibri"/>
          <w:sz w:val="22"/>
          <w:szCs w:val="22"/>
        </w:rPr>
        <w:t xml:space="preserve">Sub portal v0 (waiver upload, COI upload, pay-app status read-only). Free tier.</w:t>
      </w:r>
    </w:p>
    <w:p>
      <w:pPr>
        <w:pStyle w:val="ListParagraph"/>
        <w:numPr>
          <w:ilvl w:val="0"/>
          <w:numId w:val="2"/>
        </w:numPr>
        <w:spacing w:after="100" w:line="280"/>
      </w:pPr>
      <w:r>
        <w:rPr>
          <w:rFonts w:ascii="Calibri" w:cs="Calibri" w:eastAsia="Calibri" w:hAnsi="Calibri"/>
          <w:sz w:val="22"/>
          <w:szCs w:val="22"/>
        </w:rPr>
        <w:t xml:space="preserve">Mobile native iOS (Capacitor) shipped to App Store. Android in beta.</w:t>
      </w:r>
    </w:p>
    <w:p>
      <w:pPr>
        <w:pStyle w:val="ListParagraph"/>
        <w:numPr>
          <w:ilvl w:val="0"/>
          <w:numId w:val="2"/>
        </w:numPr>
        <w:spacing w:after="100" w:line="280"/>
      </w:pPr>
      <w:r>
        <w:rPr>
          <w:rFonts w:ascii="Calibri" w:cs="Calibri" w:eastAsia="Calibri" w:hAnsi="Calibri"/>
          <w:sz w:val="22"/>
          <w:szCs w:val="22"/>
        </w:rPr>
        <w:t xml:space="preserve">Three reference customers. One case study with named GC, named PM, named numbers.</w:t>
      </w:r>
    </w:p>
    <w:p>
      <w:pPr>
        <w:pStyle w:val="Heading2"/>
        <w:spacing w:after="160" w:before="320"/>
      </w:pPr>
      <w:r>
        <w:rPr>
          <w:rFonts w:ascii="Calibri" w:cs="Calibri" w:eastAsia="Calibri" w:hAnsi="Calibri"/>
          <w:b/>
          <w:bCs/>
          <w:color w:val="0B2545"/>
          <w:sz w:val="30"/>
          <w:szCs w:val="30"/>
        </w:rPr>
        <w:t xml:space="preserve">Q4 2026 (Nov–Jan) — from three to ten</w:t>
      </w:r>
    </w:p>
    <w:p>
      <w:pPr>
        <w:spacing w:after="140" w:line="300"/>
      </w:pPr>
      <w:r>
        <w:rPr>
          <w:rFonts w:ascii="Calibri" w:cs="Calibri" w:eastAsia="Calibri" w:hAnsi="Calibri"/>
          <w:sz w:val="22"/>
          <w:szCs w:val="22"/>
        </w:rPr>
        <w:t xml:space="preserve">Foundation: Procore Groundbreak has happened. Whatever Procore announced, we have a 90-second response on our website by midnight that day.</w:t>
      </w:r>
    </w:p>
    <w:p>
      <w:pPr>
        <w:spacing w:after="80" w:before="200"/>
      </w:pPr>
      <w:r>
        <w:rPr>
          <w:rFonts w:ascii="Calibri" w:cs="Calibri" w:eastAsia="Calibri" w:hAnsi="Calibri"/>
          <w:b/>
          <w:bCs/>
          <w:color w:val="13315C"/>
          <w:sz w:val="22"/>
          <w:szCs w:val="22"/>
        </w:rPr>
        <w:t xml:space="preserve">What ships</w:t>
      </w:r>
    </w:p>
    <w:p>
      <w:pPr>
        <w:pStyle w:val="ListParagraph"/>
        <w:numPr>
          <w:ilvl w:val="0"/>
          <w:numId w:val="2"/>
        </w:numPr>
        <w:spacing w:after="100" w:line="280"/>
      </w:pPr>
      <w:r>
        <w:rPr>
          <w:rFonts w:ascii="Calibri" w:cs="Calibri" w:eastAsia="Calibri" w:hAnsi="Calibri"/>
          <w:sz w:val="22"/>
          <w:szCs w:val="22"/>
        </w:rPr>
        <w:t xml:space="preserve">Sub portal v1 with notifications, multi-GC view, and signed waiver auto-attach.</w:t>
      </w:r>
    </w:p>
    <w:p>
      <w:pPr>
        <w:pStyle w:val="ListParagraph"/>
        <w:numPr>
          <w:ilvl w:val="0"/>
          <w:numId w:val="2"/>
        </w:numPr>
        <w:spacing w:after="100" w:line="280"/>
      </w:pPr>
      <w:r>
        <w:rPr>
          <w:rFonts w:ascii="Calibri" w:cs="Calibri" w:eastAsia="Calibri" w:hAnsi="Calibri"/>
          <w:sz w:val="22"/>
          <w:szCs w:val="22"/>
        </w:rPr>
        <w:t xml:space="preserve">Portfolio rollup hardening for multi-project execs. Risk-rank methodology published as a white paper.</w:t>
      </w:r>
    </w:p>
    <w:p>
      <w:pPr>
        <w:pStyle w:val="ListParagraph"/>
        <w:numPr>
          <w:ilvl w:val="0"/>
          <w:numId w:val="2"/>
        </w:numPr>
        <w:spacing w:after="100" w:line="280"/>
      </w:pPr>
      <w:r>
        <w:rPr>
          <w:rFonts w:ascii="Calibri" w:cs="Calibri" w:eastAsia="Calibri" w:hAnsi="Calibri"/>
          <w:sz w:val="22"/>
          <w:szCs w:val="22"/>
        </w:rPr>
        <w:t xml:space="preserve">SSO/SCIM for the first three enterprise pilots. Custom roles. API tokens for the first integration partner (Sage or Foundation).</w:t>
      </w:r>
    </w:p>
    <w:p>
      <w:pPr>
        <w:pStyle w:val="ListParagraph"/>
        <w:numPr>
          <w:ilvl w:val="0"/>
          <w:numId w:val="2"/>
        </w:numPr>
        <w:spacing w:after="100" w:line="280"/>
      </w:pPr>
      <w:r>
        <w:rPr>
          <w:rFonts w:ascii="Calibri" w:cs="Calibri" w:eastAsia="Calibri" w:hAnsi="Calibri"/>
          <w:sz w:val="22"/>
          <w:szCs w:val="22"/>
        </w:rPr>
        <w:t xml:space="preserve">Seed round closed (target $4–6M; investor narrative in Part XII).</w:t>
      </w:r>
    </w:p>
    <w:p>
      <w:pPr>
        <w:pStyle w:val="Heading2"/>
        <w:spacing w:after="160" w:before="320"/>
      </w:pPr>
      <w:r>
        <w:rPr>
          <w:rFonts w:ascii="Calibri" w:cs="Calibri" w:eastAsia="Calibri" w:hAnsi="Calibri"/>
          <w:b/>
          <w:bCs/>
          <w:color w:val="0B2545"/>
          <w:sz w:val="30"/>
          <w:szCs w:val="30"/>
        </w:rPr>
        <w:t xml:space="preserve">Q1 2027 (Feb–Apr) — from ten to thirty</w:t>
      </w:r>
    </w:p>
    <w:p>
      <w:pPr>
        <w:spacing w:after="140" w:line="300"/>
      </w:pPr>
      <w:r>
        <w:rPr>
          <w:rFonts w:ascii="Calibri" w:cs="Calibri" w:eastAsia="Calibri" w:hAnsi="Calibri"/>
          <w:sz w:val="22"/>
          <w:szCs w:val="22"/>
        </w:rPr>
        <w:t xml:space="preserve">Foundation: seed funded. Team has grown to twelve. We are no longer one person’s company.</w:t>
      </w:r>
    </w:p>
    <w:p>
      <w:pPr>
        <w:spacing w:after="80" w:before="200"/>
      </w:pPr>
      <w:r>
        <w:rPr>
          <w:rFonts w:ascii="Calibri" w:cs="Calibri" w:eastAsia="Calibri" w:hAnsi="Calibri"/>
          <w:b/>
          <w:bCs/>
          <w:color w:val="13315C"/>
          <w:sz w:val="22"/>
          <w:szCs w:val="22"/>
        </w:rPr>
        <w:t xml:space="preserve">What ships</w:t>
      </w:r>
    </w:p>
    <w:p>
      <w:pPr>
        <w:pStyle w:val="ListParagraph"/>
        <w:numPr>
          <w:ilvl w:val="0"/>
          <w:numId w:val="2"/>
        </w:numPr>
        <w:spacing w:after="100" w:line="280"/>
      </w:pPr>
      <w:r>
        <w:rPr>
          <w:rFonts w:ascii="Calibri" w:cs="Calibri" w:eastAsia="Calibri" w:hAnsi="Calibri"/>
          <w:sz w:val="22"/>
          <w:szCs w:val="22"/>
        </w:rPr>
        <w:t xml:space="preserve">Embedded payments v0 — sub gets paid through Sitesync rails. Lien waiver auto-attach. ACH push the day the GC approves the pay app.</w:t>
      </w:r>
    </w:p>
    <w:p>
      <w:pPr>
        <w:pStyle w:val="ListParagraph"/>
        <w:numPr>
          <w:ilvl w:val="0"/>
          <w:numId w:val="2"/>
        </w:numPr>
        <w:spacing w:after="100" w:line="280"/>
      </w:pPr>
      <w:r>
        <w:rPr>
          <w:rFonts w:ascii="Calibri" w:cs="Calibri" w:eastAsia="Calibri" w:hAnsi="Calibri"/>
          <w:sz w:val="22"/>
          <w:szCs w:val="22"/>
        </w:rPr>
        <w:t xml:space="preserve">First state-DOT or municipality customer. Public-sector compliance pack ships.</w:t>
      </w:r>
    </w:p>
    <w:p>
      <w:pPr>
        <w:pStyle w:val="ListParagraph"/>
        <w:numPr>
          <w:ilvl w:val="0"/>
          <w:numId w:val="2"/>
        </w:numPr>
        <w:spacing w:after="100" w:line="280"/>
      </w:pPr>
      <w:r>
        <w:rPr>
          <w:rFonts w:ascii="Calibri" w:cs="Calibri" w:eastAsia="Calibri" w:hAnsi="Calibri"/>
          <w:sz w:val="22"/>
          <w:szCs w:val="22"/>
        </w:rPr>
        <w:t xml:space="preserve">Open API + outbound webhooks. The integrations marketplace launches with five partners.</w:t>
      </w:r>
    </w:p>
    <w:p>
      <w:pPr>
        <w:pStyle w:val="ListParagraph"/>
        <w:numPr>
          <w:ilvl w:val="0"/>
          <w:numId w:val="2"/>
        </w:numPr>
        <w:spacing w:after="100" w:line="280"/>
      </w:pPr>
      <w:r>
        <w:rPr>
          <w:rFonts w:ascii="Calibri" w:cs="Calibri" w:eastAsia="Calibri" w:hAnsi="Calibri"/>
          <w:sz w:val="22"/>
          <w:szCs w:val="22"/>
        </w:rPr>
        <w:t xml:space="preserve">Iris cross-project insights — patterns from one project surface as warnings on the next.</w:t>
      </w:r>
    </w:p>
    <w:p>
      <w:pPr>
        <w:pStyle w:val="Heading2"/>
        <w:spacing w:after="160" w:before="320"/>
      </w:pPr>
      <w:r>
        <w:rPr>
          <w:rFonts w:ascii="Calibri" w:cs="Calibri" w:eastAsia="Calibri" w:hAnsi="Calibri"/>
          <w:b/>
          <w:bCs/>
          <w:color w:val="0B2545"/>
          <w:sz w:val="30"/>
          <w:szCs w:val="30"/>
        </w:rPr>
        <w:t xml:space="preserve">Q2 2027 (May–Jul) — from thirty to a hundred</w:t>
      </w:r>
    </w:p>
    <w:p>
      <w:pPr>
        <w:spacing w:after="140" w:line="300"/>
      </w:pPr>
      <w:r>
        <w:rPr>
          <w:rFonts w:ascii="Calibri" w:cs="Calibri" w:eastAsia="Calibri" w:hAnsi="Calibri"/>
          <w:sz w:val="22"/>
          <w:szCs w:val="22"/>
        </w:rPr>
        <w:t xml:space="preserve">Foundation: the network effect has kicked in. Subs are asking GCs for Sitesync.</w:t>
      </w:r>
    </w:p>
    <w:p>
      <w:pPr>
        <w:spacing w:after="80" w:before="200"/>
      </w:pPr>
      <w:r>
        <w:rPr>
          <w:rFonts w:ascii="Calibri" w:cs="Calibri" w:eastAsia="Calibri" w:hAnsi="Calibri"/>
          <w:b/>
          <w:bCs/>
          <w:color w:val="13315C"/>
          <w:sz w:val="22"/>
          <w:szCs w:val="22"/>
        </w:rPr>
        <w:t xml:space="preserve">What ships</w:t>
      </w:r>
    </w:p>
    <w:p>
      <w:pPr>
        <w:pStyle w:val="ListParagraph"/>
        <w:numPr>
          <w:ilvl w:val="0"/>
          <w:numId w:val="2"/>
        </w:numPr>
        <w:spacing w:after="100" w:line="280"/>
      </w:pPr>
      <w:r>
        <w:rPr>
          <w:rFonts w:ascii="Calibri" w:cs="Calibri" w:eastAsia="Calibri" w:hAnsi="Calibri"/>
          <w:sz w:val="22"/>
          <w:szCs w:val="22"/>
        </w:rPr>
        <w:t xml:space="preserve">Land-and-expand inside three Top-100 GCs. The portfolio rollup is the wedge.</w:t>
      </w:r>
    </w:p>
    <w:p>
      <w:pPr>
        <w:pStyle w:val="ListParagraph"/>
        <w:numPr>
          <w:ilvl w:val="0"/>
          <w:numId w:val="2"/>
        </w:numPr>
        <w:spacing w:after="100" w:line="280"/>
      </w:pPr>
      <w:r>
        <w:rPr>
          <w:rFonts w:ascii="Calibri" w:cs="Calibri" w:eastAsia="Calibri" w:hAnsi="Calibri"/>
          <w:sz w:val="22"/>
          <w:szCs w:val="22"/>
        </w:rPr>
        <w:t xml:space="preserve">BIM viewer with WebGPU. Three.js path retired.</w:t>
      </w:r>
    </w:p>
    <w:p>
      <w:pPr>
        <w:pStyle w:val="ListParagraph"/>
        <w:numPr>
          <w:ilvl w:val="0"/>
          <w:numId w:val="2"/>
        </w:numPr>
        <w:spacing w:after="100" w:line="280"/>
      </w:pPr>
      <w:r>
        <w:rPr>
          <w:rFonts w:ascii="Calibri" w:cs="Calibri" w:eastAsia="Calibri" w:hAnsi="Calibri"/>
          <w:sz w:val="22"/>
          <w:szCs w:val="22"/>
        </w:rPr>
        <w:t xml:space="preserve">AI fine-tuning run on the corpus of approved Iris drafts. Iris voice becomes brand-distinct.</w:t>
      </w:r>
    </w:p>
    <w:p>
      <w:pPr>
        <w:pStyle w:val="ListParagraph"/>
        <w:numPr>
          <w:ilvl w:val="0"/>
          <w:numId w:val="2"/>
        </w:numPr>
        <w:spacing w:after="100" w:line="280"/>
      </w:pPr>
      <w:r>
        <w:rPr>
          <w:rFonts w:ascii="Calibri" w:cs="Calibri" w:eastAsia="Calibri" w:hAnsi="Calibri"/>
          <w:sz w:val="22"/>
          <w:szCs w:val="22"/>
        </w:rPr>
        <w:t xml:space="preserve">Series A conversation begins (target $20–30M, 12–18 months runway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4"/>
              <w:left w:val="single" w:color="F26430" w:sz="24"/>
              <w:bottom w:val="single" w:color="0B2545" w:sz="4"/>
              <w:right w:val="single" w:color="0B2545" w:sz="4"/>
            </w:tcBorders>
            <w:shd w:fill="F7F4EE" w:val="clear"/>
            <w:tcMar>
              <w:top w:type="dxa" w:w="200"/>
              <w:left w:type="dxa" w:w="280"/>
              <w:bottom w:type="dxa" w:w="200"/>
              <w:right w:type="dxa" w:w="200"/>
            </w:tcMar>
          </w:tcPr>
          <w:p>
            <w:pPr>
              <w:spacing w:after="80"/>
            </w:pPr>
            <w:r>
              <w:rPr>
                <w:rFonts w:ascii="Calibri" w:cs="Calibri" w:eastAsia="Calibri" w:hAnsi="Calibri"/>
                <w:b/>
                <w:bCs/>
                <w:color w:val="F26430"/>
                <w:sz w:val="18"/>
                <w:szCs w:val="18"/>
              </w:rPr>
              <w:t xml:space="preserve">RE-WRITE QUARTERLY</w:t>
            </w:r>
          </w:p>
          <w:p>
            <w:r>
              <w:rPr>
                <w:rFonts w:ascii="Calibri" w:cs="Calibri" w:eastAsia="Calibri" w:hAnsi="Calibri"/>
                <w:sz w:val="22"/>
                <w:szCs w:val="22"/>
              </w:rPr>
              <w:t xml:space="preserve">On the first Monday of every quarter, the founder re-writes this section in pencil. Anything that was a guess gets crossed out. Anything that surprised us gets added. The roadmap is a living document; the lies it told 90 days ago are not load-bearing.</w:t>
            </w:r>
          </w:p>
        </w:tc>
      </w:tr>
    </w:tbl>
    <w:p>
      <w:pPr>
        <w:pStyle w:val="Heading1"/>
        <w:pageBreakBefore/>
        <w:spacing w:after="240" w:before="480"/>
      </w:pPr>
      <w:r>
        <w:rPr>
          <w:rFonts w:ascii="Calibri" w:cs="Calibri" w:eastAsia="Calibri" w:hAnsi="Calibri"/>
          <w:b/>
          <w:bCs/>
          <w:color w:val="0B2545"/>
          <w:sz w:val="40"/>
          <w:szCs w:val="40"/>
        </w:rPr>
        <w:t xml:space="preserve">X. The Thirty‑Six‑Month Vision</w:t>
      </w:r>
    </w:p>
    <w:p>
      <w:pPr>
        <w:spacing w:after="80" w:before="160" w:line="320"/>
        <w:ind w:left="720" w:right="720"/>
      </w:pPr>
      <w:r>
        <w:rPr>
          <w:rFonts w:ascii="Calibri" w:cs="Calibri" w:eastAsia="Calibri" w:hAnsi="Calibri"/>
          <w:i/>
          <w:iCs/>
          <w:color w:val="13315C"/>
          <w:sz w:val="24"/>
          <w:szCs w:val="24"/>
        </w:rPr>
        <w:t xml:space="preserve">“The 36-month vision is what you whisper in interviews to candidates who are smarter than you. If you cannot whisper it without sounding silly, you have the wrong vision.”</w:t>
      </w:r>
    </w:p>
    <w:p>
      <w:pPr>
        <w:pStyle w:val="Heading2"/>
        <w:spacing w:after="160" w:before="320"/>
      </w:pPr>
      <w:r>
        <w:rPr>
          <w:rFonts w:ascii="Calibri" w:cs="Calibri" w:eastAsia="Calibri" w:hAnsi="Calibri"/>
          <w:b/>
          <w:bCs/>
          <w:color w:val="0B2545"/>
          <w:sz w:val="30"/>
          <w:szCs w:val="30"/>
        </w:rPr>
        <w:t xml:space="preserve">By May 2029</w:t>
      </w:r>
    </w:p>
    <w:p>
      <w:pPr>
        <w:spacing w:after="140" w:line="300"/>
      </w:pPr>
      <w:r>
        <w:rPr>
          <w:rFonts w:ascii="Calibri" w:cs="Calibri" w:eastAsia="Calibri" w:hAnsi="Calibri"/>
          <w:sz w:val="22"/>
          <w:szCs w:val="22"/>
        </w:rPr>
        <w:t xml:space="preserve">Sitesync is the operating system on which 5–10% of US new commercial construction runs. That is roughly 4,000–8,000 active projects, $80–150B of GC volume, 100K+ subs, 250K+ daily active field users. Iris drafts every contractual artifact on those projects — RFIs, submittals, COs, daily logs, pay apps. Each of those drafts is approved by a human and chained into a deposition-grade audit log. The chain has not been tampered with since the first row in 2026.</w:t>
      </w:r>
    </w:p>
    <w:p>
      <w:pPr>
        <w:spacing w:after="140" w:line="300"/>
      </w:pPr>
      <w:r>
        <w:rPr>
          <w:rFonts w:ascii="Calibri" w:cs="Calibri" w:eastAsia="Calibri" w:hAnsi="Calibri"/>
          <w:sz w:val="22"/>
          <w:szCs w:val="22"/>
        </w:rPr>
        <w:t xml:space="preserve">The sub portal is the de facto certificate-of-insurance directory of US construction. Carriers and bonding companies query it via API. State AGs subpoena it for fraud cases. The waiver-and-COI shoebox is closed.</w:t>
      </w:r>
    </w:p>
    <w:p>
      <w:pPr>
        <w:spacing w:after="140" w:line="300"/>
      </w:pPr>
      <w:r>
        <w:rPr>
          <w:rFonts w:ascii="Calibri" w:cs="Calibri" w:eastAsia="Calibri" w:hAnsi="Calibri"/>
          <w:sz w:val="22"/>
          <w:szCs w:val="22"/>
        </w:rPr>
        <w:t xml:space="preserve">Procore exists. Its incumbency is intact in legacy enterprise. But the Procore Agent did not become a primary surface; it became a feature. Trunk Tools and the chat-only competitors did not ship the artifact. Document Crunch and the doc-only competitors did not ship the workflow. The middle is empty. We are in it.</w:t>
      </w:r>
    </w:p>
    <w:p>
      <w:pPr>
        <w:spacing w:after="140" w:line="300"/>
      </w:pPr>
      <w:r>
        <w:rPr>
          <w:rFonts w:ascii="Calibri" w:cs="Calibri" w:eastAsia="Calibri" w:hAnsi="Calibri"/>
          <w:sz w:val="22"/>
          <w:szCs w:val="22"/>
        </w:rPr>
        <w:t xml:space="preserve">We employ 80–120 people. Half of them are former GC supers, PMs, and CFOs. The other half are software engineers who have walked a job. The engineering team includes two former Procore engineers and one former Trunk Tools engineer. Every Tuesday, every engineer is on a call with a real super. The product reflects it.</w:t>
      </w:r>
    </w:p>
    <w:p>
      <w:pPr>
        <w:spacing w:after="140" w:line="300"/>
      </w:pPr>
      <w:r>
        <w:rPr>
          <w:rFonts w:ascii="Calibri" w:cs="Calibri" w:eastAsia="Calibri" w:hAnsi="Calibri"/>
          <w:sz w:val="22"/>
          <w:szCs w:val="22"/>
        </w:rPr>
        <w:t xml:space="preserve">Series A closed at $25M in Q4 2026. Series B closed at $80M in Q4 2027. The Series C conversation is happening now, at a $1.0–1.4B valuation. The company is profitable on contribution margin. The founder still writes the Friday retro.</w:t>
      </w:r>
    </w:p>
    <w:p>
      <w:pPr>
        <w:pStyle w:val="Heading2"/>
        <w:spacing w:after="160" w:before="320"/>
      </w:pPr>
      <w:r>
        <w:rPr>
          <w:rFonts w:ascii="Calibri" w:cs="Calibri" w:eastAsia="Calibri" w:hAnsi="Calibri"/>
          <w:b/>
          <w:bCs/>
          <w:color w:val="0B2545"/>
          <w:sz w:val="30"/>
          <w:szCs w:val="30"/>
        </w:rPr>
        <w:t xml:space="preserve">What we are not</w:t>
      </w:r>
    </w:p>
    <w:p>
      <w:pPr>
        <w:spacing w:after="140" w:line="300"/>
      </w:pPr>
      <w:r>
        <w:rPr>
          <w:rFonts w:ascii="Calibri" w:cs="Calibri" w:eastAsia="Calibri" w:hAnsi="Calibri"/>
          <w:sz w:val="22"/>
          <w:szCs w:val="22"/>
        </w:rPr>
        <w:t xml:space="preserve">We are not a vertical SaaS that does everything for construction. We are not a chatbot. We are not a marketplace. We are not a fintech that originates loans. We are not a residential homeowner tool. We are not international (yet). We are not building our own foundation models. The discipline of the next thirty-six months is staying in the lane and refusing the adjacent fund-raises.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4"/>
              <w:left w:val="single" w:color="F26430" w:sz="24"/>
              <w:bottom w:val="single" w:color="0B2545" w:sz="4"/>
              <w:right w:val="single" w:color="0B2545" w:sz="4"/>
            </w:tcBorders>
            <w:shd w:fill="F7F4EE" w:val="clear"/>
            <w:tcMar>
              <w:top w:type="dxa" w:w="200"/>
              <w:left w:type="dxa" w:w="280"/>
              <w:bottom w:type="dxa" w:w="200"/>
              <w:right w:type="dxa" w:w="200"/>
            </w:tcMar>
          </w:tcPr>
          <w:p>
            <w:pPr>
              <w:spacing w:after="80"/>
            </w:pPr>
            <w:r>
              <w:rPr>
                <w:rFonts w:ascii="Calibri" w:cs="Calibri" w:eastAsia="Calibri" w:hAnsi="Calibri"/>
                <w:b/>
                <w:bCs/>
                <w:color w:val="F26430"/>
                <w:sz w:val="18"/>
                <w:szCs w:val="18"/>
              </w:rPr>
              <w:t xml:space="preserve">THE WHISPER TEST</w:t>
            </w:r>
          </w:p>
          <w:p>
            <w:r>
              <w:rPr>
                <w:rFonts w:ascii="Calibri" w:cs="Calibri" w:eastAsia="Calibri" w:hAnsi="Calibri"/>
                <w:sz w:val="22"/>
                <w:szCs w:val="22"/>
              </w:rPr>
              <w:t xml:space="preserve">If you can say ‘Sitesync is the operating system US commercial construction runs on; Iris drafts every contractual artifact; the audit log holds up in court’ to a candidate at midnight, and they pause and say ‘that’s the cleanest founding thesis I’ve heard in five years’ — you have it. If they nod politely and ask about the salary, you do not.</w:t>
            </w:r>
          </w:p>
        </w:tc>
      </w:tr>
    </w:tbl>
    <w:p>
      <w:pPr>
        <w:pStyle w:val="Heading1"/>
        <w:pageBreakBefore/>
        <w:spacing w:after="240" w:before="480"/>
      </w:pPr>
      <w:r>
        <w:rPr>
          <w:rFonts w:ascii="Calibri" w:cs="Calibri" w:eastAsia="Calibri" w:hAnsi="Calibri"/>
          <w:b/>
          <w:bCs/>
          <w:color w:val="0B2545"/>
          <w:sz w:val="40"/>
          <w:szCs w:val="40"/>
        </w:rPr>
        <w:t xml:space="preserve">XI. The Team Operating Principles</w:t>
      </w:r>
    </w:p>
    <w:p>
      <w:pPr>
        <w:spacing w:after="80" w:before="160" w:line="320"/>
        <w:ind w:left="720" w:right="720"/>
      </w:pPr>
      <w:r>
        <w:rPr>
          <w:rFonts w:ascii="Calibri" w:cs="Calibri" w:eastAsia="Calibri" w:hAnsi="Calibri"/>
          <w:i/>
          <w:iCs/>
          <w:color w:val="13315C"/>
          <w:sz w:val="24"/>
          <w:szCs w:val="24"/>
        </w:rPr>
        <w:t xml:space="preserve">“Culture is what you do when no one is watching. Operating principles are how you write that down so the next twenty hires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360"/>
        <w:gridCol w:w="5280"/>
      </w:tblGrid>
      <w:tr>
        <w:trPr>
          <w:tblHeader/>
        </w:trPr>
        <w:tc>
          <w:tcPr>
            <w:tcW w:type="dxa" w:w="720"/>
            <w:tcBorders>
              <w:top w:val="single" w:color="CCCCCC" w:sz="1"/>
              <w:left w:val="single" w:color="CCCCCC" w:sz="1"/>
              <w:bottom w:val="single" w:color="CCCCCC" w:sz="1"/>
              <w:right w:val="single" w:color="CCCCCC" w:sz="1"/>
            </w:tcBorders>
            <w:shd w:fill="0B2545" w:val="clear"/>
            <w:tcMar>
              <w:top w:type="dxa" w:w="120"/>
              <w:left w:type="dxa" w:w="140"/>
              <w:bottom w:type="dxa" w:w="120"/>
              <w:right w:type="dxa" w:w="120"/>
            </w:tcMar>
          </w:tcPr>
          <w:p>
            <w:r>
              <w:rPr>
                <w:rFonts w:ascii="Calibri" w:cs="Calibri" w:eastAsia="Calibri" w:hAnsi="Calibri"/>
                <w:b/>
                <w:bCs/>
                <w:color w:val="FFFFFF"/>
                <w:sz w:val="20"/>
                <w:szCs w:val="20"/>
              </w:rPr>
              <w:t xml:space="preserve">#</w:t>
            </w:r>
          </w:p>
        </w:tc>
        <w:tc>
          <w:tcPr>
            <w:tcW w:type="dxa" w:w="3360"/>
            <w:tcBorders>
              <w:top w:val="single" w:color="CCCCCC" w:sz="1"/>
              <w:left w:val="single" w:color="CCCCCC" w:sz="1"/>
              <w:bottom w:val="single" w:color="CCCCCC" w:sz="1"/>
              <w:right w:val="single" w:color="CCCCCC" w:sz="1"/>
            </w:tcBorders>
            <w:shd w:fill="0B2545" w:val="clear"/>
            <w:tcMar>
              <w:top w:type="dxa" w:w="120"/>
              <w:left w:type="dxa" w:w="140"/>
              <w:bottom w:type="dxa" w:w="120"/>
              <w:right w:type="dxa" w:w="120"/>
            </w:tcMar>
          </w:tcPr>
          <w:p>
            <w:r>
              <w:rPr>
                <w:rFonts w:ascii="Calibri" w:cs="Calibri" w:eastAsia="Calibri" w:hAnsi="Calibri"/>
                <w:b/>
                <w:bCs/>
                <w:color w:val="FFFFFF"/>
                <w:sz w:val="20"/>
                <w:szCs w:val="20"/>
              </w:rPr>
              <w:t xml:space="preserve">Principle</w:t>
            </w:r>
          </w:p>
        </w:tc>
        <w:tc>
          <w:tcPr>
            <w:tcW w:type="dxa" w:w="5280"/>
            <w:tcBorders>
              <w:top w:val="single" w:color="CCCCCC" w:sz="1"/>
              <w:left w:val="single" w:color="CCCCCC" w:sz="1"/>
              <w:bottom w:val="single" w:color="CCCCCC" w:sz="1"/>
              <w:right w:val="single" w:color="CCCCCC" w:sz="1"/>
            </w:tcBorders>
            <w:shd w:fill="0B2545" w:val="clear"/>
            <w:tcMar>
              <w:top w:type="dxa" w:w="120"/>
              <w:left w:type="dxa" w:w="140"/>
              <w:bottom w:type="dxa" w:w="120"/>
              <w:right w:type="dxa" w:w="120"/>
            </w:tcMar>
          </w:tcPr>
          <w:p>
            <w:r>
              <w:rPr>
                <w:rFonts w:ascii="Calibri" w:cs="Calibri" w:eastAsia="Calibri" w:hAnsi="Calibri"/>
                <w:b/>
                <w:bCs/>
                <w:color w:val="FFFFFF"/>
                <w:sz w:val="20"/>
                <w:szCs w:val="20"/>
              </w:rPr>
              <w:t xml:space="preserve">Operational meaning</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1</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Walk the job before you write the code.</w:t>
            </w:r>
          </w:p>
        </w:tc>
        <w:tc>
          <w:tcPr>
            <w:tcW w:type="dxa" w:w="5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Every engineer visits a real construction site within their first 30 days. Every PM hire spends a Tuesday at a slab. The product reflects what we have seen, not what we have heard.</w:t>
            </w:r>
          </w:p>
        </w:tc>
      </w:tr>
      <w:tr>
        <w:tc>
          <w:tcPr>
            <w:tcW w:type="dxa" w:w="72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2</w:t>
            </w:r>
          </w:p>
        </w:tc>
        <w:tc>
          <w:tcPr>
            <w:tcW w:type="dxa" w:w="336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Ship the artifact, not the chat.</w:t>
            </w:r>
          </w:p>
        </w:tc>
        <w:tc>
          <w:tcPr>
            <w:tcW w:type="dxa" w:w="528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If a feature is replaceable by a chatbot, the feature is unfinished. The product is the signed daily log, the audited pay app, the routed RFI. The chat is the fallback for when the artifact path failed.</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3</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Write decisions down on the day you make them.</w:t>
            </w:r>
          </w:p>
        </w:tc>
        <w:tc>
          <w:tcPr>
            <w:tcW w:type="dxa" w:w="5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The Decision Log is in /docs/decisions/. Every architectural choice gets a one-page entry: what we decided, what we considered, what we rejected, and the date. We re-read the log on Sunday nights.</w:t>
            </w:r>
          </w:p>
        </w:tc>
      </w:tr>
      <w:tr>
        <w:tc>
          <w:tcPr>
            <w:tcW w:type="dxa" w:w="72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4</w:t>
            </w:r>
          </w:p>
        </w:tc>
        <w:tc>
          <w:tcPr>
            <w:tcW w:type="dxa" w:w="336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The audit chain is sacred.</w:t>
            </w:r>
          </w:p>
        </w:tc>
        <w:tc>
          <w:tcPr>
            <w:tcW w:type="dxa" w:w="528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No PR that touches the chain ships without two reviewers and a verifier-passing CI run. A regression here is a security incident, not a refactor. The chain is the company.</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5</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The two-second rule is binding.</w:t>
            </w:r>
          </w:p>
        </w:tc>
        <w:tc>
          <w:tcPr>
            <w:tcW w:type="dxa" w:w="5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Capture, inbox, draft, export each have a budget. Every PR that breaks one by more than 200ms requires an explicit owner sign-off in the PR body. Otherwise it is reverted.</w:t>
            </w:r>
          </w:p>
        </w:tc>
      </w:tr>
      <w:tr>
        <w:tc>
          <w:tcPr>
            <w:tcW w:type="dxa" w:w="72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6</w:t>
            </w:r>
          </w:p>
        </w:tc>
        <w:tc>
          <w:tcPr>
            <w:tcW w:type="dxa" w:w="336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Friday retros are non-negotiable.</w:t>
            </w:r>
          </w:p>
        </w:tc>
        <w:tc>
          <w:tcPr>
            <w:tcW w:type="dxa" w:w="528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200 words. What shipped, what slipped, one decision recorded, one number to watch. We have done 0 retros to this date. We will do 100 by year-end.</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7</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The founder still writes code on Tuesdays.</w:t>
            </w:r>
          </w:p>
        </w:tc>
        <w:tc>
          <w:tcPr>
            <w:tcW w:type="dxa" w:w="5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Until ARR &gt; $5M, Walker is a contributor. The ratio matters for product quality and recruiting. Founder-coded code is sacred only insofar as it sets the bar; everyone is allowed to delete it.</w:t>
            </w:r>
          </w:p>
        </w:tc>
      </w:tr>
      <w:tr>
        <w:tc>
          <w:tcPr>
            <w:tcW w:type="dxa" w:w="72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8</w:t>
            </w:r>
          </w:p>
        </w:tc>
        <w:tc>
          <w:tcPr>
            <w:tcW w:type="dxa" w:w="336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Hire people who have shipped.</w:t>
            </w:r>
          </w:p>
        </w:tc>
        <w:tc>
          <w:tcPr>
            <w:tcW w:type="dxa" w:w="528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Resumes that talk about size of team are a flag. Resumes that talk about what shipped, when, and what broke are a green light. We hire shippers.</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9</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Disagree by default; commit by Friday.</w:t>
            </w:r>
          </w:p>
        </w:tc>
        <w:tc>
          <w:tcPr>
            <w:tcW w:type="dxa" w:w="5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9"/>
                <w:szCs w:val="19"/>
              </w:rPr>
              <w:t xml:space="preserve">Conflict is a feature. Indecision is a bug. Argue hard on Monday; commit on Friday; review the decision on the Friday after.</w:t>
            </w:r>
          </w:p>
        </w:tc>
      </w:tr>
      <w:tr>
        <w:tc>
          <w:tcPr>
            <w:tcW w:type="dxa" w:w="72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10</w:t>
            </w:r>
          </w:p>
        </w:tc>
        <w:tc>
          <w:tcPr>
            <w:tcW w:type="dxa" w:w="336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Customers are the only authority.</w:t>
            </w:r>
          </w:p>
        </w:tc>
        <w:tc>
          <w:tcPr>
            <w:tcW w:type="dxa" w:w="528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9"/>
                <w:szCs w:val="19"/>
              </w:rPr>
              <w:t xml:space="preserve">Internal opinions lose to one paying customer’s phone call. We schedule three customer calls per week per PM. The product is built from those transcripts, not from internal Slack.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4"/>
              <w:left w:val="single" w:color="F26430" w:sz="24"/>
              <w:bottom w:val="single" w:color="0B2545" w:sz="4"/>
              <w:right w:val="single" w:color="0B2545" w:sz="4"/>
            </w:tcBorders>
            <w:shd w:fill="F7F4EE" w:val="clear"/>
            <w:tcMar>
              <w:top w:type="dxa" w:w="200"/>
              <w:left w:type="dxa" w:w="280"/>
              <w:bottom w:type="dxa" w:w="200"/>
              <w:right w:type="dxa" w:w="200"/>
            </w:tcMar>
          </w:tcPr>
          <w:p>
            <w:pPr>
              <w:spacing w:after="80"/>
            </w:pPr>
            <w:r>
              <w:rPr>
                <w:rFonts w:ascii="Calibri" w:cs="Calibri" w:eastAsia="Calibri" w:hAnsi="Calibri"/>
                <w:b/>
                <w:bCs/>
                <w:color w:val="F26430"/>
                <w:sz w:val="18"/>
                <w:szCs w:val="18"/>
              </w:rPr>
              <w:t xml:space="preserve">HIRING FILTER</w:t>
            </w:r>
          </w:p>
          <w:p>
            <w:r>
              <w:rPr>
                <w:rFonts w:ascii="Calibri" w:cs="Calibri" w:eastAsia="Calibri" w:hAnsi="Calibri"/>
                <w:sz w:val="22"/>
                <w:szCs w:val="22"/>
              </w:rPr>
              <w:t xml:space="preserve">Read these ten on the second interview. If a candidate disagrees with one and cannot defend the disagreement, pass. If they agree with all ten and add an eleventh that improves them, hire.</w:t>
            </w:r>
          </w:p>
        </w:tc>
      </w:tr>
    </w:tbl>
    <w:p>
      <w:pPr>
        <w:pStyle w:val="Heading1"/>
        <w:pageBreakBefore/>
        <w:spacing w:after="240" w:before="480"/>
      </w:pPr>
      <w:r>
        <w:rPr>
          <w:rFonts w:ascii="Calibri" w:cs="Calibri" w:eastAsia="Calibri" w:hAnsi="Calibri"/>
          <w:b/>
          <w:bCs/>
          <w:color w:val="0B2545"/>
          <w:sz w:val="40"/>
          <w:szCs w:val="40"/>
        </w:rPr>
        <w:t xml:space="preserve">XII. The Investor / Board Narrative</w:t>
      </w:r>
    </w:p>
    <w:p>
      <w:pPr>
        <w:spacing w:after="80" w:before="160" w:line="320"/>
        <w:ind w:left="720" w:right="720"/>
      </w:pPr>
      <w:r>
        <w:rPr>
          <w:rFonts w:ascii="Calibri" w:cs="Calibri" w:eastAsia="Calibri" w:hAnsi="Calibri"/>
          <w:i/>
          <w:iCs/>
          <w:color w:val="13315C"/>
          <w:sz w:val="24"/>
          <w:szCs w:val="24"/>
        </w:rPr>
        <w:t xml:space="preserve">“VCs read the first slide. Founders forget that.”</w:t>
      </w:r>
    </w:p>
    <w:p>
      <w:pPr>
        <w:pStyle w:val="Heading2"/>
        <w:spacing w:after="160" w:before="320"/>
      </w:pPr>
      <w:r>
        <w:rPr>
          <w:rFonts w:ascii="Calibri" w:cs="Calibri" w:eastAsia="Calibri" w:hAnsi="Calibri"/>
          <w:b/>
          <w:bCs/>
          <w:color w:val="0B2545"/>
          <w:sz w:val="30"/>
          <w:szCs w:val="30"/>
        </w:rPr>
        <w:t xml:space="preserve">The eighteen-slide story</w:t>
      </w:r>
    </w:p>
    <w:p>
      <w:pPr>
        <w:spacing w:after="140" w:line="300"/>
      </w:pPr>
      <w:r>
        <w:rPr>
          <w:rFonts w:ascii="Calibri" w:cs="Calibri" w:eastAsia="Calibri" w:hAnsi="Calibri"/>
          <w:sz w:val="22"/>
          <w:szCs w:val="22"/>
        </w:rPr>
        <w:t xml:space="preserve">The pitch deck is eighteen slides, twelve minutes spoken, six minutes Q&amp;A. Each slide is one idea, one image, one sentence. The deck is built from this section; if you change a slide, change this section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6000"/>
        <w:gridCol w:w="0"/>
      </w:tblGrid>
      <w:tr>
        <w:trPr>
          <w:tblHeader/>
        </w:trPr>
        <w:tc>
          <w:tcPr>
            <w:tcW w:type="dxa" w:w="720"/>
            <w:tcBorders>
              <w:top w:val="single" w:color="CCCCCC" w:sz="1"/>
              <w:left w:val="single" w:color="CCCCCC" w:sz="1"/>
              <w:bottom w:val="single" w:color="CCCCCC" w:sz="1"/>
              <w:right w:val="single" w:color="CCCCCC" w:sz="1"/>
            </w:tcBorders>
            <w:shd w:fill="0B2545" w:val="clear"/>
            <w:tcMar>
              <w:top w:type="dxa" w:w="120"/>
              <w:left w:type="dxa" w:w="140"/>
              <w:bottom w:type="dxa" w:w="120"/>
              <w:right w:type="dxa" w:w="120"/>
            </w:tcMar>
          </w:tcPr>
          <w:p>
            <w:r>
              <w:rPr>
                <w:rFonts w:ascii="Calibri" w:cs="Calibri" w:eastAsia="Calibri" w:hAnsi="Calibri"/>
                <w:b/>
                <w:bCs/>
                <w:color w:val="FFFFFF"/>
                <w:sz w:val="20"/>
                <w:szCs w:val="20"/>
              </w:rPr>
              <w:t xml:space="preserve">Slide</w:t>
            </w:r>
          </w:p>
        </w:tc>
        <w:tc>
          <w:tcPr>
            <w:tcW w:type="dxa" w:w="2640"/>
            <w:tcBorders>
              <w:top w:val="single" w:color="CCCCCC" w:sz="1"/>
              <w:left w:val="single" w:color="CCCCCC" w:sz="1"/>
              <w:bottom w:val="single" w:color="CCCCCC" w:sz="1"/>
              <w:right w:val="single" w:color="CCCCCC" w:sz="1"/>
            </w:tcBorders>
            <w:shd w:fill="0B2545" w:val="clear"/>
            <w:tcMar>
              <w:top w:type="dxa" w:w="120"/>
              <w:left w:type="dxa" w:w="140"/>
              <w:bottom w:type="dxa" w:w="120"/>
              <w:right w:type="dxa" w:w="120"/>
            </w:tcMar>
          </w:tcPr>
          <w:p>
            <w:r>
              <w:rPr>
                <w:rFonts w:ascii="Calibri" w:cs="Calibri" w:eastAsia="Calibri" w:hAnsi="Calibri"/>
                <w:b/>
                <w:bCs/>
                <w:color w:val="FFFFFF"/>
                <w:sz w:val="20"/>
                <w:szCs w:val="20"/>
              </w:rPr>
              <w:t xml:space="preserve">Title</w:t>
            </w:r>
          </w:p>
        </w:tc>
        <w:tc>
          <w:tcPr>
            <w:tcW w:type="dxa" w:w="6000"/>
            <w:tcBorders>
              <w:top w:val="single" w:color="CCCCCC" w:sz="1"/>
              <w:left w:val="single" w:color="CCCCCC" w:sz="1"/>
              <w:bottom w:val="single" w:color="CCCCCC" w:sz="1"/>
              <w:right w:val="single" w:color="CCCCCC" w:sz="1"/>
            </w:tcBorders>
            <w:shd w:fill="0B2545" w:val="clear"/>
            <w:tcMar>
              <w:top w:type="dxa" w:w="120"/>
              <w:left w:type="dxa" w:w="140"/>
              <w:bottom w:type="dxa" w:w="120"/>
              <w:right w:type="dxa" w:w="120"/>
            </w:tcMar>
          </w:tcPr>
          <w:p>
            <w:r>
              <w:rPr>
                <w:rFonts w:ascii="Calibri" w:cs="Calibri" w:eastAsia="Calibri" w:hAnsi="Calibri"/>
                <w:b/>
                <w:bCs/>
                <w:color w:val="FFFFFF"/>
                <w:sz w:val="20"/>
                <w:szCs w:val="20"/>
              </w:rPr>
              <w:t xml:space="preserve">Message</w:t>
            </w:r>
          </w:p>
        </w:tc>
        <w:tc>
          <w:tcPr>
            <w:tcW w:type="dxa" w:w="0"/>
            <w:tcBorders>
              <w:top w:val="single" w:color="CCCCCC" w:sz="1"/>
              <w:left w:val="single" w:color="CCCCCC" w:sz="1"/>
              <w:bottom w:val="single" w:color="CCCCCC" w:sz="1"/>
              <w:right w:val="single" w:color="CCCCCC" w:sz="1"/>
            </w:tcBorders>
            <w:shd w:fill="0B2545" w:val="clear"/>
            <w:tcMar>
              <w:top w:type="dxa" w:w="120"/>
              <w:left w:type="dxa" w:w="140"/>
              <w:bottom w:type="dxa" w:w="120"/>
              <w:right w:type="dxa" w:w="120"/>
            </w:tcMar>
          </w:tcPr>
          <w:p>
            <w:r>
              <w:rPr>
                <w:rFonts w:ascii="Calibri" w:cs="Calibri" w:eastAsia="Calibri" w:hAnsi="Calibri"/>
                <w:b/>
                <w:bCs/>
                <w:color w:val="FFFFFF"/>
                <w:sz w:val="20"/>
                <w:szCs w:val="20"/>
              </w:rPr>
              <w:t xml:space="preserve"/>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1</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Title</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Sitesync — the operating system construction has been waiting fifty years for. Walker Benner. Founder.</w:t>
            </w:r>
          </w:p>
        </w:tc>
        <w:tc>
          <w:tcPr>
            <w:tcW w:type="dxa" w:w="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
            </w:r>
          </w:p>
        </w:tc>
      </w:tr>
      <w:tr>
        <w:tc>
          <w:tcPr>
            <w:tcW w:type="dxa" w:w="72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2</w:t>
            </w:r>
          </w:p>
        </w:tc>
        <w:tc>
          <w:tcPr>
            <w:tcW w:type="dxa" w:w="264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The night before pay app</w:t>
            </w:r>
          </w:p>
        </w:tc>
        <w:tc>
          <w:tcPr>
            <w:tcW w:type="dxa" w:w="600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A photo of a real PM at 11 p.m. with binders. The pay app is rejected the next day. Six figures of cash flow gone. Tell the story in 60 seconds.</w:t>
            </w:r>
          </w:p>
        </w:tc>
        <w:tc>
          <w:tcPr>
            <w:tcW w:type="dxa" w:w="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3</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Why now</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AI tool-use crossed a threshold. Labor shrinking. Audit-trail demand. Procore distracted. The window: 18 months.</w:t>
            </w:r>
          </w:p>
        </w:tc>
        <w:tc>
          <w:tcPr>
            <w:tcW w:type="dxa" w:w="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
            </w:r>
          </w:p>
        </w:tc>
      </w:tr>
      <w:tr>
        <w:tc>
          <w:tcPr>
            <w:tcW w:type="dxa" w:w="72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4</w:t>
            </w:r>
          </w:p>
        </w:tc>
        <w:tc>
          <w:tcPr>
            <w:tcW w:type="dxa" w:w="264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What Sitesync is</w:t>
            </w:r>
          </w:p>
        </w:tc>
        <w:tc>
          <w:tcPr>
            <w:tcW w:type="dxa" w:w="600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Verbs over nouns. Drafts over actions. Audited over autonomous. One sentence, three pictures.</w:t>
            </w:r>
          </w:p>
        </w:tc>
        <w:tc>
          <w:tcPr>
            <w:tcW w:type="dxa" w:w="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5</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The 12-second demo</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Live. The room watches the laptop, not the slide. If they’re looking at the slide, you lost.</w:t>
            </w:r>
          </w:p>
        </w:tc>
        <w:tc>
          <w:tcPr>
            <w:tcW w:type="dxa" w:w="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
            </w:r>
          </w:p>
        </w:tc>
      </w:tr>
      <w:tr>
        <w:tc>
          <w:tcPr>
            <w:tcW w:type="dxa" w:w="72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6</w:t>
            </w:r>
          </w:p>
        </w:tc>
        <w:tc>
          <w:tcPr>
            <w:tcW w:type="dxa" w:w="264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Customer</w:t>
            </w:r>
          </w:p>
        </w:tc>
        <w:tc>
          <w:tcPr>
            <w:tcW w:type="dxa" w:w="600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Marco the super. Jenna the PM. Reyna the exec. The Tuesday afternoon their lives change.</w:t>
            </w:r>
          </w:p>
        </w:tc>
        <w:tc>
          <w:tcPr>
            <w:tcW w:type="dxa" w:w="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7</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The audit chain (moat 1)</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Hash-chained AI calls. Deposition-grade. A judge can verify it. Procore cannot copy in 18 months.</w:t>
            </w:r>
          </w:p>
        </w:tc>
        <w:tc>
          <w:tcPr>
            <w:tcW w:type="dxa" w:w="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
            </w:r>
          </w:p>
        </w:tc>
      </w:tr>
      <w:tr>
        <w:tc>
          <w:tcPr>
            <w:tcW w:type="dxa" w:w="72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8</w:t>
            </w:r>
          </w:p>
        </w:tc>
        <w:tc>
          <w:tcPr>
            <w:tcW w:type="dxa" w:w="264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The financial calculator (moat 2)</w:t>
            </w:r>
          </w:p>
        </w:tc>
        <w:tc>
          <w:tcPr>
            <w:tcW w:type="dxa" w:w="600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Integer cents. Round-half-to-even. G703 reconciles to G702 by construction. Five-check audit. No silent override.</w:t>
            </w:r>
          </w:p>
        </w:tc>
        <w:tc>
          <w:tcPr>
            <w:tcW w:type="dxa" w:w="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9</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The Procore importer (moat 3)</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Switch in three days. Lineage preserved forever. The #1 enterprise switching blocker, removed.</w:t>
            </w:r>
          </w:p>
        </w:tc>
        <w:tc>
          <w:tcPr>
            <w:tcW w:type="dxa" w:w="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
            </w:r>
          </w:p>
        </w:tc>
      </w:tr>
      <w:tr>
        <w:tc>
          <w:tcPr>
            <w:tcW w:type="dxa" w:w="72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10</w:t>
            </w:r>
          </w:p>
        </w:tc>
        <w:tc>
          <w:tcPr>
            <w:tcW w:type="dxa" w:w="264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The free sub portal (moat 4, year two)</w:t>
            </w:r>
          </w:p>
        </w:tc>
        <w:tc>
          <w:tcPr>
            <w:tcW w:type="dxa" w:w="600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The hidden user. The hidden moat. The wedge that turns linear sales into network effect.</w:t>
            </w:r>
          </w:p>
        </w:tc>
        <w:tc>
          <w:tcPr>
            <w:tcW w:type="dxa" w:w="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11</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Traction</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1 paid GC + 3 pilots (target by month 6). 100+ Iris drafts approved per week per PM. NPS 70+. Customer quote: ‘I don’t want to go back.’</w:t>
            </w:r>
          </w:p>
        </w:tc>
        <w:tc>
          <w:tcPr>
            <w:tcW w:type="dxa" w:w="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
            </w:r>
          </w:p>
        </w:tc>
      </w:tr>
      <w:tr>
        <w:tc>
          <w:tcPr>
            <w:tcW w:type="dxa" w:w="72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12</w:t>
            </w:r>
          </w:p>
        </w:tc>
        <w:tc>
          <w:tcPr>
            <w:tcW w:type="dxa" w:w="264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Market</w:t>
            </w:r>
          </w:p>
        </w:tc>
        <w:tc>
          <w:tcPr>
            <w:tcW w:type="dxa" w:w="600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$15T global construction. $1.5T US new commercial. SaaS spend $8B and growing 15%/yr. Procore $1.1B ARR. The pie is big enough.</w:t>
            </w:r>
          </w:p>
        </w:tc>
        <w:tc>
          <w:tcPr>
            <w:tcW w:type="dxa" w:w="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13</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Competitive map</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X-axis: chat → artifact. Y-axis: noun → verb. Procore top-left. Trunk Tools bottom-left. Document Crunch middle-left. Sitesync bottom-right alone.</w:t>
            </w:r>
          </w:p>
        </w:tc>
        <w:tc>
          <w:tcPr>
            <w:tcW w:type="dxa" w:w="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
            </w:r>
          </w:p>
        </w:tc>
      </w:tr>
      <w:tr>
        <w:tc>
          <w:tcPr>
            <w:tcW w:type="dxa" w:w="72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14</w:t>
            </w:r>
          </w:p>
        </w:tc>
        <w:tc>
          <w:tcPr>
            <w:tcW w:type="dxa" w:w="264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Team</w:t>
            </w:r>
          </w:p>
        </w:tc>
        <w:tc>
          <w:tcPr>
            <w:tcW w:type="dxa" w:w="600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Walker (founder, ex-GC). [Engineer 1 — hire by month 4]. [GTM 1 — hire by month 6]. Advisors: [name a Procore alum, a GC president, a Series A construction-tech investor].</w:t>
            </w:r>
          </w:p>
        </w:tc>
        <w:tc>
          <w:tcPr>
            <w:tcW w:type="dxa" w:w="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15</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Plan</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Lap 1 Subtract. Lap 2 Watch. Lap 3 Act. 90 days to first paid GC. 12 months to ten. 36 months to operating system status.</w:t>
            </w:r>
          </w:p>
        </w:tc>
        <w:tc>
          <w:tcPr>
            <w:tcW w:type="dxa" w:w="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
            </w:r>
          </w:p>
        </w:tc>
      </w:tr>
      <w:tr>
        <w:tc>
          <w:tcPr>
            <w:tcW w:type="dxa" w:w="72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16</w:t>
            </w:r>
          </w:p>
        </w:tc>
        <w:tc>
          <w:tcPr>
            <w:tcW w:type="dxa" w:w="264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Numbers (model)</w:t>
            </w:r>
          </w:p>
        </w:tc>
        <w:tc>
          <w:tcPr>
            <w:tcW w:type="dxa" w:w="600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ARR ramp by quarter. Gross margin &gt; 80%. Net retention &gt; 130% at year 2. Sub-30-day payback by year 3.</w:t>
            </w:r>
          </w:p>
        </w:tc>
        <w:tc>
          <w:tcPr>
            <w:tcW w:type="dxa" w:w="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17</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Ask</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$5M seed. 18 months runway. Lead + 1–2 strategic angels (former GC president; ex-Procore exec). Use of funds split: 60% engineering, 25% GTM, 10% security/compliance, 5% reserves.</w:t>
            </w:r>
          </w:p>
        </w:tc>
        <w:tc>
          <w:tcPr>
            <w:tcW w:type="dxa" w:w="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Calibri" w:cs="Calibri" w:eastAsia="Calibri" w:hAnsi="Calibri"/>
                <w:sz w:val="18"/>
                <w:szCs w:val="18"/>
              </w:rPr>
              <w:t xml:space="preserve"/>
            </w:r>
          </w:p>
        </w:tc>
      </w:tr>
      <w:tr>
        <w:tc>
          <w:tcPr>
            <w:tcW w:type="dxa" w:w="72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18</w:t>
            </w:r>
          </w:p>
        </w:tc>
        <w:tc>
          <w:tcPr>
            <w:tcW w:type="dxa" w:w="264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Closing</w:t>
            </w:r>
          </w:p>
        </w:tc>
        <w:tc>
          <w:tcPr>
            <w:tcW w:type="dxa" w:w="600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“We are building the operating system construction has been waiting for. We have eighteen months to prove it. The chassis is built. The driver is here. We need the pit crew.”</w:t>
            </w:r>
          </w:p>
        </w:tc>
        <w:tc>
          <w:tcPr>
            <w:tcW w:type="dxa" w:w="0"/>
            <w:tcBorders>
              <w:top w:val="single" w:color="CCCCCC" w:sz="1"/>
              <w:left w:val="single" w:color="CCCCCC" w:sz="1"/>
              <w:bottom w:val="single" w:color="CCCCCC" w:sz="1"/>
              <w:right w:val="single" w:color="CCCCCC" w:sz="1"/>
            </w:tcBorders>
            <w:shd w:fill="F7F4EE" w:val="clear"/>
            <w:tcMar>
              <w:top w:type="dxa" w:w="100"/>
              <w:left w:type="dxa" w:w="140"/>
              <w:bottom w:type="dxa" w:w="100"/>
              <w:right w:type="dxa" w:w="120"/>
            </w:tcMar>
          </w:tcPr>
          <w:p>
            <w:r>
              <w:rPr>
                <w:rFonts w:ascii="Calibri" w:cs="Calibri" w:eastAsia="Calibri" w:hAnsi="Calibri"/>
                <w:sz w:val="18"/>
                <w:szCs w:val="18"/>
              </w:rPr>
              <w:t xml:space="preserve"/>
            </w:r>
          </w:p>
        </w:tc>
      </w:tr>
    </w:tbl>
    <w:p>
      <w:pPr>
        <w:pStyle w:val="Heading2"/>
        <w:spacing w:after="160" w:before="320"/>
      </w:pPr>
      <w:r>
        <w:rPr>
          <w:rFonts w:ascii="Calibri" w:cs="Calibri" w:eastAsia="Calibri" w:hAnsi="Calibri"/>
          <w:b/>
          <w:bCs/>
          <w:color w:val="0B2545"/>
          <w:sz w:val="30"/>
          <w:szCs w:val="30"/>
        </w:rPr>
        <w:t xml:space="preserve">Board talking points</w:t>
      </w:r>
    </w:p>
    <w:p>
      <w:pPr>
        <w:pStyle w:val="ListParagraph"/>
        <w:numPr>
          <w:ilvl w:val="0"/>
          <w:numId w:val="2"/>
        </w:numPr>
        <w:spacing w:after="100" w:line="280"/>
      </w:pPr>
      <w:r>
        <w:rPr>
          <w:rFonts w:ascii="Calibri" w:cs="Calibri" w:eastAsia="Calibri" w:hAnsi="Calibri"/>
          <w:sz w:val="22"/>
          <w:szCs w:val="22"/>
        </w:rPr>
        <w:t xml:space="preserve">We are an evidence company first. Every claim cites a file. Investors who like vibes will pass; investors who like proof will lean in.</w:t>
      </w:r>
    </w:p>
    <w:p>
      <w:pPr>
        <w:pStyle w:val="ListParagraph"/>
        <w:numPr>
          <w:ilvl w:val="0"/>
          <w:numId w:val="2"/>
        </w:numPr>
        <w:spacing w:after="100" w:line="280"/>
      </w:pPr>
      <w:r>
        <w:rPr>
          <w:rFonts w:ascii="Calibri" w:cs="Calibri" w:eastAsia="Calibri" w:hAnsi="Calibri"/>
          <w:sz w:val="22"/>
          <w:szCs w:val="22"/>
        </w:rPr>
        <w:t xml:space="preserve">We will not raise more than we need. The lap structure means we can raise the seed against Lap 1–2 progress and the Series A against a paid pilot cohort.</w:t>
      </w:r>
    </w:p>
    <w:p>
      <w:pPr>
        <w:pStyle w:val="ListParagraph"/>
        <w:numPr>
          <w:ilvl w:val="0"/>
          <w:numId w:val="2"/>
        </w:numPr>
        <w:spacing w:after="100" w:line="280"/>
      </w:pPr>
      <w:r>
        <w:rPr>
          <w:rFonts w:ascii="Calibri" w:cs="Calibri" w:eastAsia="Calibri" w:hAnsi="Calibri"/>
          <w:sz w:val="22"/>
          <w:szCs w:val="22"/>
        </w:rPr>
        <w:t xml:space="preserve">The team is small on purpose. Eight engineers on day-90 is the goal, not the constraint. We will not hire to make the deck look bigger.</w:t>
      </w:r>
    </w:p>
    <w:p>
      <w:pPr>
        <w:pStyle w:val="ListParagraph"/>
        <w:numPr>
          <w:ilvl w:val="0"/>
          <w:numId w:val="2"/>
        </w:numPr>
        <w:spacing w:after="100" w:line="280"/>
      </w:pPr>
      <w:r>
        <w:rPr>
          <w:rFonts w:ascii="Calibri" w:cs="Calibri" w:eastAsia="Calibri" w:hAnsi="Calibri"/>
          <w:sz w:val="22"/>
          <w:szCs w:val="22"/>
        </w:rPr>
        <w:t xml:space="preserve">The moat is the architecture, not the headcount. We grow the moat by shipping; we will not grow it by 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4"/>
              <w:left w:val="single" w:color="F26430" w:sz="24"/>
              <w:bottom w:val="single" w:color="0B2545" w:sz="4"/>
              <w:right w:val="single" w:color="0B2545" w:sz="4"/>
            </w:tcBorders>
            <w:shd w:fill="F7F4EE" w:val="clear"/>
            <w:tcMar>
              <w:top w:type="dxa" w:w="200"/>
              <w:left w:type="dxa" w:w="280"/>
              <w:bottom w:type="dxa" w:w="200"/>
              <w:right w:type="dxa" w:w="200"/>
            </w:tcMar>
          </w:tcPr>
          <w:p>
            <w:pPr>
              <w:spacing w:after="80"/>
            </w:pPr>
            <w:r>
              <w:rPr>
                <w:rFonts w:ascii="Calibri" w:cs="Calibri" w:eastAsia="Calibri" w:hAnsi="Calibri"/>
                <w:b/>
                <w:bCs/>
                <w:color w:val="F26430"/>
                <w:sz w:val="18"/>
                <w:szCs w:val="18"/>
              </w:rPr>
              <w:t xml:space="preserve">INVESTOR FILTER</w:t>
            </w:r>
          </w:p>
          <w:p>
            <w:r>
              <w:rPr>
                <w:rFonts w:ascii="Calibri" w:cs="Calibri" w:eastAsia="Calibri" w:hAnsi="Calibri"/>
                <w:sz w:val="22"/>
                <w:szCs w:val="22"/>
              </w:rPr>
              <w:t xml:space="preserve">If a prospective investor asks ‘what’s your AI strategy’ in their first three questions, they have not understood the deck. The AI is not the strategy. The audited drafting architecture is. Investors who get this in slide 7 are the ones who become great board members.</w:t>
            </w:r>
          </w:p>
        </w:tc>
      </w:tr>
    </w:tbl>
    <w:p>
      <w:pPr>
        <w:pStyle w:val="Heading1"/>
        <w:pageBreakBefore/>
        <w:spacing w:after="240" w:before="480"/>
      </w:pPr>
      <w:r>
        <w:rPr>
          <w:rFonts w:ascii="Calibri" w:cs="Calibri" w:eastAsia="Calibri" w:hAnsi="Calibri"/>
          <w:b/>
          <w:bCs/>
          <w:color w:val="0B2545"/>
          <w:sz w:val="40"/>
          <w:szCs w:val="40"/>
        </w:rPr>
        <w:t xml:space="preserve">XIII. The Closing Argument</w:t>
      </w:r>
    </w:p>
    <w:p>
      <w:pPr>
        <w:spacing w:after="80" w:before="160" w:line="320"/>
        <w:ind w:left="720" w:right="720"/>
      </w:pPr>
      <w:r>
        <w:rPr>
          <w:rFonts w:ascii="Calibri" w:cs="Calibri" w:eastAsia="Calibri" w:hAnsi="Calibri"/>
          <w:i/>
          <w:iCs/>
          <w:color w:val="13315C"/>
          <w:sz w:val="24"/>
          <w:szCs w:val="24"/>
        </w:rPr>
        <w:t xml:space="preserve">“Some companies are improvements. A few are inflections. The difference is whether someone, in 2068, can imagine the world without them.”</w:t>
      </w:r>
    </w:p>
    <w:p>
      <w:pPr>
        <w:spacing w:after="140" w:line="300"/>
      </w:pPr>
      <w:r>
        <w:rPr>
          <w:rFonts w:ascii="Calibri" w:cs="Calibri" w:eastAsia="Calibri" w:hAnsi="Calibri"/>
          <w:sz w:val="22"/>
          <w:szCs w:val="22"/>
        </w:rPr>
        <w:t xml:space="preserve">Construction is the second-oldest profession and the most stubborn industry on earth. It has resisted software for fifty years — not because the people are dumb (they are not; they are some of the smartest tradespeople you will ever meet), but because the software has been built by people who never walked a job. Procore was the first to actually walk the job. They earned a billion in ARR by being the first to take the field seriously. Their gift to the industry was to prove software could exist on a slab. Their limitation is that they could not delete the noun list once it was on the box.</w:t>
      </w:r>
    </w:p>
    <w:p>
      <w:pPr>
        <w:spacing w:after="140" w:line="300"/>
      </w:pPr>
      <w:r>
        <w:rPr>
          <w:rFonts w:ascii="Calibri" w:cs="Calibri" w:eastAsia="Calibri" w:hAnsi="Calibri"/>
          <w:sz w:val="22"/>
          <w:szCs w:val="22"/>
        </w:rPr>
        <w:t xml:space="preserve">We are not improving Procore. We are answering a different question. The question is: if you started Procore today, with frontier AI, with a hash-chained audit log, with a verb-first surface, with a free sub portal, with a calculator that reconciles to the penny — what would the construction operating system look like? The answer is what we are building. It is not a feature list. It is a thesis with a calendar.</w:t>
      </w:r>
    </w:p>
    <w:p>
      <w:pPr>
        <w:spacing w:after="140" w:line="300"/>
      </w:pPr>
      <w:r>
        <w:rPr>
          <w:rFonts w:ascii="Calibri" w:cs="Calibri" w:eastAsia="Calibri" w:hAnsi="Calibri"/>
          <w:sz w:val="22"/>
          <w:szCs w:val="22"/>
        </w:rPr>
        <w:t xml:space="preserve">The chassis is built. The Bugatti Audit walked through the engine, the suspension, the chokepoint. The Field Manual walked through the cosmetics, the demo killers, the hour-by-hour Tuesday. The North Star — this document — walks through the why, the who, the what we will refuse, the calendar. Three documents. One company.</w:t>
      </w:r>
    </w:p>
    <w:p>
      <w:pPr>
        <w:spacing w:after="140" w:line="300"/>
      </w:pPr>
      <w:r>
        <w:rPr>
          <w:rFonts w:ascii="Calibri" w:cs="Calibri" w:eastAsia="Calibri" w:hAnsi="Calibri"/>
          <w:sz w:val="22"/>
          <w:szCs w:val="22"/>
        </w:rPr>
        <w:t xml:space="preserve">Walker, the foundation is in your hands now. There are eighteen months to prove the thesis with paying customers. There are three laps in the next ninety days. There are eleven nevers on the wall. There is one twelve-second demo that closes every room. There are three named humans whose Tuesdays this product changes by Friday.</w:t>
      </w:r>
    </w:p>
    <w:p>
      <w:pPr>
        <w:spacing w:after="140" w:line="300"/>
      </w:pPr>
      <w:r>
        <w:rPr>
          <w:rFonts w:ascii="Calibri" w:cs="Calibri" w:eastAsia="Calibri" w:hAnsi="Calibri"/>
          <w:sz w:val="22"/>
          <w:szCs w:val="22"/>
        </w:rPr>
        <w:t xml:space="preserve">Build the company that, in 2068, the obituary writer cannot describe without saying ‘the way construction worked changed.’ That is the bar. Read this on Sunday. Build the chassis on Monday. Drive the lap on Tuesday. Write the retro on Friday.</w:t>
      </w:r>
    </w:p>
    <w:p>
      <w:pPr>
        <w:spacing w:after="80" w:before="160" w:line="320"/>
        <w:ind w:left="720" w:right="720"/>
      </w:pPr>
      <w:r>
        <w:rPr>
          <w:rFonts w:ascii="Calibri" w:cs="Calibri" w:eastAsia="Calibri" w:hAnsi="Calibri"/>
          <w:i/>
          <w:iCs/>
          <w:color w:val="13315C"/>
          <w:sz w:val="24"/>
          <w:szCs w:val="24"/>
        </w:rPr>
        <w:t xml:space="preserve">“The doc is the constitution. The constitution is the company. The company is the bet. Make the bet.”</w:t>
      </w:r>
    </w:p>
    <w:p>
      <w:pPr>
        <w:spacing w:after="240"/>
        <w:ind w:left="720"/>
      </w:pPr>
      <w:r>
        <w:rPr>
          <w:rFonts w:ascii="Calibri" w:cs="Calibri" w:eastAsia="Calibri" w:hAnsi="Calibri"/>
          <w:i/>
          <w:iCs/>
          <w:color w:val="445566"/>
          <w:sz w:val="20"/>
          <w:szCs w:val="20"/>
        </w:rPr>
        <w:t xml:space="preserve">— WB — May 1, 2026</w:t>
      </w:r>
    </w:p>
    <w:p>
      <w:pPr>
        <w:pBdr>
          <w:bottom w:val="single" w:color="0B2545" w:sz="6" w:space="1"/>
        </w:pBdr>
        <w:spacing w:after="120" w:before="120"/>
      </w:pPr>
      <w:r>
        <w:t xml:space="preserve"/>
      </w:r>
    </w:p>
    <w:p>
      <w:pPr>
        <w:pStyle w:val="Heading1"/>
        <w:pageBreakBefore/>
        <w:spacing w:after="240" w:before="480"/>
      </w:pPr>
      <w:r>
        <w:rPr>
          <w:rFonts w:ascii="Calibri" w:cs="Calibri" w:eastAsia="Calibri" w:hAnsi="Calibri"/>
          <w:b/>
          <w:bCs/>
          <w:color w:val="0B2545"/>
          <w:sz w:val="40"/>
          <w:szCs w:val="40"/>
        </w:rPr>
        <w:t xml:space="preserve">Appendix — Glossary, Decision Log, Retros</w:t>
      </w:r>
    </w:p>
    <w:p>
      <w:pPr>
        <w:pStyle w:val="Heading2"/>
        <w:spacing w:after="160" w:before="320"/>
      </w:pPr>
      <w:r>
        <w:rPr>
          <w:rFonts w:ascii="Calibri" w:cs="Calibri" w:eastAsia="Calibri" w:hAnsi="Calibri"/>
          <w:b/>
          <w:bCs/>
          <w:color w:val="0B2545"/>
          <w:sz w:val="30"/>
          <w:szCs w:val="30"/>
        </w:rPr>
        <w:t xml:space="preserve">A. Glossary (the construction terms a new hire must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20"/>
            </w:tcMar>
          </w:tcPr>
          <w:p>
            <w:r>
              <w:rPr>
                <w:rFonts w:ascii="Calibri" w:cs="Calibri" w:eastAsia="Calibri" w:hAnsi="Calibri"/>
                <w:b/>
                <w:bCs/>
                <w:sz w:val="20"/>
                <w:szCs w:val="20"/>
              </w:rPr>
              <w:t xml:space="preserve">RFI</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20"/>
            </w:tcMar>
          </w:tcPr>
          <w:p>
            <w:r>
              <w:rPr>
                <w:rFonts w:ascii="Calibri" w:cs="Calibri" w:eastAsia="Calibri" w:hAnsi="Calibri"/>
                <w:sz w:val="20"/>
                <w:szCs w:val="20"/>
              </w:rPr>
              <w:t xml:space="preserve">Request for Information. Formal contractual question (typically GC → architect or owner). Numbered, dated, SLA-clocked. Sitesync route: /rfis. File: src/pages/rfi/.</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Calibri" w:cs="Calibri" w:eastAsia="Calibri" w:hAnsi="Calibri"/>
                <w:b/>
                <w:bCs/>
                <w:sz w:val="20"/>
                <w:szCs w:val="20"/>
              </w:rPr>
              <w:t xml:space="preserve">Submittal</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Calibri" w:cs="Calibri" w:eastAsia="Calibri" w:hAnsi="Calibri"/>
                <w:sz w:val="20"/>
                <w:szCs w:val="20"/>
              </w:rPr>
              <w:t xml:space="preserve">Product data, shop drawing, sample, or mock-up the architect must approve before installation. Numbered by CSI division. Multi-step approval chain. Sitesync route: /submittals.</w:t>
            </w:r>
          </w:p>
        </w:tc>
      </w:tr>
      <w:tr>
        <w:tc>
          <w:tcPr>
            <w:tcW w:type="dxa" w:w="312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20"/>
            </w:tcMar>
          </w:tcPr>
          <w:p>
            <w:r>
              <w:rPr>
                <w:rFonts w:ascii="Calibri" w:cs="Calibri" w:eastAsia="Calibri" w:hAnsi="Calibri"/>
                <w:b/>
                <w:bCs/>
                <w:sz w:val="20"/>
                <w:szCs w:val="20"/>
              </w:rPr>
              <w:t xml:space="preserve">Change Order (CO)</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20"/>
            </w:tcMar>
          </w:tcPr>
          <w:p>
            <w:r>
              <w:rPr>
                <w:rFonts w:ascii="Calibri" w:cs="Calibri" w:eastAsia="Calibri" w:hAnsi="Calibri"/>
                <w:sz w:val="20"/>
                <w:szCs w:val="20"/>
              </w:rPr>
              <w:t xml:space="preserve">Formal scope or cost change to the contract. Always linked to a CCD, ASI, or RFI response that triggered it. Sitesync route: /change-orders.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Calibri" w:cs="Calibri" w:eastAsia="Calibri" w:hAnsi="Calibri"/>
                <w:b/>
                <w:bCs/>
                <w:sz w:val="20"/>
                <w:szCs w:val="20"/>
              </w:rPr>
              <w:t xml:space="preserve">Daily Log</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Calibri" w:cs="Calibri" w:eastAsia="Calibri" w:hAnsi="Calibri"/>
                <w:sz w:val="20"/>
                <w:szCs w:val="20"/>
              </w:rPr>
              <w:t xml:space="preserve">Daily field record. Weather, manpower, equipment, deliveries, incidents, narrative. Signed by the super. Legal record.</w:t>
            </w:r>
          </w:p>
        </w:tc>
      </w:tr>
      <w:tr>
        <w:tc>
          <w:tcPr>
            <w:tcW w:type="dxa" w:w="312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20"/>
            </w:tcMar>
          </w:tcPr>
          <w:p>
            <w:r>
              <w:rPr>
                <w:rFonts w:ascii="Calibri" w:cs="Calibri" w:eastAsia="Calibri" w:hAnsi="Calibri"/>
                <w:b/>
                <w:bCs/>
                <w:sz w:val="20"/>
                <w:szCs w:val="20"/>
              </w:rPr>
              <w:t xml:space="preserve">Pay App</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20"/>
            </w:tcMar>
          </w:tcPr>
          <w:p>
            <w:r>
              <w:rPr>
                <w:rFonts w:ascii="Calibri" w:cs="Calibri" w:eastAsia="Calibri" w:hAnsi="Calibri"/>
                <w:sz w:val="20"/>
                <w:szCs w:val="20"/>
              </w:rPr>
              <w:t xml:space="preserve">Monthly payment application. AIA G702 (cover) + G703 (schedule of values). Reviewed by architect, paid by owner. Most common cash-flow failure point.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Calibri" w:cs="Calibri" w:eastAsia="Calibri" w:hAnsi="Calibri"/>
                <w:b/>
                <w:bCs/>
                <w:sz w:val="20"/>
                <w:szCs w:val="20"/>
              </w:rPr>
              <w:t xml:space="preserve">G702 / G703</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Calibri" w:cs="Calibri" w:eastAsia="Calibri" w:hAnsi="Calibri"/>
                <w:sz w:val="20"/>
                <w:szCs w:val="20"/>
              </w:rPr>
              <w:t xml:space="preserve">Standard AIA forms. G702: cover sheet with totals. G703: line-by-line schedule of values. Numbers must reconcile.</w:t>
            </w:r>
          </w:p>
        </w:tc>
      </w:tr>
      <w:tr>
        <w:tc>
          <w:tcPr>
            <w:tcW w:type="dxa" w:w="312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20"/>
            </w:tcMar>
          </w:tcPr>
          <w:p>
            <w:r>
              <w:rPr>
                <w:rFonts w:ascii="Calibri" w:cs="Calibri" w:eastAsia="Calibri" w:hAnsi="Calibri"/>
                <w:b/>
                <w:bCs/>
                <w:sz w:val="20"/>
                <w:szCs w:val="20"/>
              </w:rPr>
              <w:t xml:space="preserve">COI</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20"/>
            </w:tcMar>
          </w:tcPr>
          <w:p>
            <w:r>
              <w:rPr>
                <w:rFonts w:ascii="Calibri" w:cs="Calibri" w:eastAsia="Calibri" w:hAnsi="Calibri"/>
                <w:sz w:val="20"/>
                <w:szCs w:val="20"/>
              </w:rPr>
              <w:t xml:space="preserve">Certificate of Insurance. Sub provides. Must be current for the work period. Pay-app blocker if expired.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Calibri" w:cs="Calibri" w:eastAsia="Calibri" w:hAnsi="Calibri"/>
                <w:b/>
                <w:bCs/>
                <w:sz w:val="20"/>
                <w:szCs w:val="20"/>
              </w:rPr>
              <w:t xml:space="preserve">Lien Waiver</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Calibri" w:cs="Calibri" w:eastAsia="Calibri" w:hAnsi="Calibri"/>
                <w:sz w:val="20"/>
                <w:szCs w:val="20"/>
              </w:rPr>
              <w:t xml:space="preserve">Document a sub signs waiving the right to lien the property in exchange for payment. State-specific. Pay-app blocker if missing.</w:t>
            </w:r>
          </w:p>
        </w:tc>
      </w:tr>
      <w:tr>
        <w:tc>
          <w:tcPr>
            <w:tcW w:type="dxa" w:w="312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20"/>
            </w:tcMar>
          </w:tcPr>
          <w:p>
            <w:r>
              <w:rPr>
                <w:rFonts w:ascii="Calibri" w:cs="Calibri" w:eastAsia="Calibri" w:hAnsi="Calibri"/>
                <w:b/>
                <w:bCs/>
                <w:sz w:val="20"/>
                <w:szCs w:val="20"/>
              </w:rPr>
              <w:t xml:space="preserve">Ball-in-court</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20"/>
            </w:tcMar>
          </w:tcPr>
          <w:p>
            <w:r>
              <w:rPr>
                <w:rFonts w:ascii="Calibri" w:cs="Calibri" w:eastAsia="Calibri" w:hAnsi="Calibri"/>
                <w:sz w:val="20"/>
                <w:szCs w:val="20"/>
              </w:rPr>
              <w:t xml:space="preserve">Whose action the artifact is waiting on. The dominant signal in the PM’s daily life.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Calibri" w:cs="Calibri" w:eastAsia="Calibri" w:hAnsi="Calibri"/>
                <w:b/>
                <w:bCs/>
                <w:sz w:val="20"/>
                <w:szCs w:val="20"/>
              </w:rPr>
              <w:t xml:space="preserve">CSI Division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Calibri" w:cs="Calibri" w:eastAsia="Calibri" w:hAnsi="Calibri"/>
                <w:sz w:val="20"/>
                <w:szCs w:val="20"/>
              </w:rPr>
              <w:t xml:space="preserve">16- or 50-division taxonomy used to organize specs and submittals. 03 = Concrete, 26 = Electrical, etc.</w:t>
            </w:r>
          </w:p>
        </w:tc>
      </w:tr>
      <w:tr>
        <w:tc>
          <w:tcPr>
            <w:tcW w:type="dxa" w:w="312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20"/>
            </w:tcMar>
          </w:tcPr>
          <w:p>
            <w:r>
              <w:rPr>
                <w:rFonts w:ascii="Calibri" w:cs="Calibri" w:eastAsia="Calibri" w:hAnsi="Calibri"/>
                <w:b/>
                <w:bCs/>
                <w:sz w:val="20"/>
                <w:szCs w:val="20"/>
              </w:rPr>
              <w:t xml:space="preserve">Punch List / Punch Item</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20"/>
            </w:tcMar>
          </w:tcPr>
          <w:p>
            <w:r>
              <w:rPr>
                <w:rFonts w:ascii="Calibri" w:cs="Calibri" w:eastAsia="Calibri" w:hAnsi="Calibri"/>
                <w:sz w:val="20"/>
                <w:szCs w:val="20"/>
              </w:rPr>
              <w:t xml:space="preserve">Defects discovered at substantial completion or during walk-throughs. Tracked, photographed, signed off.</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Calibri" w:cs="Calibri" w:eastAsia="Calibri" w:hAnsi="Calibri"/>
                <w:b/>
                <w:bCs/>
                <w:sz w:val="20"/>
                <w:szCs w:val="20"/>
              </w:rPr>
              <w:t xml:space="preserve">Hash-chain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Calibri" w:cs="Calibri" w:eastAsia="Calibri" w:hAnsi="Calibri"/>
                <w:sz w:val="20"/>
                <w:szCs w:val="20"/>
              </w:rPr>
              <w:t xml:space="preserve">Audit log primitive where each row stores the SHA-256 of the prior row’s payload. A tampered row breaks the chain. Sitesync’s deposition-grade artifact.</w:t>
            </w:r>
          </w:p>
        </w:tc>
      </w:tr>
      <w:tr>
        <w:tc>
          <w:tcPr>
            <w:tcW w:type="dxa" w:w="312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20"/>
            </w:tcMar>
          </w:tcPr>
          <w:p>
            <w:r>
              <w:rPr>
                <w:rFonts w:ascii="Calibri" w:cs="Calibri" w:eastAsia="Calibri" w:hAnsi="Calibri"/>
                <w:b/>
                <w:bCs/>
                <w:sz w:val="20"/>
                <w:szCs w:val="20"/>
              </w:rPr>
              <w:t xml:space="preserve">The Five</w:t>
            </w:r>
          </w:p>
        </w:tc>
        <w:tc>
          <w:tcPr>
            <w:tcW w:type="dxa" w:w="6240"/>
            <w:tcBorders>
              <w:top w:val="single" w:color="CCCCCC" w:sz="1"/>
              <w:left w:val="single" w:color="CCCCCC" w:sz="1"/>
              <w:bottom w:val="single" w:color="CCCCCC" w:sz="1"/>
              <w:right w:val="single" w:color="CCCCCC" w:sz="1"/>
            </w:tcBorders>
            <w:shd w:fill="F0F4F8" w:val="clear"/>
            <w:tcMar>
              <w:top w:type="dxa" w:w="100"/>
              <w:left w:type="dxa" w:w="160"/>
              <w:bottom w:type="dxa" w:w="100"/>
              <w:right w:type="dxa" w:w="120"/>
            </w:tcMar>
          </w:tcPr>
          <w:p>
            <w:r>
              <w:rPr>
                <w:rFonts w:ascii="Calibri" w:cs="Calibri" w:eastAsia="Calibri" w:hAnsi="Calibri"/>
                <w:sz w:val="20"/>
                <w:szCs w:val="20"/>
              </w:rPr>
              <w:t xml:space="preserve">The five verbs in Sitesync’s navigation: The Day, The Field, The Conversation, The Set, The Site. Documented in docs/THE_FIVE.md.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Calibri" w:cs="Calibri" w:eastAsia="Calibri" w:hAnsi="Calibri"/>
                <w:b/>
                <w:bCs/>
                <w:sz w:val="20"/>
                <w:szCs w:val="20"/>
              </w:rPr>
              <w:t xml:space="preserve">Iris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Calibri" w:cs="Calibri" w:eastAsia="Calibri" w:hAnsi="Calibri"/>
                <w:sz w:val="20"/>
                <w:szCs w:val="20"/>
              </w:rPr>
              <w:t xml:space="preserve">The Sitesync AI. Drafts, never acts. Documented architecture in HONEST_STATE.md and src/lib/iris/.</w:t>
            </w:r>
          </w:p>
        </w:tc>
      </w:tr>
    </w:tbl>
    <w:p>
      <w:pPr>
        <w:pStyle w:val="Heading2"/>
        <w:spacing w:after="160" w:before="320"/>
      </w:pPr>
      <w:r>
        <w:rPr>
          <w:rFonts w:ascii="Calibri" w:cs="Calibri" w:eastAsia="Calibri" w:hAnsi="Calibri"/>
          <w:b/>
          <w:bCs/>
          <w:color w:val="0B2545"/>
          <w:sz w:val="30"/>
          <w:szCs w:val="30"/>
        </w:rPr>
        <w:t xml:space="preserve">B. Decision Log Template</w:t>
      </w:r>
    </w:p>
    <w:p>
      <w:pPr>
        <w:spacing w:after="140" w:line="300"/>
      </w:pPr>
      <w:r>
        <w:rPr>
          <w:rFonts w:ascii="Calibri" w:cs="Calibri" w:eastAsia="Calibri" w:hAnsi="Calibri"/>
          <w:sz w:val="22"/>
          <w:szCs w:val="22"/>
        </w:rPr>
        <w:t xml:space="preserve">Each architectural or strategic decision is recorded in a one-page entry, dated, signed. Stored at docs/decisions/YYYY-MM-DD-slug.md.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4"/>
              <w:left w:val="single" w:color="F26430" w:sz="24"/>
              <w:bottom w:val="single" w:color="0B2545" w:sz="4"/>
              <w:right w:val="single" w:color="0B2545" w:sz="4"/>
            </w:tcBorders>
            <w:shd w:fill="F7F4EE" w:val="clear"/>
            <w:tcMar>
              <w:top w:type="dxa" w:w="200"/>
              <w:left w:type="dxa" w:w="280"/>
              <w:bottom w:type="dxa" w:w="200"/>
              <w:right w:type="dxa" w:w="200"/>
            </w:tcMar>
          </w:tcPr>
          <w:p>
            <w:pPr>
              <w:spacing w:after="80"/>
            </w:pPr>
            <w:r>
              <w:rPr>
                <w:rFonts w:ascii="Calibri" w:cs="Calibri" w:eastAsia="Calibri" w:hAnsi="Calibri"/>
                <w:b/>
                <w:bCs/>
                <w:color w:val="F26430"/>
                <w:sz w:val="18"/>
                <w:szCs w:val="18"/>
              </w:rPr>
              <w:t xml:space="preserve">TEMPLATE</w:t>
            </w:r>
          </w:p>
          <w:p>
            <w:r>
              <w:rPr>
                <w:rFonts w:ascii="Calibri" w:cs="Calibri" w:eastAsia="Calibri" w:hAnsi="Calibri"/>
                <w:sz w:val="22"/>
                <w:szCs w:val="22"/>
              </w:rPr>
              <w:t xml:space="preserve">Title — one sentence. Date — ISO. Decider — name. Context — the situation in three sentences. Considered — each option in two sentences. Decision — one sentence with the chosen option. Rationale — four sentences. Costs accepted — one sentence. Reversal trigger — the condition under which we revisit. Followups — a list of two or three artifacts to update.</w:t>
            </w:r>
          </w:p>
        </w:tc>
      </w:tr>
    </w:tbl>
    <w:p>
      <w:pPr>
        <w:pStyle w:val="Heading2"/>
        <w:spacing w:after="160" w:before="320"/>
      </w:pPr>
      <w:r>
        <w:rPr>
          <w:rFonts w:ascii="Calibri" w:cs="Calibri" w:eastAsia="Calibri" w:hAnsi="Calibri"/>
          <w:b/>
          <w:bCs/>
          <w:color w:val="0B2545"/>
          <w:sz w:val="30"/>
          <w:szCs w:val="30"/>
        </w:rPr>
        <w:t xml:space="preserve">C. Friday Retro Template</w:t>
      </w:r>
    </w:p>
    <w:p>
      <w:pPr>
        <w:spacing w:after="140" w:line="300"/>
      </w:pPr>
      <w:r>
        <w:rPr>
          <w:rFonts w:ascii="Calibri" w:cs="Calibri" w:eastAsia="Calibri" w:hAnsi="Calibri"/>
          <w:sz w:val="22"/>
          <w:szCs w:val="22"/>
        </w:rPr>
        <w:t xml:space="preserve">Every Friday at 4:30 p.m. local. 200 words max. Stored at docs/retros/YYYY-WW.md.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4"/>
              <w:left w:val="single" w:color="F26430" w:sz="24"/>
              <w:bottom w:val="single" w:color="0B2545" w:sz="4"/>
              <w:right w:val="single" w:color="0B2545" w:sz="4"/>
            </w:tcBorders>
            <w:shd w:fill="F7F4EE" w:val="clear"/>
            <w:tcMar>
              <w:top w:type="dxa" w:w="200"/>
              <w:left w:type="dxa" w:w="280"/>
              <w:bottom w:type="dxa" w:w="200"/>
              <w:right w:type="dxa" w:w="200"/>
            </w:tcMar>
          </w:tcPr>
          <w:p>
            <w:pPr>
              <w:spacing w:after="80"/>
            </w:pPr>
            <w:r>
              <w:rPr>
                <w:rFonts w:ascii="Calibri" w:cs="Calibri" w:eastAsia="Calibri" w:hAnsi="Calibri"/>
                <w:b/>
                <w:bCs/>
                <w:color w:val="F26430"/>
                <w:sz w:val="18"/>
                <w:szCs w:val="18"/>
              </w:rPr>
              <w:t xml:space="preserve">TEMPLATE</w:t>
            </w:r>
          </w:p>
          <w:p>
            <w:r>
              <w:rPr>
                <w:rFonts w:ascii="Calibri" w:cs="Calibri" w:eastAsia="Calibri" w:hAnsi="Calibri"/>
                <w:sz w:val="22"/>
                <w:szCs w:val="22"/>
              </w:rPr>
              <w:t xml:space="preserve">What shipped this week (3 bullets, each linked to a PR or release). What slipped and why (2 bullets, no excuses). One decision worth recording. One number to watch next week (with a target). One sentence about what surprised us. One sentence of gratitude to a teammate.</w:t>
            </w:r>
          </w:p>
        </w:tc>
      </w:tr>
    </w:tbl>
    <w:p>
      <w:pPr>
        <w:pStyle w:val="Heading2"/>
        <w:spacing w:after="160" w:before="320"/>
      </w:pPr>
      <w:r>
        <w:rPr>
          <w:rFonts w:ascii="Calibri" w:cs="Calibri" w:eastAsia="Calibri" w:hAnsi="Calibri"/>
          <w:b/>
          <w:bCs/>
          <w:color w:val="0B2545"/>
          <w:sz w:val="30"/>
          <w:szCs w:val="30"/>
        </w:rPr>
        <w:t xml:space="preserve">D. Sunday-Night Reading Order</w:t>
      </w:r>
    </w:p>
    <w:p>
      <w:pPr>
        <w:spacing w:after="140" w:line="300"/>
      </w:pPr>
      <w:r>
        <w:rPr>
          <w:rFonts w:ascii="Calibri" w:cs="Calibri" w:eastAsia="Calibri" w:hAnsi="Calibri"/>
          <w:sz w:val="22"/>
          <w:szCs w:val="22"/>
        </w:rPr>
        <w:t xml:space="preserve">Read these in this order, every Sunday night, 45 minutes. Sleep on Mondays goes well when you do.</w:t>
      </w:r>
    </w:p>
    <w:p>
      <w:pPr>
        <w:pStyle w:val="ListParagraph"/>
        <w:numPr>
          <w:ilvl w:val="0"/>
          <w:numId w:val="3"/>
        </w:numPr>
        <w:spacing w:after="100" w:line="280"/>
      </w:pPr>
      <w:r>
        <w:rPr>
          <w:rFonts w:ascii="Calibri" w:cs="Calibri" w:eastAsia="Calibri" w:hAnsi="Calibri"/>
          <w:sz w:val="22"/>
          <w:szCs w:val="22"/>
        </w:rPr>
        <w:t xml:space="preserve">The Eleven Nevers (Part VI). 5 minutes.</w:t>
      </w:r>
    </w:p>
    <w:p>
      <w:pPr>
        <w:pStyle w:val="ListParagraph"/>
        <w:numPr>
          <w:ilvl w:val="0"/>
          <w:numId w:val="3"/>
        </w:numPr>
        <w:spacing w:after="100" w:line="280"/>
      </w:pPr>
      <w:r>
        <w:rPr>
          <w:rFonts w:ascii="Calibri" w:cs="Calibri" w:eastAsia="Calibri" w:hAnsi="Calibri"/>
          <w:sz w:val="22"/>
          <w:szCs w:val="22"/>
        </w:rPr>
        <w:t xml:space="preserve">The current 90-day Lap (Part VIII), looking at the next week’s outcomes. 10 minutes.</w:t>
      </w:r>
    </w:p>
    <w:p>
      <w:pPr>
        <w:pStyle w:val="ListParagraph"/>
        <w:numPr>
          <w:ilvl w:val="0"/>
          <w:numId w:val="3"/>
        </w:numPr>
        <w:spacing w:after="100" w:line="280"/>
      </w:pPr>
      <w:r>
        <w:rPr>
          <w:rFonts w:ascii="Calibri" w:cs="Calibri" w:eastAsia="Calibri" w:hAnsi="Calibri"/>
          <w:sz w:val="22"/>
          <w:szCs w:val="22"/>
        </w:rPr>
        <w:t xml:space="preserve">The Friday retro from two days ago. 5 minutes.</w:t>
      </w:r>
    </w:p>
    <w:p>
      <w:pPr>
        <w:pStyle w:val="ListParagraph"/>
        <w:numPr>
          <w:ilvl w:val="0"/>
          <w:numId w:val="3"/>
        </w:numPr>
        <w:spacing w:after="100" w:line="280"/>
      </w:pPr>
      <w:r>
        <w:rPr>
          <w:rFonts w:ascii="Calibri" w:cs="Calibri" w:eastAsia="Calibri" w:hAnsi="Calibri"/>
          <w:sz w:val="22"/>
          <w:szCs w:val="22"/>
        </w:rPr>
        <w:t xml:space="preserve">The Decision Log entry that’s most relevant to the open argument in your head right now. 10 minutes.</w:t>
      </w:r>
    </w:p>
    <w:p>
      <w:pPr>
        <w:pStyle w:val="ListParagraph"/>
        <w:numPr>
          <w:ilvl w:val="0"/>
          <w:numId w:val="3"/>
        </w:numPr>
        <w:spacing w:after="100" w:line="280"/>
      </w:pPr>
      <w:r>
        <w:rPr>
          <w:rFonts w:ascii="Calibri" w:cs="Calibri" w:eastAsia="Calibri" w:hAnsi="Calibri"/>
          <w:sz w:val="22"/>
          <w:szCs w:val="22"/>
        </w:rPr>
        <w:t xml:space="preserve">The 36-Month Vision (Part X). 10 minutes.</w:t>
      </w:r>
    </w:p>
    <w:p>
      <w:pPr>
        <w:pStyle w:val="ListParagraph"/>
        <w:numPr>
          <w:ilvl w:val="0"/>
          <w:numId w:val="3"/>
        </w:numPr>
        <w:spacing w:after="100" w:line="280"/>
      </w:pPr>
      <w:r>
        <w:rPr>
          <w:rFonts w:ascii="Calibri" w:cs="Calibri" w:eastAsia="Calibri" w:hAnsi="Calibri"/>
          <w:sz w:val="22"/>
          <w:szCs w:val="22"/>
        </w:rPr>
        <w:t xml:space="preserve">Close the laptop. Walk outside. The week starts already won.</w:t>
      </w:r>
    </w:p>
    <w:p>
      <w:pPr>
        <w:pBdr>
          <w:bottom w:val="single" w:color="0B2545" w:sz="6" w:space="1"/>
        </w:pBdr>
        <w:spacing w:after="120" w:before="120"/>
      </w:pPr>
      <w:r>
        <w:t xml:space="preserve"/>
      </w:r>
    </w:p>
    <w:p>
      <w:pPr>
        <w:spacing w:after="60"/>
        <w:jc w:val="center"/>
      </w:pPr>
      <w:r>
        <w:rPr>
          <w:rFonts w:ascii="Calibri" w:cs="Calibri" w:eastAsia="Calibri" w:hAnsi="Calibri"/>
          <w:b w:val="false"/>
          <w:bCs w:val="false"/>
          <w:i/>
          <w:iCs/>
          <w:color w:val="0B2545"/>
          <w:sz w:val="22"/>
          <w:szCs w:val="22"/>
        </w:rPr>
        <w:t xml:space="preserve">Sitesync. Verbs over nouns. Drafts over actions. Audited over autonomous.</w:t>
      </w:r>
    </w:p>
    <w:p>
      <w:pPr>
        <w:spacing w:after="600"/>
        <w:jc w:val="center"/>
      </w:pPr>
      <w:r>
        <w:rPr>
          <w:rFonts w:ascii="Calibri" w:cs="Calibri" w:eastAsia="Calibri" w:hAnsi="Calibri"/>
          <w:b w:val="false"/>
          <w:bCs w:val="false"/>
          <w:i/>
          <w:iCs/>
          <w:color w:val="0B2545"/>
          <w:sz w:val="22"/>
          <w:szCs w:val="22"/>
        </w:rPr>
        <w:t xml:space="preserve">The construction project runs itself. Humans stay in command.</w:t>
      </w:r>
    </w:p>
    <w:p>
      <w:pPr>
        <w:spacing w:after="60"/>
        <w:jc w:val="center"/>
      </w:pPr>
      <w:r>
        <w:rPr>
          <w:rFonts w:ascii="Calibri" w:cs="Calibri" w:eastAsia="Calibri" w:hAnsi="Calibri"/>
          <w:b w:val="false"/>
          <w:bCs w:val="false"/>
          <w:i w:val="false"/>
          <w:iCs w:val="false"/>
          <w:color w:val="F26430"/>
          <w:sz w:val="28"/>
          <w:szCs w:val="28"/>
        </w:rPr>
        <w:t xml:space="preserve">───</w:t>
      </w:r>
    </w:p>
    <w:p>
      <w:pPr>
        <w:spacing w:after="60"/>
        <w:jc w:val="center"/>
      </w:pPr>
      <w:r>
        <w:rPr>
          <w:rFonts w:ascii="Calibri" w:cs="Calibri" w:eastAsia="Calibri" w:hAnsi="Calibri"/>
          <w:b w:val="false"/>
          <w:bCs w:val="false"/>
          <w:i w:val="false"/>
          <w:iCs w:val="false"/>
          <w:color w:val="445566"/>
          <w:sz w:val="20"/>
          <w:szCs w:val="20"/>
        </w:rPr>
        <w:t xml:space="preserve">End of the North Star.</w:t>
      </w:r>
    </w:p>
    <w:p>
      <w:pPr>
        <w:spacing w:after="60"/>
        <w:jc w:val="center"/>
      </w:pPr>
      <w:r>
        <w:rPr>
          <w:rFonts w:ascii="Calibri" w:cs="Calibri" w:eastAsia="Calibri" w:hAnsi="Calibri"/>
          <w:b w:val="false"/>
          <w:bCs w:val="false"/>
          <w:i w:val="false"/>
          <w:iCs w:val="false"/>
          <w:color w:val="445566"/>
          <w:sz w:val="20"/>
          <w:szCs w:val="20"/>
        </w:rPr>
        <w:t xml:space="preserve">Walker Benner  ·  May 1, 2026  ·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5566"/>
        <w:sz w:val="18"/>
        <w:szCs w:val="18"/>
      </w:rPr>
      <w:t xml:space="preserve">Walker Benner · </w:t>
    </w:r>
    <w:r>
      <w:rPr>
        <w:rFonts w:ascii="Calibri" w:cs="Calibri" w:eastAsia="Calibri" w:hAnsi="Calibri"/>
        <w:color w:val="445566"/>
        <w:sz w:val="18"/>
        <w:szCs w:val="18"/>
      </w:rPr>
      <w:t xml:space="preserve">Page </w:t>
    </w:r>
    <w:r>
      <w:rPr>
        <w:rFonts w:ascii="Calibri" w:cs="Calibri" w:eastAsia="Calibri" w:hAnsi="Calibri"/>
        <w:color w:val="445566"/>
        <w:sz w:val="18"/>
        <w:szCs w:val="18"/>
      </w:rPr>
      <w:fldChar w:fldCharType="begin"/>
      <w:instrText xml:space="preserve">PAGE</w:instrText>
      <w:fldChar w:fldCharType="separate"/>
      <w:fldChar w:fldCharType="end"/>
    </w:r>
    <w:r>
      <w:rPr>
        <w:rFonts w:ascii="Calibri" w:cs="Calibri" w:eastAsia="Calibri" w:hAnsi="Calibri"/>
        <w:color w:val="445566"/>
        <w:sz w:val="18"/>
        <w:szCs w:val="18"/>
      </w:rPr>
      <w:t xml:space="preserve"> of </w:t>
    </w:r>
    <w:r>
      <w:rPr>
        <w:rFonts w:ascii="Calibri" w:cs="Calibri" w:eastAsia="Calibri" w:hAnsi="Calibri"/>
        <w:color w:val="4455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445566"/>
        <w:sz w:val="18"/>
        <w:szCs w:val="18"/>
      </w:rPr>
      <w:t xml:space="preserve">Sitesync · The North Star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0B2545"/>
      <w:sz w:val="40"/>
      <w:szCs w:val="40"/>
    </w:rPr>
  </w:style>
  <w:style w:type="paragraph" w:styleId="Heading2">
    <w:name w:val="Heading 2"/>
    <w:basedOn w:val="Normal"/>
    <w:next w:val="Normal"/>
    <w:qFormat/>
    <w:pPr>
      <w:spacing w:after="160" w:before="320"/>
      <w:outlineLvl w:val="1"/>
    </w:pPr>
    <w:rPr>
      <w:rFonts w:ascii="Calibri" w:cs="Calibri" w:eastAsia="Calibri" w:hAnsi="Calibri"/>
      <w:b/>
      <w:bCs/>
      <w:color w:val="0B2545"/>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1331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North Star — Sitesync Operating System v1.0</dc:title>
  <dc:creator>Walker Benner</dc:creator>
  <dc:description>The strategic foundation of Sitesync. Constitution, strategy, execution plan.</dc:description>
  <cp:lastModifiedBy>Un-named</cp:lastModifiedBy>
  <cp:revision>1</cp:revision>
  <dcterms:created xsi:type="dcterms:W3CDTF">2026-05-01T14:49:00.858Z</dcterms:created>
  <dcterms:modified xsi:type="dcterms:W3CDTF">2026-05-01T14:49:00.859Z</dcterms:modified>
</cp:coreProperties>
</file>

<file path=docProps/custom.xml><?xml version="1.0" encoding="utf-8"?>
<Properties xmlns="http://schemas.openxmlformats.org/officeDocument/2006/custom-properties" xmlns:vt="http://schemas.openxmlformats.org/officeDocument/2006/docPropsVTypes"/>
</file>