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A7EA8">
      <w:pPr>
        <w:spacing w:before="156" w:beforeLines="50" w:after="156" w:afterLines="50"/>
        <w:ind w:firstLine="640"/>
        <w:jc w:val="center"/>
        <w:rPr>
          <w:rFonts w:hint="eastAsia" w:ascii="黑体" w:hAnsi="黑体" w:eastAsia="黑体"/>
          <w:sz w:val="32"/>
          <w:szCs w:val="32"/>
        </w:rPr>
      </w:pPr>
      <w:r>
        <w:rPr>
          <w:rFonts w:hint="eastAsia" w:ascii="黑体" w:hAnsi="黑体" w:eastAsia="黑体"/>
          <w:sz w:val="32"/>
          <w:szCs w:val="32"/>
        </w:rPr>
        <w:t>这世界并非“优绩至上”“内卷为王”</w:t>
      </w:r>
    </w:p>
    <w:p w14:paraId="2E9B1545">
      <w:pPr>
        <w:spacing w:before="156" w:beforeLines="50" w:after="156" w:afterLines="50"/>
        <w:ind w:firstLine="602"/>
        <w:jc w:val="center"/>
        <w:rPr>
          <w:rFonts w:hint="eastAsia" w:ascii="黑体" w:hAnsi="黑体" w:eastAsia="黑体"/>
          <w:sz w:val="30"/>
          <w:szCs w:val="30"/>
        </w:rPr>
      </w:pPr>
      <w:r>
        <w:rPr>
          <w:rFonts w:hint="eastAsia" w:ascii="黑体" w:hAnsi="黑体" w:eastAsia="黑体"/>
          <w:b/>
          <w:bCs/>
          <w:sz w:val="30"/>
          <w:szCs w:val="30"/>
        </w:rPr>
        <w:t>--从优绩思想与内卷现象看当代年轻人的价值观</w:t>
      </w:r>
    </w:p>
    <w:p w14:paraId="6EAF304B">
      <w:pPr>
        <w:spacing w:before="156" w:beforeLines="50" w:after="156" w:afterLines="50"/>
        <w:ind w:firstLine="480"/>
        <w:jc w:val="center"/>
        <w:rPr>
          <w:sz w:val="24"/>
          <w:szCs w:val="24"/>
        </w:rPr>
      </w:pPr>
      <w:r>
        <w:rPr>
          <w:rFonts w:hint="eastAsia"/>
          <w:sz w:val="24"/>
          <w:szCs w:val="24"/>
        </w:rPr>
        <w:t>王若尘 2400011214 工学院</w:t>
      </w:r>
    </w:p>
    <w:p w14:paraId="10C29E04">
      <w:pPr>
        <w:spacing w:before="156" w:beforeLines="50" w:after="156" w:afterLines="50"/>
        <w:ind w:firstLine="482"/>
        <w:rPr>
          <w:sz w:val="24"/>
          <w:szCs w:val="24"/>
        </w:rPr>
      </w:pPr>
      <w:r>
        <w:rPr>
          <w:rFonts w:hint="eastAsia"/>
          <w:b/>
          <w:bCs/>
          <w:sz w:val="24"/>
          <w:szCs w:val="24"/>
        </w:rPr>
        <w:t>摘要：</w:t>
      </w:r>
      <w:r>
        <w:rPr>
          <w:rFonts w:hint="eastAsia"/>
          <w:sz w:val="24"/>
          <w:szCs w:val="24"/>
        </w:rPr>
        <w:t>本文探讨了优绩主义与内卷思想在当代社会的体现及其影响。当代青年为了有限的机会而进行大量无效竞争，造成资源浪费和个人发展受限，最终形成内卷的恶性循环。面对这一社会上普遍存在的“囚徒困境”，应当采取综合化措施，其关键在于全社会努力建议一种新的认知：成功不仅仅是外在成就的积累，更在于内在满足感的获得；人生的意义也不局限于超越他人，更重要的是实现自我价值。从宏观政策和微观行为都大力推动变革，才能描绘出一幅更加美好的社会图景。</w:t>
      </w:r>
    </w:p>
    <w:p w14:paraId="6EB3B628">
      <w:pPr>
        <w:spacing w:before="156" w:beforeLines="50" w:after="156" w:afterLines="50"/>
        <w:ind w:firstLine="482"/>
        <w:rPr>
          <w:rFonts w:hint="eastAsia"/>
          <w:sz w:val="24"/>
          <w:szCs w:val="24"/>
        </w:rPr>
      </w:pPr>
      <w:r>
        <w:rPr>
          <w:rFonts w:hint="eastAsia"/>
          <w:b/>
          <w:bCs/>
          <w:sz w:val="24"/>
          <w:szCs w:val="24"/>
        </w:rPr>
        <w:t>关键词：</w:t>
      </w:r>
      <w:r>
        <w:rPr>
          <w:rFonts w:hint="eastAsia"/>
          <w:sz w:val="24"/>
          <w:szCs w:val="24"/>
        </w:rPr>
        <w:t>优绩主义；内卷思想；囚徒困境；社会文化功利化</w:t>
      </w:r>
    </w:p>
    <w:p w14:paraId="3D287116">
      <w:pPr>
        <w:pStyle w:val="9"/>
        <w:numPr>
          <w:ilvl w:val="0"/>
          <w:numId w:val="1"/>
        </w:numPr>
        <w:spacing w:before="156" w:after="156"/>
        <w:ind w:firstLineChars="0"/>
        <w:jc w:val="center"/>
        <w:rPr>
          <w:rFonts w:hint="eastAsia" w:ascii="黑体" w:hAnsi="黑体" w:eastAsia="黑体"/>
          <w:b/>
          <w:bCs/>
        </w:rPr>
      </w:pPr>
      <w:r>
        <w:rPr>
          <w:rFonts w:hint="eastAsia" w:ascii="黑体" w:hAnsi="黑体" w:eastAsia="黑体"/>
          <w:b/>
          <w:bCs/>
        </w:rPr>
        <w:t>优绩主义与内卷思想在当下的体现</w:t>
      </w:r>
    </w:p>
    <w:p w14:paraId="2E384299">
      <w:pPr>
        <w:ind w:firstLine="480"/>
        <w:rPr>
          <w:rFonts w:hint="eastAsia"/>
          <w:sz w:val="24"/>
          <w:szCs w:val="24"/>
        </w:rPr>
      </w:pPr>
      <w:r>
        <w:rPr>
          <w:rFonts w:hint="eastAsia"/>
          <w:sz w:val="24"/>
          <w:szCs w:val="24"/>
        </w:rPr>
        <w:t>何为优绩？何为内卷？优绩主义原本是一种社会理念或体系，其中权利、奖励、资源的分配主要基于个人的能力、努力和成就，而非出身、财富和社会关系等其他非个人因素。然而，若是优绩主义不能真正实现机会均等，那么过度竞争便不可避免，进而产生大量的无效努力，形成了“内卷化”的恶性循环。</w:t>
      </w:r>
    </w:p>
    <w:p w14:paraId="38CF7332">
      <w:pPr>
        <w:spacing w:after="156"/>
        <w:ind w:firstLine="480"/>
        <w:rPr>
          <w:rFonts w:hint="eastAsia"/>
          <w:sz w:val="24"/>
          <w:szCs w:val="24"/>
        </w:rPr>
      </w:pPr>
      <w:r>
        <w:rPr>
          <w:rFonts w:hint="eastAsia"/>
          <w:sz w:val="24"/>
          <w:szCs w:val="24"/>
        </w:rPr>
        <w:t>如今，优绩主义已与代表着“过度竞争”与“无效努力”的内卷紧密联系，成为许许多多年轻人不懈追求的“牢笼”。他们打着“绩点为王”的口号，举着“宁可累死自己也要卷死别人”的旗帜，却没发现在追求优绩的同时自己也在逐渐陷入“囚徒困境”。这些最聪明的年轻人想要最漂亮的绩点，每一层次的学生都关注每一门课的绩点，在愈加内卷化的环境中将绩点树立为终点，在与同辈极度竞争的过程中疲惫且迷茫。</w:t>
      </w:r>
      <w:r>
        <w:rPr>
          <w:rStyle w:val="7"/>
          <w:rFonts w:hint="eastAsia"/>
          <w:sz w:val="24"/>
          <w:szCs w:val="24"/>
        </w:rPr>
        <w:footnoteReference w:id="0"/>
      </w:r>
      <w:r>
        <w:rPr>
          <w:rFonts w:hint="eastAsia"/>
          <w:sz w:val="24"/>
          <w:szCs w:val="24"/>
        </w:rPr>
        <w:t>无限度内卷的尽头必定是一个又一个的囚徒困境。而面对这样的现象，年轻人真的毫无察觉吗？不，不是的。这是一位大学生的回答：“大家这么多年都是通过优绩主义、高分数来赢得各种各样的荣誉、资源，这是大家习惯的方式，也就都在延续这样的方式。”</w:t>
      </w:r>
      <w:r>
        <w:rPr>
          <w:rStyle w:val="7"/>
          <w:rFonts w:hint="eastAsia"/>
          <w:sz w:val="24"/>
          <w:szCs w:val="24"/>
        </w:rPr>
        <w:footnoteReference w:id="1"/>
      </w:r>
      <w:r>
        <w:rPr>
          <w:rFonts w:hint="eastAsia"/>
          <w:sz w:val="24"/>
          <w:szCs w:val="24"/>
        </w:rPr>
        <w:t>如今，优绩主义与内卷思想已经成为很多人的一种“习惯”，有些人深陷其中，苦苦挣扎，却没有勇气打破囚笼；而另一些人站在内卷金字塔的顶端，是竞争中的佼佼者，却没意识到功利的短视正一点点抹杀长远的追求。</w:t>
      </w:r>
    </w:p>
    <w:p w14:paraId="1335E1C2">
      <w:pPr>
        <w:pStyle w:val="9"/>
        <w:numPr>
          <w:ilvl w:val="0"/>
          <w:numId w:val="1"/>
        </w:numPr>
        <w:spacing w:before="156" w:after="156"/>
        <w:ind w:firstLineChars="0"/>
        <w:jc w:val="center"/>
        <w:rPr>
          <w:rFonts w:hint="eastAsia" w:ascii="黑体" w:hAnsi="黑体" w:eastAsia="黑体"/>
          <w:b/>
          <w:bCs/>
        </w:rPr>
      </w:pPr>
      <w:r>
        <w:rPr>
          <w:rFonts w:hint="eastAsia" w:ascii="黑体" w:hAnsi="黑体" w:eastAsia="黑体"/>
          <w:b/>
          <w:bCs/>
        </w:rPr>
        <w:t>优绩主义泛滥的原因剖析</w:t>
      </w:r>
    </w:p>
    <w:p w14:paraId="3F2891C3">
      <w:pPr>
        <w:pStyle w:val="9"/>
        <w:numPr>
          <w:ilvl w:val="0"/>
          <w:numId w:val="2"/>
        </w:numPr>
        <w:spacing w:before="156" w:after="156"/>
        <w:ind w:firstLineChars="0"/>
        <w:rPr>
          <w:rFonts w:hint="eastAsia"/>
          <w:b/>
          <w:bCs/>
          <w:sz w:val="24"/>
          <w:szCs w:val="24"/>
        </w:rPr>
      </w:pPr>
      <w:r>
        <w:rPr>
          <w:rFonts w:hint="eastAsia"/>
          <w:b/>
          <w:bCs/>
          <w:sz w:val="24"/>
          <w:szCs w:val="24"/>
        </w:rPr>
        <w:t>传统教育层面</w:t>
      </w:r>
    </w:p>
    <w:p w14:paraId="13FD3F2A">
      <w:pPr>
        <w:spacing w:before="156" w:after="156"/>
        <w:ind w:firstLine="480"/>
        <w:rPr>
          <w:rFonts w:hint="eastAsia"/>
          <w:sz w:val="24"/>
          <w:szCs w:val="24"/>
        </w:rPr>
      </w:pPr>
      <w:r>
        <w:rPr>
          <w:rFonts w:hint="eastAsia"/>
          <w:sz w:val="24"/>
          <w:szCs w:val="24"/>
        </w:rPr>
        <w:t>长期以来，望子成龙望女成凤的传统文化背景、应试教育选拔人才的制度设定以及教育内卷的白热化，多重因素构成的社会价值体系之中，大多数普通儿童成长的目标和路径通常是好好学习、顺利考入好大学，人生就有希望。并且学习好，往往才能得到外界的认可和赞许，而在长期的外界教育影响下，儿童也习惯性地据此来进行自我评价——自己是否是一个有价值的人。</w:t>
      </w:r>
      <w:r>
        <w:rPr>
          <w:rStyle w:val="7"/>
          <w:rFonts w:hint="eastAsia"/>
          <w:sz w:val="24"/>
          <w:szCs w:val="24"/>
        </w:rPr>
        <w:footnoteReference w:id="2"/>
      </w:r>
      <w:r>
        <w:rPr>
          <w:rFonts w:hint="eastAsia"/>
          <w:sz w:val="24"/>
          <w:szCs w:val="24"/>
        </w:rPr>
        <w:t>于是，这种习惯就一直延续在他们的学习乃至工作生涯中。并且，教育对人的影响是十分深远的，这种被优绩主义和内卷思想浸透的教育方式极其可能塑造出又一个优绩主义的忠实拥护者。</w:t>
      </w:r>
    </w:p>
    <w:p w14:paraId="27A6CCFD">
      <w:pPr>
        <w:pStyle w:val="9"/>
        <w:numPr>
          <w:ilvl w:val="0"/>
          <w:numId w:val="2"/>
        </w:numPr>
        <w:spacing w:before="156" w:after="156"/>
        <w:ind w:firstLineChars="0"/>
        <w:rPr>
          <w:rFonts w:hint="eastAsia"/>
          <w:b/>
          <w:bCs/>
          <w:sz w:val="24"/>
          <w:szCs w:val="24"/>
        </w:rPr>
      </w:pPr>
      <w:r>
        <w:rPr>
          <w:rFonts w:hint="eastAsia"/>
          <w:b/>
          <w:bCs/>
          <w:sz w:val="24"/>
          <w:szCs w:val="24"/>
        </w:rPr>
        <w:t>经济层面</w:t>
      </w:r>
    </w:p>
    <w:p w14:paraId="1FA51368">
      <w:pPr>
        <w:pStyle w:val="9"/>
        <w:spacing w:before="156" w:after="156"/>
        <w:ind w:firstLine="480"/>
        <w:rPr>
          <w:rFonts w:hint="eastAsia"/>
          <w:sz w:val="24"/>
          <w:szCs w:val="24"/>
        </w:rPr>
      </w:pPr>
      <w:r>
        <w:rPr>
          <w:rFonts w:hint="eastAsia"/>
          <w:sz w:val="24"/>
          <w:szCs w:val="24"/>
        </w:rPr>
        <w:t>在全球疫情冲击之后，我国经济下行压力持续加大，风险挑战明显上升，经济下行带来的是就业市场的压力与收入差距的增大。根据北京大学国家发展研究院（2020）年的研究，2019年至2020年，随着中国经济增速放缓，城镇失业率从5.2%上升至5.4%，特别是青年失业率显著提高。</w:t>
      </w:r>
      <w:r>
        <w:rPr>
          <w:rStyle w:val="7"/>
          <w:rFonts w:hint="eastAsia"/>
          <w:sz w:val="24"/>
          <w:szCs w:val="24"/>
        </w:rPr>
        <w:footnoteReference w:id="3"/>
      </w:r>
      <w:r>
        <w:rPr>
          <w:sz w:val="24"/>
          <w:szCs w:val="24"/>
        </w:rPr>
        <w:t>复旦大学管理学院与中国社会科学院合作开展的调查</w:t>
      </w:r>
      <w:r>
        <w:rPr>
          <w:rFonts w:hint="eastAsia"/>
          <w:sz w:val="24"/>
          <w:szCs w:val="24"/>
        </w:rPr>
        <w:t>表明，在经济下行期间，超过60%的企业减少了招聘计划，而求职者平均投递简历数量增加了30%。</w:t>
      </w:r>
      <w:r>
        <w:rPr>
          <w:rStyle w:val="7"/>
          <w:rFonts w:hint="eastAsia"/>
          <w:sz w:val="24"/>
          <w:szCs w:val="24"/>
        </w:rPr>
        <w:footnoteReference w:id="4"/>
      </w:r>
      <w:r>
        <w:rPr>
          <w:rFonts w:hint="eastAsia"/>
          <w:sz w:val="24"/>
          <w:szCs w:val="24"/>
        </w:rPr>
        <w:t>当经济下行或增长放缓时，资源变得更加稀缺，竞争也会加剧，这往往会导致内卷现象的恶化，似乎唯有卷成优绩主义所认同的“成功者”才是唯一出路。</w:t>
      </w:r>
    </w:p>
    <w:p w14:paraId="58913BCA">
      <w:pPr>
        <w:pStyle w:val="9"/>
        <w:numPr>
          <w:ilvl w:val="0"/>
          <w:numId w:val="2"/>
        </w:numPr>
        <w:spacing w:before="156" w:after="156"/>
        <w:ind w:firstLineChars="0"/>
        <w:rPr>
          <w:rFonts w:hint="eastAsia"/>
          <w:b/>
          <w:bCs/>
          <w:sz w:val="24"/>
          <w:szCs w:val="24"/>
        </w:rPr>
      </w:pPr>
      <w:r>
        <w:rPr>
          <w:rFonts w:hint="eastAsia"/>
          <w:b/>
          <w:bCs/>
          <w:sz w:val="24"/>
          <w:szCs w:val="24"/>
        </w:rPr>
        <w:t>网络科技层面</w:t>
      </w:r>
    </w:p>
    <w:p w14:paraId="60691F79">
      <w:pPr>
        <w:ind w:firstLine="480"/>
        <w:rPr>
          <w:rFonts w:hint="eastAsia"/>
          <w:sz w:val="24"/>
          <w:szCs w:val="24"/>
        </w:rPr>
      </w:pPr>
      <w:r>
        <w:rPr>
          <w:rFonts w:hint="eastAsia"/>
          <w:sz w:val="24"/>
          <w:szCs w:val="24"/>
        </w:rPr>
        <w:t>一方面经济增长放缓，而另一方面网络科技飞速发展。短视频在近几年迅速火爆全网，但其内容质量大都良莠不齐，而年轻人对短视频传播不同价值观的分析过滤能力和分辨能力又较弱，很容易接受到错误信息并将内卷焦虑现象心理在人群体里传播。</w:t>
      </w:r>
      <w:r>
        <w:rPr>
          <w:rStyle w:val="7"/>
          <w:rFonts w:hint="eastAsia"/>
          <w:sz w:val="24"/>
          <w:szCs w:val="24"/>
        </w:rPr>
        <w:footnoteReference w:id="5"/>
      </w:r>
      <w:r>
        <w:rPr>
          <w:rFonts w:hint="eastAsia"/>
          <w:sz w:val="24"/>
          <w:szCs w:val="24"/>
        </w:rPr>
        <w:t>2020年5月，豆瓣上成立了一个名为“985废物引进”计划的小组，小组成立的初衷是让有相似经历的人分享失败故事，并探讨如何走出困境。但这件事在网上不断发酵，“985废物”也逐渐被拿来调侃甚至贬低青年人，使得焦虑情绪在青年之中广泛传播。更有甚者，在与著名自媒体的谈话中直接表达这样的观点：“1000万大学生就是1000万废物。”在网络科技如此发达的今天，这样的言论迅速传遍了社交媒体的每个角落并引起了广泛热议和批评。尽管大多数人都不接受这种过于极端的言论，但这段话还是不可避免地加剧了焦虑内卷现象。</w:t>
      </w:r>
    </w:p>
    <w:p w14:paraId="051FA789">
      <w:pPr>
        <w:pStyle w:val="9"/>
        <w:numPr>
          <w:ilvl w:val="0"/>
          <w:numId w:val="2"/>
        </w:numPr>
        <w:spacing w:before="156" w:after="156"/>
        <w:ind w:firstLineChars="0"/>
        <w:rPr>
          <w:rFonts w:hint="eastAsia"/>
          <w:b/>
          <w:bCs/>
          <w:sz w:val="24"/>
          <w:szCs w:val="24"/>
        </w:rPr>
      </w:pPr>
      <w:r>
        <w:rPr>
          <w:rFonts w:hint="eastAsia"/>
          <w:b/>
          <w:bCs/>
          <w:sz w:val="24"/>
          <w:szCs w:val="24"/>
        </w:rPr>
        <w:t>社会意识形态层面</w:t>
      </w:r>
    </w:p>
    <w:p w14:paraId="30F1FA96">
      <w:pPr>
        <w:ind w:firstLine="480"/>
        <w:rPr>
          <w:rFonts w:hint="eastAsia"/>
          <w:sz w:val="24"/>
          <w:szCs w:val="24"/>
        </w:rPr>
      </w:pPr>
      <w:r>
        <w:rPr>
          <w:rFonts w:hint="eastAsia"/>
          <w:sz w:val="24"/>
          <w:szCs w:val="24"/>
        </w:rPr>
        <w:t>正如上文所提到的，“通过高绩点和优异成绩来获得荣誉和资源是大家所习惯的方式”，优绩意味着优异，内卷意味着努力，这已经被很多人奉为金圭玉臬，他们将此化为价值观念，以此来评判一个人优秀与否。姑且不论这种行为是否正确、是否合适，首先必须引起重视的是，这种优绩主义已渗入社会意识形态，促使社会文化越发功利化，而这种功利化进程又使社会上对于成功的定义更加单一化，越发使人们只注重经济上的成就和社会上的地位，从而忽视了个人兴趣、自身幸福感等被优绩主义排斥在外的内在价值。“物质至上”“精英崇拜”被部分人推崇至极，而从众心理也加重了年轻人的内卷焦虑现象。在某次调查研究中，对“自己本身易受他人影响容易随波逐流”问题中，有80%的大学生在他人的影响中摇摆不定，无法形成自己明确的行动规划指南，在从众心理的裹挟中逐渐失去自我，陷入内卷。</w:t>
      </w:r>
      <w:r>
        <w:rPr>
          <w:rStyle w:val="7"/>
          <w:rFonts w:hint="eastAsia"/>
          <w:sz w:val="24"/>
          <w:szCs w:val="24"/>
        </w:rPr>
        <w:footnoteReference w:id="6"/>
      </w:r>
    </w:p>
    <w:p w14:paraId="41855816">
      <w:pPr>
        <w:pStyle w:val="9"/>
        <w:numPr>
          <w:ilvl w:val="0"/>
          <w:numId w:val="1"/>
        </w:numPr>
        <w:spacing w:before="156" w:after="156"/>
        <w:ind w:firstLineChars="0"/>
        <w:jc w:val="center"/>
        <w:rPr>
          <w:rFonts w:ascii="黑体" w:hAnsi="黑体" w:eastAsia="黑体"/>
          <w:b/>
          <w:bCs/>
        </w:rPr>
      </w:pPr>
      <w:r>
        <w:rPr>
          <w:rFonts w:hint="eastAsia" w:ascii="黑体" w:hAnsi="黑体" w:eastAsia="黑体"/>
          <w:b/>
          <w:bCs/>
        </w:rPr>
        <w:t>该如何破除内卷与优绩之“囚笼”</w:t>
      </w:r>
    </w:p>
    <w:p w14:paraId="004DB47C">
      <w:pPr>
        <w:pStyle w:val="9"/>
        <w:numPr>
          <w:ilvl w:val="0"/>
          <w:numId w:val="3"/>
        </w:numPr>
        <w:ind w:firstLineChars="0"/>
        <w:rPr>
          <w:b/>
          <w:bCs/>
          <w:sz w:val="24"/>
          <w:szCs w:val="24"/>
        </w:rPr>
      </w:pPr>
      <w:r>
        <w:rPr>
          <w:rFonts w:hint="eastAsia"/>
          <w:b/>
          <w:bCs/>
          <w:sz w:val="24"/>
          <w:szCs w:val="24"/>
        </w:rPr>
        <w:t>政府角度</w:t>
      </w:r>
    </w:p>
    <w:p w14:paraId="6C4EBA30">
      <w:pPr>
        <w:ind w:firstLine="480"/>
        <w:rPr>
          <w:sz w:val="24"/>
          <w:szCs w:val="24"/>
        </w:rPr>
      </w:pPr>
      <w:r>
        <w:rPr>
          <w:rFonts w:hint="eastAsia"/>
          <w:sz w:val="24"/>
          <w:szCs w:val="24"/>
        </w:rPr>
        <w:t>面对我国经济下行带来的风险挑战和经济发展中积累下的“内卷化”现象，需要深挖国内外市场潜力，以满足人们生活基本需求到提高民生质量的转向，习近平总书记在2020年中共中央政治局常务委员会上强调，“要准把握国内外经济形势的阶段性变化，因时因势调整工作着力点和应对举措”。</w:t>
      </w:r>
      <w:r>
        <w:rPr>
          <w:rStyle w:val="7"/>
          <w:rFonts w:hint="eastAsia"/>
          <w:sz w:val="24"/>
          <w:szCs w:val="24"/>
        </w:rPr>
        <w:footnoteReference w:id="7"/>
      </w:r>
      <w:r>
        <w:rPr>
          <w:rFonts w:hint="eastAsia"/>
          <w:sz w:val="24"/>
          <w:szCs w:val="24"/>
        </w:rPr>
        <w:t>经济下行反映到个人身上就是就业创业困境，唯有从国家政府层面缓解就业压力、调整产业结构，才能真正有效打破当代年轻人为就业而形成的内卷囚笼。</w:t>
      </w:r>
    </w:p>
    <w:p w14:paraId="4401555D">
      <w:pPr>
        <w:pStyle w:val="9"/>
        <w:numPr>
          <w:ilvl w:val="0"/>
          <w:numId w:val="3"/>
        </w:numPr>
        <w:ind w:firstLineChars="0"/>
        <w:rPr>
          <w:b/>
          <w:bCs/>
          <w:sz w:val="24"/>
          <w:szCs w:val="24"/>
        </w:rPr>
      </w:pPr>
      <w:r>
        <w:rPr>
          <w:rFonts w:hint="eastAsia"/>
          <w:b/>
          <w:bCs/>
          <w:sz w:val="24"/>
          <w:szCs w:val="24"/>
        </w:rPr>
        <w:t>当代青年个体角度</w:t>
      </w:r>
    </w:p>
    <w:p w14:paraId="1811431B">
      <w:pPr>
        <w:ind w:firstLine="480"/>
        <w:rPr>
          <w:sz w:val="24"/>
          <w:szCs w:val="24"/>
        </w:rPr>
      </w:pPr>
      <w:r>
        <w:rPr>
          <w:rFonts w:hint="eastAsia"/>
          <w:sz w:val="24"/>
          <w:szCs w:val="24"/>
        </w:rPr>
        <w:t>如今大多数年轻人困于内卷旋涡之中无法挣脱，被优绩主义绑架而不断将自己塑造为“精英形象”，他们越是不停往自己身上贴精英标签，越是以自己所取得的优绩主义意义上的成功为傲，就越是反映出他们内心的焦虑与迷茫。因为迷茫，所以只能随大流地将高绩点等等作为追求的目标；因为焦虑，不断内卷，内卷自己，内卷他人，唯恐自己不是世俗意义上的“成功人士”。可这样的行为，无非是自己将自己关进优绩与内卷制成的牢笼之中，这真的合适吗？</w:t>
      </w:r>
    </w:p>
    <w:p w14:paraId="4320DDBF">
      <w:pPr>
        <w:ind w:firstLine="480"/>
        <w:rPr>
          <w:sz w:val="24"/>
          <w:szCs w:val="24"/>
        </w:rPr>
      </w:pPr>
      <w:r>
        <w:rPr>
          <w:rFonts w:hint="eastAsia"/>
          <w:sz w:val="24"/>
          <w:szCs w:val="24"/>
        </w:rPr>
        <w:t>人的行为是其意识的产物，也是其价值观的体现，若是认可优绩主义所提倡的成功观念，那么在自身好胜心和周围人带来的压力下，我们便不可避免地想在世俗意义上取得优胜，从而逐渐加剧内卷的无效努力过度努力。然而，当我们将视线从这些事物上移开，开始注重自身的幸福感和愉悦感，所谓囚笼便不攻自破了。当我培养一门爱好，是出于自身兴趣而非希望这项技能能给我带来多大增益，也不会因为在这件事上投入过多时间而内疚；当我努力学习取得优异成绩，是出于自身对知识的渴望而非是由于周围人带来的压力，会为自己取得的进步自豪，而不会焦虑自己和金字塔顶部的人还有不小的差距。因此，从青年个体出发，重新审视并调整自己的思维方式、行为模式和对成功的定义，才是有效的打破优绩与内卷恶性循环的方法。</w:t>
      </w:r>
    </w:p>
    <w:p w14:paraId="3741ED5B">
      <w:pPr>
        <w:pStyle w:val="9"/>
        <w:numPr>
          <w:ilvl w:val="0"/>
          <w:numId w:val="1"/>
        </w:numPr>
        <w:ind w:firstLineChars="0"/>
        <w:jc w:val="center"/>
        <w:rPr>
          <w:rFonts w:ascii="黑体" w:hAnsi="黑体" w:eastAsia="黑体"/>
          <w:b/>
          <w:bCs/>
        </w:rPr>
      </w:pPr>
      <w:r>
        <w:rPr>
          <w:rFonts w:hint="eastAsia" w:ascii="黑体" w:hAnsi="黑体" w:eastAsia="黑体"/>
          <w:b/>
          <w:bCs/>
        </w:rPr>
        <w:t>结语</w:t>
      </w:r>
    </w:p>
    <w:p w14:paraId="5C577EDD">
      <w:pPr>
        <w:ind w:firstLine="480"/>
        <w:rPr>
          <w:rFonts w:hint="eastAsia"/>
          <w:sz w:val="24"/>
          <w:szCs w:val="24"/>
        </w:rPr>
      </w:pPr>
      <w:r>
        <w:rPr>
          <w:rFonts w:hint="eastAsia"/>
          <w:sz w:val="24"/>
          <w:szCs w:val="24"/>
        </w:rPr>
        <w:t>打破优绩与内卷的恶性循环并非易事，但却是构造一个包容且可持续发展的社会的必经之路。摒弃单一的以成绩或财富来衡量成功的标准，承认生命意义的多元性，勇敢地走出一条与众不同的道路，这才是的当代青年应做之事。人生是旷野，不是轨道，只有当我们不再拘泥于所谓“标准答案”时，才能真正享受到丰富多彩的人生旅途，同时为构建一个更加美好的社会贡献力量。</w:t>
      </w:r>
    </w:p>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78B83">
    <w:pPr>
      <w:pStyle w:val="2"/>
      <w:spacing w:before="120" w:after="120"/>
      <w:ind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DE9DE">
    <w:pPr>
      <w:pStyle w:val="2"/>
      <w:spacing w:before="120" w:after="120"/>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F23B2">
    <w:pPr>
      <w:pStyle w:val="2"/>
      <w:spacing w:before="120" w:after="120"/>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pPr>
        <w:spacing w:line="360" w:lineRule="auto"/>
        <w:ind w:firstLine="560"/>
      </w:pPr>
      <w:r>
        <w:separator/>
      </w:r>
    </w:p>
  </w:footnote>
  <w:footnote w:type="continuationSeparator" w:id="17">
    <w:p>
      <w:pPr>
        <w:spacing w:line="360" w:lineRule="auto"/>
        <w:ind w:firstLine="560"/>
      </w:pPr>
      <w:r>
        <w:continuationSeparator/>
      </w:r>
    </w:p>
  </w:footnote>
  <w:footnote w:id="0">
    <w:p w14:paraId="2343D0B3">
      <w:pPr>
        <w:pStyle w:val="4"/>
        <w:spacing w:before="156" w:after="156" w:line="240" w:lineRule="auto"/>
        <w:ind w:firstLine="360"/>
        <w:rPr>
          <w:rFonts w:hint="eastAsia"/>
        </w:rPr>
      </w:pPr>
      <w:r>
        <w:rPr>
          <w:rStyle w:val="7"/>
          <w:rFonts w:hint="eastAsia"/>
        </w:rPr>
        <w:footnoteRef/>
      </w:r>
      <w:r>
        <w:rPr>
          <w:rFonts w:hint="eastAsia"/>
        </w:rPr>
        <w:t xml:space="preserve"> 符芬菊：《当绩点为王“囚徒”该如何突围》,《北京青年报》,2020.10.26。</w:t>
      </w:r>
    </w:p>
  </w:footnote>
  <w:footnote w:id="1">
    <w:p w14:paraId="397D8820">
      <w:pPr>
        <w:pStyle w:val="4"/>
        <w:keepNext w:val="0"/>
        <w:keepLines w:val="0"/>
        <w:pageBreakBefore w:val="0"/>
        <w:widowControl/>
        <w:kinsoku/>
        <w:wordWrap/>
        <w:overflowPunct/>
        <w:topLinePunct w:val="0"/>
        <w:bidi w:val="0"/>
        <w:adjustRightInd/>
        <w:snapToGrid w:val="0"/>
        <w:spacing w:line="240" w:lineRule="auto"/>
        <w:ind w:firstLine="360"/>
        <w:textAlignment w:val="auto"/>
        <w:rPr>
          <w:rFonts w:hint="eastAsia"/>
        </w:rPr>
      </w:pPr>
      <w:r>
        <w:rPr>
          <w:rStyle w:val="7"/>
          <w:rFonts w:hint="eastAsia"/>
        </w:rPr>
        <w:footnoteRef/>
      </w:r>
      <w:r>
        <w:rPr>
          <w:rFonts w:hint="eastAsia"/>
        </w:rPr>
        <w:t xml:space="preserve"> 李翔：《详谈00后：了解年轻人是了解未来的最好方式》，新星出版社，2022年，第69页。</w:t>
      </w:r>
      <w:bookmarkStart w:id="0" w:name="_GoBack"/>
      <w:bookmarkEnd w:id="0"/>
    </w:p>
  </w:footnote>
  <w:footnote w:id="2">
    <w:p w14:paraId="3AF7D16D">
      <w:pPr>
        <w:pStyle w:val="4"/>
        <w:keepNext w:val="0"/>
        <w:keepLines w:val="0"/>
        <w:pageBreakBefore w:val="0"/>
        <w:widowControl/>
        <w:kinsoku/>
        <w:wordWrap/>
        <w:overflowPunct/>
        <w:topLinePunct w:val="0"/>
        <w:bidi w:val="0"/>
        <w:adjustRightInd/>
        <w:snapToGrid w:val="0"/>
        <w:spacing w:line="240" w:lineRule="auto"/>
        <w:ind w:firstLine="360"/>
        <w:textAlignment w:val="auto"/>
        <w:rPr>
          <w:rFonts w:hint="eastAsia"/>
        </w:rPr>
      </w:pPr>
      <w:r>
        <w:rPr>
          <w:rStyle w:val="7"/>
          <w:rFonts w:hint="eastAsia"/>
        </w:rPr>
        <w:footnoteRef/>
      </w:r>
      <w:r>
        <w:rPr>
          <w:rFonts w:hint="eastAsia"/>
        </w:rPr>
        <w:t xml:space="preserve"> </w:t>
      </w:r>
      <w:r>
        <w:t>北京春晖公益基金会</w:t>
      </w:r>
      <w:r>
        <w:rPr>
          <w:rFonts w:hint="eastAsia"/>
        </w:rPr>
        <w:t>：</w:t>
      </w:r>
      <w:r>
        <w:t>《困与纾 北京春晖博爱公益基金会困境儿童服务案例集》</w:t>
      </w:r>
      <w:r>
        <w:rPr>
          <w:rFonts w:hint="eastAsia"/>
        </w:rPr>
        <w:t>，2023年。</w:t>
      </w:r>
    </w:p>
  </w:footnote>
  <w:footnote w:id="3">
    <w:p w14:paraId="70B7BEF9">
      <w:pPr>
        <w:pStyle w:val="4"/>
        <w:keepNext w:val="0"/>
        <w:keepLines w:val="0"/>
        <w:pageBreakBefore w:val="0"/>
        <w:widowControl/>
        <w:kinsoku/>
        <w:wordWrap/>
        <w:overflowPunct/>
        <w:topLinePunct w:val="0"/>
        <w:bidi w:val="0"/>
        <w:adjustRightInd/>
        <w:snapToGrid w:val="0"/>
        <w:spacing w:line="240" w:lineRule="auto"/>
        <w:ind w:firstLine="360"/>
        <w:textAlignment w:val="auto"/>
        <w:rPr>
          <w:rFonts w:hint="eastAsia"/>
        </w:rPr>
      </w:pPr>
      <w:r>
        <w:rPr>
          <w:rStyle w:val="7"/>
          <w:rFonts w:hint="eastAsia"/>
        </w:rPr>
        <w:footnoteRef/>
      </w:r>
      <w:r>
        <w:rPr>
          <w:rFonts w:hint="eastAsia"/>
        </w:rPr>
        <w:t xml:space="preserve"> 北京大学国家发展研究院：《中国劳动力市场动态调查（CLDS）》，2020年。</w:t>
      </w:r>
    </w:p>
  </w:footnote>
  <w:footnote w:id="4">
    <w:p w14:paraId="6468C31D">
      <w:pPr>
        <w:pStyle w:val="4"/>
        <w:keepNext w:val="0"/>
        <w:keepLines w:val="0"/>
        <w:pageBreakBefore w:val="0"/>
        <w:widowControl/>
        <w:kinsoku/>
        <w:wordWrap/>
        <w:overflowPunct/>
        <w:topLinePunct w:val="0"/>
        <w:bidi w:val="0"/>
        <w:adjustRightInd/>
        <w:snapToGrid w:val="0"/>
        <w:spacing w:line="240" w:lineRule="auto"/>
        <w:ind w:firstLine="360"/>
        <w:textAlignment w:val="auto"/>
        <w:rPr>
          <w:rFonts w:hint="eastAsia"/>
        </w:rPr>
      </w:pPr>
      <w:r>
        <w:rPr>
          <w:rStyle w:val="7"/>
          <w:rFonts w:hint="eastAsia"/>
        </w:rPr>
        <w:footnoteRef/>
      </w:r>
      <w:r>
        <w:rPr>
          <w:rFonts w:hint="eastAsia"/>
        </w:rPr>
        <w:t xml:space="preserve"> </w:t>
      </w:r>
      <w:r>
        <w:t>复旦大学管理学院</w:t>
      </w:r>
      <w:r>
        <w:rPr>
          <w:rFonts w:hint="eastAsia"/>
        </w:rPr>
        <w:t>、</w:t>
      </w:r>
      <w:r>
        <w:t>中国社会科学院</w:t>
      </w:r>
      <w:r>
        <w:rPr>
          <w:rFonts w:hint="eastAsia"/>
        </w:rPr>
        <w:t>：《中国企业——员工匹配调查（CEES）》，2020年。</w:t>
      </w:r>
    </w:p>
  </w:footnote>
  <w:footnote w:id="5">
    <w:p w14:paraId="105ADB2F">
      <w:pPr>
        <w:pStyle w:val="4"/>
        <w:spacing w:before="156" w:after="156" w:line="240" w:lineRule="auto"/>
        <w:ind w:firstLine="360"/>
        <w:rPr>
          <w:rFonts w:hint="eastAsia"/>
        </w:rPr>
      </w:pPr>
      <w:r>
        <w:rPr>
          <w:rStyle w:val="7"/>
          <w:rFonts w:hint="eastAsia"/>
        </w:rPr>
        <w:footnoteRef/>
      </w:r>
      <w:r>
        <w:rPr>
          <w:rFonts w:hint="eastAsia"/>
        </w:rPr>
        <w:t xml:space="preserve"> 张雨婷、廖仪、钟卓伶、张月优：《“内卷化”效应下,大学生内卷焦虑现象及破局策略研究》,2022年，第151页。</w:t>
      </w:r>
    </w:p>
  </w:footnote>
  <w:footnote w:id="6">
    <w:p w14:paraId="32CE62CA">
      <w:pPr>
        <w:pStyle w:val="4"/>
        <w:spacing w:line="240" w:lineRule="auto"/>
        <w:ind w:firstLine="360"/>
        <w:rPr>
          <w:rFonts w:hint="eastAsia"/>
        </w:rPr>
      </w:pPr>
      <w:r>
        <w:rPr>
          <w:rStyle w:val="7"/>
          <w:rFonts w:hint="eastAsia"/>
        </w:rPr>
        <w:footnoteRef/>
      </w:r>
      <w:r>
        <w:rPr>
          <w:rFonts w:hint="eastAsia"/>
        </w:rPr>
        <w:t xml:space="preserve"> 张雨婷、廖仪、钟卓伶、张月优：《“内卷化”效应下,大学生内卷焦虑现象及破局策略研究》,2022年，第151页。</w:t>
      </w:r>
    </w:p>
  </w:footnote>
  <w:footnote w:id="7">
    <w:p w14:paraId="784D10FF">
      <w:pPr>
        <w:pStyle w:val="4"/>
        <w:spacing w:before="156" w:beforeLines="50" w:after="156" w:afterLines="50" w:line="240" w:lineRule="auto"/>
        <w:ind w:firstLine="360"/>
        <w:rPr>
          <w:rFonts w:hint="eastAsia"/>
        </w:rPr>
      </w:pPr>
      <w:r>
        <w:rPr>
          <w:rStyle w:val="7"/>
          <w:rFonts w:hint="eastAsia"/>
        </w:rPr>
        <w:footnoteRef/>
      </w:r>
      <w:r>
        <w:rPr>
          <w:rFonts w:hint="eastAsia"/>
        </w:rPr>
        <w:t xml:space="preserve"> 习近平：《</w:t>
      </w:r>
      <w:r>
        <w:t>中共中央政治局常务委员会召开会议</w:t>
      </w:r>
      <w:r>
        <w:rPr>
          <w:rFonts w:hint="eastAsia"/>
        </w:rPr>
        <w:t>上的报告》，新华社，</w:t>
      </w:r>
      <w:r>
        <w:t>https://m.thepaper.cn/newsDetail_forward_6570344.2020-03-18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ECC066">
    <w:pPr>
      <w:pStyle w:val="3"/>
      <w:spacing w:before="120" w:after="120"/>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B72146">
    <w:pPr>
      <w:pStyle w:val="3"/>
      <w:spacing w:before="120" w:after="120"/>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A3B92">
    <w:pPr>
      <w:pStyle w:val="3"/>
      <w:spacing w:before="120" w:after="120"/>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A33B7"/>
    <w:multiLevelType w:val="multilevel"/>
    <w:tmpl w:val="06BA33B7"/>
    <w:lvl w:ilvl="0" w:tentative="0">
      <w:start w:val="1"/>
      <w:numFmt w:val="japaneseCounting"/>
      <w:lvlText w:val="%1、"/>
      <w:lvlJc w:val="left"/>
      <w:pPr>
        <w:ind w:left="480" w:hanging="4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80576CF"/>
    <w:multiLevelType w:val="multilevel"/>
    <w:tmpl w:val="580576CF"/>
    <w:lvl w:ilvl="0" w:tentative="0">
      <w:start w:val="1"/>
      <w:numFmt w:val="japaneseCounting"/>
      <w:lvlText w:val="（%1）"/>
      <w:lvlJc w:val="left"/>
      <w:pPr>
        <w:ind w:left="1238" w:hanging="756"/>
      </w:pPr>
      <w:rPr>
        <w:rFonts w:hint="default"/>
      </w:rPr>
    </w:lvl>
    <w:lvl w:ilvl="1" w:tentative="0">
      <w:start w:val="1"/>
      <w:numFmt w:val="lowerLetter"/>
      <w:lvlText w:val="%2)"/>
      <w:lvlJc w:val="left"/>
      <w:pPr>
        <w:ind w:left="1362" w:hanging="440"/>
      </w:pPr>
    </w:lvl>
    <w:lvl w:ilvl="2" w:tentative="0">
      <w:start w:val="1"/>
      <w:numFmt w:val="lowerRoman"/>
      <w:lvlText w:val="%3."/>
      <w:lvlJc w:val="right"/>
      <w:pPr>
        <w:ind w:left="1802" w:hanging="440"/>
      </w:pPr>
    </w:lvl>
    <w:lvl w:ilvl="3" w:tentative="0">
      <w:start w:val="1"/>
      <w:numFmt w:val="decimal"/>
      <w:lvlText w:val="%4."/>
      <w:lvlJc w:val="left"/>
      <w:pPr>
        <w:ind w:left="2242" w:hanging="440"/>
      </w:pPr>
    </w:lvl>
    <w:lvl w:ilvl="4" w:tentative="0">
      <w:start w:val="1"/>
      <w:numFmt w:val="lowerLetter"/>
      <w:lvlText w:val="%5)"/>
      <w:lvlJc w:val="left"/>
      <w:pPr>
        <w:ind w:left="2682" w:hanging="440"/>
      </w:pPr>
    </w:lvl>
    <w:lvl w:ilvl="5" w:tentative="0">
      <w:start w:val="1"/>
      <w:numFmt w:val="lowerRoman"/>
      <w:lvlText w:val="%6."/>
      <w:lvlJc w:val="right"/>
      <w:pPr>
        <w:ind w:left="3122" w:hanging="440"/>
      </w:pPr>
    </w:lvl>
    <w:lvl w:ilvl="6" w:tentative="0">
      <w:start w:val="1"/>
      <w:numFmt w:val="decimal"/>
      <w:lvlText w:val="%7."/>
      <w:lvlJc w:val="left"/>
      <w:pPr>
        <w:ind w:left="3562" w:hanging="440"/>
      </w:pPr>
    </w:lvl>
    <w:lvl w:ilvl="7" w:tentative="0">
      <w:start w:val="1"/>
      <w:numFmt w:val="lowerLetter"/>
      <w:lvlText w:val="%8)"/>
      <w:lvlJc w:val="left"/>
      <w:pPr>
        <w:ind w:left="4002" w:hanging="440"/>
      </w:pPr>
    </w:lvl>
    <w:lvl w:ilvl="8" w:tentative="0">
      <w:start w:val="1"/>
      <w:numFmt w:val="lowerRoman"/>
      <w:lvlText w:val="%9."/>
      <w:lvlJc w:val="right"/>
      <w:pPr>
        <w:ind w:left="4442" w:hanging="440"/>
      </w:pPr>
    </w:lvl>
  </w:abstractNum>
  <w:abstractNum w:abstractNumId="2">
    <w:nsid w:val="7E6B1489"/>
    <w:multiLevelType w:val="multilevel"/>
    <w:tmpl w:val="7E6B1489"/>
    <w:lvl w:ilvl="0" w:tentative="0">
      <w:start w:val="1"/>
      <w:numFmt w:val="japaneseCounting"/>
      <w:lvlText w:val="（%1）"/>
      <w:lvlJc w:val="left"/>
      <w:pPr>
        <w:ind w:left="1238" w:hanging="756"/>
      </w:pPr>
      <w:rPr>
        <w:rFonts w:hint="default"/>
      </w:rPr>
    </w:lvl>
    <w:lvl w:ilvl="1" w:tentative="0">
      <w:start w:val="1"/>
      <w:numFmt w:val="lowerLetter"/>
      <w:lvlText w:val="%2)"/>
      <w:lvlJc w:val="left"/>
      <w:pPr>
        <w:ind w:left="1362" w:hanging="440"/>
      </w:pPr>
    </w:lvl>
    <w:lvl w:ilvl="2" w:tentative="0">
      <w:start w:val="1"/>
      <w:numFmt w:val="lowerRoman"/>
      <w:lvlText w:val="%3."/>
      <w:lvlJc w:val="right"/>
      <w:pPr>
        <w:ind w:left="1802" w:hanging="440"/>
      </w:pPr>
    </w:lvl>
    <w:lvl w:ilvl="3" w:tentative="0">
      <w:start w:val="1"/>
      <w:numFmt w:val="decimal"/>
      <w:lvlText w:val="%4."/>
      <w:lvlJc w:val="left"/>
      <w:pPr>
        <w:ind w:left="2242" w:hanging="440"/>
      </w:pPr>
    </w:lvl>
    <w:lvl w:ilvl="4" w:tentative="0">
      <w:start w:val="1"/>
      <w:numFmt w:val="lowerLetter"/>
      <w:lvlText w:val="%5)"/>
      <w:lvlJc w:val="left"/>
      <w:pPr>
        <w:ind w:left="2682" w:hanging="440"/>
      </w:pPr>
    </w:lvl>
    <w:lvl w:ilvl="5" w:tentative="0">
      <w:start w:val="1"/>
      <w:numFmt w:val="lowerRoman"/>
      <w:lvlText w:val="%6."/>
      <w:lvlJc w:val="right"/>
      <w:pPr>
        <w:ind w:left="3122" w:hanging="440"/>
      </w:pPr>
    </w:lvl>
    <w:lvl w:ilvl="6" w:tentative="0">
      <w:start w:val="1"/>
      <w:numFmt w:val="decimal"/>
      <w:lvlText w:val="%7."/>
      <w:lvlJc w:val="left"/>
      <w:pPr>
        <w:ind w:left="3562" w:hanging="440"/>
      </w:pPr>
    </w:lvl>
    <w:lvl w:ilvl="7" w:tentative="0">
      <w:start w:val="1"/>
      <w:numFmt w:val="lowerLetter"/>
      <w:lvlText w:val="%8)"/>
      <w:lvlJc w:val="left"/>
      <w:pPr>
        <w:ind w:left="4002" w:hanging="440"/>
      </w:pPr>
    </w:lvl>
    <w:lvl w:ilvl="8" w:tentative="0">
      <w:start w:val="1"/>
      <w:numFmt w:val="lowerRoman"/>
      <w:lvlText w:val="%9."/>
      <w:lvlJc w:val="right"/>
      <w:pPr>
        <w:ind w:left="4442" w:hanging="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6"/>
    <w:footnote w:id="17"/>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77"/>
    <w:rsid w:val="00032A67"/>
    <w:rsid w:val="0003625B"/>
    <w:rsid w:val="000F0491"/>
    <w:rsid w:val="00116B63"/>
    <w:rsid w:val="00160047"/>
    <w:rsid w:val="001631C2"/>
    <w:rsid w:val="001909C4"/>
    <w:rsid w:val="0019437E"/>
    <w:rsid w:val="001A70DA"/>
    <w:rsid w:val="001B7566"/>
    <w:rsid w:val="001E652C"/>
    <w:rsid w:val="002B26B0"/>
    <w:rsid w:val="002C5A79"/>
    <w:rsid w:val="0031611D"/>
    <w:rsid w:val="0032537D"/>
    <w:rsid w:val="00331C08"/>
    <w:rsid w:val="00340A66"/>
    <w:rsid w:val="00377F15"/>
    <w:rsid w:val="0039088D"/>
    <w:rsid w:val="003A2E09"/>
    <w:rsid w:val="00413C53"/>
    <w:rsid w:val="00480677"/>
    <w:rsid w:val="00490DB7"/>
    <w:rsid w:val="004A450D"/>
    <w:rsid w:val="005200E1"/>
    <w:rsid w:val="005920D5"/>
    <w:rsid w:val="005A34EF"/>
    <w:rsid w:val="00633D01"/>
    <w:rsid w:val="00681E41"/>
    <w:rsid w:val="0068258E"/>
    <w:rsid w:val="00687EF2"/>
    <w:rsid w:val="00696F66"/>
    <w:rsid w:val="00697B42"/>
    <w:rsid w:val="006A710B"/>
    <w:rsid w:val="006B6D39"/>
    <w:rsid w:val="006C29B7"/>
    <w:rsid w:val="006C5741"/>
    <w:rsid w:val="0070379C"/>
    <w:rsid w:val="00730534"/>
    <w:rsid w:val="00794F3E"/>
    <w:rsid w:val="0081610E"/>
    <w:rsid w:val="00841964"/>
    <w:rsid w:val="008A0F15"/>
    <w:rsid w:val="008B7191"/>
    <w:rsid w:val="00946EE5"/>
    <w:rsid w:val="00981E25"/>
    <w:rsid w:val="009976B0"/>
    <w:rsid w:val="009F44DA"/>
    <w:rsid w:val="009F73B4"/>
    <w:rsid w:val="00A315AE"/>
    <w:rsid w:val="00A34251"/>
    <w:rsid w:val="00A9551A"/>
    <w:rsid w:val="00AE702D"/>
    <w:rsid w:val="00B37D1D"/>
    <w:rsid w:val="00B64606"/>
    <w:rsid w:val="00B92787"/>
    <w:rsid w:val="00BB1A4A"/>
    <w:rsid w:val="00C03420"/>
    <w:rsid w:val="00C03956"/>
    <w:rsid w:val="00C2611D"/>
    <w:rsid w:val="00D45DE5"/>
    <w:rsid w:val="00D70EEB"/>
    <w:rsid w:val="00E80F08"/>
    <w:rsid w:val="00F072DE"/>
    <w:rsid w:val="00F866ED"/>
    <w:rsid w:val="789D6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宋体" w:hAnsi="宋体" w:eastAsia="宋体" w:cstheme="minorBidi"/>
      <w:kern w:val="2"/>
      <w:sz w:val="28"/>
      <w:szCs w:val="28"/>
      <w:lang w:val="en-US" w:eastAsia="zh-CN" w:bidi="ar-SA"/>
      <w14:ligatures w14:val="standardContextual"/>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spacing w:line="240" w:lineRule="auto"/>
    </w:pPr>
    <w:rPr>
      <w:sz w:val="18"/>
      <w:szCs w:val="18"/>
    </w:rPr>
  </w:style>
  <w:style w:type="paragraph" w:styleId="3">
    <w:name w:val="header"/>
    <w:basedOn w:val="1"/>
    <w:link w:val="10"/>
    <w:unhideWhenUsed/>
    <w:qFormat/>
    <w:uiPriority w:val="99"/>
    <w:pPr>
      <w:tabs>
        <w:tab w:val="center" w:pos="4153"/>
        <w:tab w:val="right" w:pos="8306"/>
      </w:tabs>
      <w:snapToGrid w:val="0"/>
      <w:spacing w:line="240" w:lineRule="auto"/>
    </w:pPr>
    <w:rPr>
      <w:sz w:val="18"/>
      <w:szCs w:val="18"/>
    </w:rPr>
  </w:style>
  <w:style w:type="paragraph" w:styleId="4">
    <w:name w:val="footnote text"/>
    <w:basedOn w:val="1"/>
    <w:link w:val="8"/>
    <w:semiHidden/>
    <w:unhideWhenUsed/>
    <w:uiPriority w:val="99"/>
    <w:pPr>
      <w:snapToGrid w:val="0"/>
    </w:pPr>
    <w:rPr>
      <w:sz w:val="18"/>
      <w:szCs w:val="18"/>
    </w:rPr>
  </w:style>
  <w:style w:type="character" w:styleId="7">
    <w:name w:val="footnote reference"/>
    <w:basedOn w:val="6"/>
    <w:semiHidden/>
    <w:unhideWhenUsed/>
    <w:uiPriority w:val="99"/>
    <w:rPr>
      <w:vertAlign w:val="superscript"/>
    </w:rPr>
  </w:style>
  <w:style w:type="character" w:customStyle="1" w:styleId="8">
    <w:name w:val="脚注文本 字符"/>
    <w:basedOn w:val="6"/>
    <w:link w:val="4"/>
    <w:semiHidden/>
    <w:uiPriority w:val="99"/>
    <w:rPr>
      <w:sz w:val="18"/>
      <w:szCs w:val="18"/>
    </w:rPr>
  </w:style>
  <w:style w:type="paragraph" w:styleId="9">
    <w:name w:val="List Paragraph"/>
    <w:basedOn w:val="1"/>
    <w:qFormat/>
    <w:uiPriority w:val="34"/>
    <w:pPr>
      <w:ind w:firstLine="420"/>
    </w:pPr>
  </w:style>
  <w:style w:type="character" w:customStyle="1" w:styleId="10">
    <w:name w:val="页眉 字符"/>
    <w:basedOn w:val="6"/>
    <w:link w:val="3"/>
    <w:uiPriority w:val="99"/>
    <w:rPr>
      <w:sz w:val="18"/>
      <w:szCs w:val="18"/>
    </w:rPr>
  </w:style>
  <w:style w:type="character" w:customStyle="1" w:styleId="11">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96BDE-257A-4E49-89A6-7AC6BB8EA814}">
  <ds:schemaRefs/>
</ds:datastoreItem>
</file>

<file path=docProps/app.xml><?xml version="1.0" encoding="utf-8"?>
<Properties xmlns="http://schemas.openxmlformats.org/officeDocument/2006/extended-properties" xmlns:vt="http://schemas.openxmlformats.org/officeDocument/2006/docPropsVTypes">
  <Template>Normal</Template>
  <Pages>5</Pages>
  <Words>2989</Words>
  <Characters>3036</Characters>
  <Lines>21</Lines>
  <Paragraphs>6</Paragraphs>
  <TotalTime>2698</TotalTime>
  <ScaleCrop>false</ScaleCrop>
  <LinksUpToDate>false</LinksUpToDate>
  <CharactersWithSpaces>3038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2024-12-02T09:20:00Z</dcterms:created>
  <dc:creator>若尘 王</dc:creator>
  <cp:lastModifiedBy>Irene</cp:lastModifiedBy>
  <dcterms:modified xsi:type="dcterms:W3CDTF">2024-12-06T02:31:29Z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54C2EB59E811451F98375BA12CD24728_12</vt:lpwstr>
  </property>
</Properties>
</file>