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通用软件开发文档模板</w:t>
      </w:r>
    </w:p>
    <w:p>
      <w:pPr>
        <w:spacing w:before="680" w:after="200"/>
        <w:jc w:val="center"/>
      </w:pPr>
      <w:r>
        <w:rPr>
          <w:rFonts w:ascii="Calibri" w:hAnsi="Calibri" w:eastAsia="Microsoft YaHei"/>
          <w:b/>
          <w:color w:val="1F2937"/>
          <w:sz w:val="48"/>
        </w:rPr>
        <w:t>软件业务领域方案设计说明书（SDS）</w:t>
      </w:r>
    </w:p>
    <w:p>
      <w:pPr>
        <w:spacing w:after="680"/>
        <w:jc w:val="center"/>
      </w:pPr>
      <w:r>
        <w:rPr>
          <w:rFonts w:ascii="Calibri" w:hAnsi="Calibri" w:eastAsia="Microsoft YaHei"/>
          <w:color w:val="667085"/>
          <w:sz w:val="22"/>
        </w:rPr>
        <w:t>SDS  |  BUSINESS DOMAIN SOLUTION DESIGN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业务领域／功能模块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SDS-</w:t>
            </w:r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〈领域简称〉</w:t>
            </w:r>
            <w:r>
              <w:rPr>
                <w:rFonts w:ascii="Calibri" w:hAnsi="Calibri" w:eastAsia="Microsoft YaHei"/>
                <w:color w:val="1F2937"/>
                <w:sz w:val="20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文档版本／状态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V0.1／草稿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20"/>
              </w:rPr>
              <w:t>编制／批准日期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i/>
                <w:color w:val="7A5A00"/>
                <w:sz w:val="20"/>
              </w:rPr>
              <w:t>〈填写〉</w:t>
            </w:r>
          </w:p>
        </w:tc>
      </w:tr>
    </w:tbl>
    <w:p>
      <w:pPr>
        <w:spacing w:before="280"/>
        <w:jc w:val="center"/>
      </w:pPr>
      <w:r>
        <w:rPr>
          <w:rFonts w:ascii="Calibri" w:hAnsi="Calibri" w:eastAsia="Microsoft YaHei"/>
          <w:i/>
          <w:color w:val="667085"/>
          <w:sz w:val="18"/>
        </w:rPr>
        <w:t>正式发布前应替换或删除全部〈填写〉提示和示例行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目录</w:t>
      </w:r>
    </w:p>
    <w:p>
      <w:r>
        <w:rPr>
          <w:rFonts w:ascii="Calibri" w:hAnsi="Calibri" w:eastAsia="Microsoft YaHei"/>
          <w:i/>
          <w:color w:val="667085"/>
          <w:sz w:val="20"/>
        </w:rPr>
        <w:fldChar w:fldCharType="begin"/>
        <w:instrText xml:space="preserve"> TOC \o "1-3" \h \z \u </w:instrText>
        <w:fldChar w:fldCharType="separate"/>
        <w:t>在Word中右键更新目录</w:t>
        <w:fldChar w:fldCharType="end"/>
      </w:r>
    </w:p>
    <w:p>
      <w:r>
        <w:br w:type="page"/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模板用途：定义一个业务领域或大型功能模块“如何组织业务能力并形成整体解决方案”。</w:t>
      </w:r>
      <w:r>
        <w:br/>
      </w:r>
      <w:r>
        <w:rPr>
          <w:rFonts w:ascii="Calibri" w:hAnsi="Calibri" w:eastAsia="Microsoft YaHei"/>
          <w:color w:val="667085"/>
          <w:sz w:val="19"/>
        </w:rPr>
        <w:t>文档主轴：领域定位、能力地图、业务对象、业务规则、业务场景和跨领域协作。流程、状态、数据、接口与技术机制用于支撑业务方案。</w:t>
      </w:r>
      <w:r>
        <w:br/>
      </w:r>
      <w:r>
        <w:rPr>
          <w:rFonts w:ascii="Calibri" w:hAnsi="Calibri" w:eastAsia="Microsoft YaHei"/>
          <w:color w:val="667085"/>
          <w:sz w:val="19"/>
        </w:rPr>
        <w:t>阶段边界：本文件引用SRS需求基线，不重新定义或扩大需求范围；API参数、物理DDL、部署脚本和代码结构可以进入专项详细设计。</w:t>
      </w:r>
      <w:r>
        <w:br/>
      </w:r>
      <w:r>
        <w:rPr>
          <w:rFonts w:ascii="Calibri" w:hAnsi="Calibri" w:eastAsia="Microsoft YaHei"/>
          <w:color w:val="667085"/>
          <w:sz w:val="19"/>
        </w:rPr>
        <w:t>使用规则：标记为“按需”的章节可以裁剪。小型功能允许简化领域模型，但必须保留业务目标、边界、规则、实现映射和追溯关系。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文档控制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业务领域／功能模块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软件业务领域方案设计说明书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SDS-</w:t>
            </w:r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〈领域简称〉</w:t>
            </w:r>
            <w:r>
              <w:rPr>
                <w:rFonts w:ascii="Calibri" w:hAnsi="Calibri" w:eastAsia="Microsoft YaHei"/>
                <w:color w:val="1F2937"/>
                <w:sz w:val="19"/>
              </w:rPr>
              <w:t>-001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V0.1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草稿／评审中／已基线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对应需求基线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SRS版本、标签或提交号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设计适用版本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编制人／日期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批准人／日期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修订记录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变更范围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变更原因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编制人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批准人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V0.1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初始版本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1. 文档说明与设计输入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1.1 设计目的</w:t>
      </w:r>
    </w:p>
    <w:p>
      <w:r>
        <w:rPr>
          <w:rFonts w:ascii="Calibri" w:hAnsi="Calibri" w:eastAsia="Microsoft YaHei"/>
          <w:i/>
          <w:color w:val="7A5A00"/>
        </w:rPr>
        <w:t>〈说明本方案覆盖的业务领域、大型功能模块、适用版本及希望解决的方案组织问题。〉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1.2 文档定位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4332"/>
        <w:gridCol w:w="2708"/>
      </w:tblGrid>
      <w:tr>
        <w:trPr>
          <w:tblHeader w:val="true"/>
        </w:trPr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</w:t>
            </w:r>
          </w:p>
        </w:tc>
        <w:tc>
          <w:tcPr>
            <w:tcW w:type="dxa" w:w="43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回答的问题</w:t>
            </w:r>
          </w:p>
        </w:tc>
        <w:tc>
          <w:tcPr>
            <w:tcW w:type="dxa" w:w="27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本文档引用或输出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软件需求规格说明书（SRS）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系统必须做什么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输入：目标、范围、需求、规则和验收标准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业务领域方案设计说明书（SDS）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业务能力如何组织并形成整体解决方案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输出：领域、能力、对象、场景、协作及实现映射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技术详细设计／专项设计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技术上如何具体落地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输出：API契约、物理表、组件、算法、部署等细节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测试与验收方案（TAS）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如何证明实现正确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使用SDS中的业务方案和测试关注点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1.3 设计输入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输入资料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版本／基线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主要内容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使用方式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软件需求规格说明书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需求、规则、验收标准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作为范围与追溯输入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业务制度／运营规范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组织职责、业务规则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作为领域规则输入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架构／平台规范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技术与平台约束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作为实现约束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安全、合规或行业规范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合规要求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作为控制要求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1.4 设计范围与裁剪说明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本文覆盖：</w:t>
      </w:r>
      <w:r>
        <w:rPr>
          <w:rFonts w:ascii="Calibri" w:hAnsi="Calibri" w:eastAsia="Microsoft YaHei"/>
          <w:i/>
          <w:color w:val="7A5A00"/>
        </w:rPr>
        <w:t>〈填写业务领域、子模块和主要场景。〉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本文不覆盖：</w:t>
      </w:r>
      <w:r>
        <w:rPr>
          <w:rFonts w:ascii="Calibri" w:hAnsi="Calibri" w:eastAsia="Microsoft YaHei"/>
          <w:i/>
          <w:color w:val="7A5A00"/>
        </w:rPr>
        <w:t>〈填写其他领域、外部系统内部实现及专项详细设计。〉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已裁剪章节：</w:t>
      </w:r>
      <w:r>
        <w:rPr>
          <w:rFonts w:ascii="Calibri" w:hAnsi="Calibri" w:eastAsia="Microsoft YaHei"/>
          <w:i/>
          <w:color w:val="7A5A00"/>
        </w:rPr>
        <w:t>〈填写或“无”。〉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专项附件：</w:t>
      </w:r>
      <w:r>
        <w:rPr>
          <w:rFonts w:ascii="Calibri" w:hAnsi="Calibri" w:eastAsia="Microsoft YaHei"/>
          <w:i/>
          <w:color w:val="7A5A00"/>
        </w:rPr>
        <w:t>〈填写API、数据、算法、迁移、部署等附件或“无”。〉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1.5 术语与业务语言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业务术语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统一定义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禁止混用的名称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〈填写或“无”〉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2. 业务背景、设计目标与约束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2.1 业务背景与现状</w:t>
      </w:r>
    </w:p>
    <w:p>
      <w:r>
        <w:rPr>
          <w:rFonts w:ascii="Calibri" w:hAnsi="Calibri" w:eastAsia="Microsoft YaHei"/>
          <w:i/>
          <w:color w:val="7A5A00"/>
        </w:rPr>
        <w:t>〈说明该领域在整体业务中的位置、当前运行方式、主要矛盾及本次方案调整原因。避免重复整份SRS。〉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2.2 业务目标与方案目标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目标描述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业务价值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衡量指标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设计响应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OBJ-001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〈对应能力或设计原则〉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2.3 成功指标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业务成功：</w:t>
      </w:r>
      <w:r>
        <w:rPr>
          <w:rFonts w:ascii="Calibri" w:hAnsi="Calibri" w:eastAsia="Microsoft YaHei"/>
          <w:i/>
          <w:color w:val="7A5A00"/>
        </w:rPr>
        <w:t>〈说明效率、质量、风险、收入、成本或体验目标。〉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产品成功：</w:t>
      </w:r>
      <w:r>
        <w:rPr>
          <w:rFonts w:ascii="Calibri" w:hAnsi="Calibri" w:eastAsia="Microsoft YaHei"/>
          <w:i/>
          <w:color w:val="7A5A00"/>
        </w:rPr>
        <w:t>〈说明能力覆盖、用户采用或流程闭环目标。〉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工程成功：</w:t>
      </w:r>
      <w:r>
        <w:rPr>
          <w:rFonts w:ascii="Calibri" w:hAnsi="Calibri" w:eastAsia="Microsoft YaHei"/>
          <w:i/>
          <w:color w:val="7A5A00"/>
        </w:rPr>
        <w:t>〈说明性能、可靠性、可维护性或演进目标。〉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2.4 设计原则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业务对象、规则和责任边界保持清晰。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大模块按业务能力拆分，不以页面、表或接口作为首要边界。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跨领域协作通过明确契约完成，避免共享隐含规则和数据所有权。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差异化业务优先通过策略、配置或模板承载，不复制整套功能。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所有重要设计均可追溯到需求、约束或已确认决策。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2.5 约束、假设与决策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内容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影响范围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CON-001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业务／技术／合规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SRS／制度／DEC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已确认／待确认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3. 领域定位、范围与上下文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3.1 领域定位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领域名称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领域使命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〈一句话说明领域存在的价值。〉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主要服务对象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核心业务结果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领域负责人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〈业务负责人／产品负责人〉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领域类型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核心业务域／支撑业务域／通用能力域／分析域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3.2 领域范围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领域负责：</w:t>
      </w:r>
      <w:r>
        <w:rPr>
          <w:rFonts w:ascii="Calibri" w:hAnsi="Calibri" w:eastAsia="Microsoft YaHei"/>
          <w:i/>
          <w:color w:val="7A5A00"/>
        </w:rPr>
        <w:t>〈列出本领域拥有的业务职责。〉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领域不负责：</w:t>
      </w:r>
      <w:r>
        <w:rPr>
          <w:rFonts w:ascii="Calibri" w:hAnsi="Calibri" w:eastAsia="Microsoft YaHei"/>
          <w:i/>
          <w:color w:val="7A5A00"/>
        </w:rPr>
        <w:t>〈列出由其他领域承担的职责。〉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共同治理事项：</w:t>
      </w:r>
      <w:r>
        <w:rPr>
          <w:rFonts w:ascii="Calibri" w:hAnsi="Calibri" w:eastAsia="Microsoft YaHei"/>
          <w:i/>
          <w:color w:val="7A5A00"/>
        </w:rPr>
        <w:t>〈列出需要跨领域共同决策的事项。〉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3.3 领域上下文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相关方／领域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与本领域关系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本领域接收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本领域提供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数据责任方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〈上游领域〉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上游／下游／协作／监管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3.4 业务边界判断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4332"/>
        <w:gridCol w:w="2708"/>
      </w:tblGrid>
      <w:tr>
        <w:trPr>
          <w:tblHeader w:val="true"/>
        </w:trPr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判断维度</w:t>
            </w:r>
          </w:p>
        </w:tc>
        <w:tc>
          <w:tcPr>
            <w:tcW w:type="dxa" w:w="43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本领域规则</w:t>
            </w:r>
          </w:p>
        </w:tc>
        <w:tc>
          <w:tcPr>
            <w:tcW w:type="dxa" w:w="27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边界外处理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业务决策权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〈本领域可以决定什么〉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〈需要谁决定〉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数据所有权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〈本领域拥有的数据〉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〈只读或引用的数据〉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生命周期责任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〈本领域负责的生命周期区间〉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〈交接条件〉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对外承诺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〈本领域提供的结果或服务〉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〈不承诺事项〉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3.5 领域上下文图</w:t>
      </w:r>
    </w:p>
    <w:p>
      <w:r>
        <w:rPr>
          <w:rFonts w:ascii="Calibri" w:hAnsi="Calibri" w:eastAsia="Microsoft YaHei"/>
          <w:i/>
          <w:color w:val="7A5A00"/>
        </w:rPr>
        <w:t>〈插入领域上下文图，展示本领域、相邻领域、外部参与者、外部系统和主要信息流。〉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4. 业务能力地图与子模块划分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4.1 业务能力分层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能力编号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一级能力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二级能力／子能力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能力类型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业务价值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对应需求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核心／支撑／通用／分析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FR／NFR编号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4.2 能力关系</w:t>
      </w:r>
    </w:p>
    <w:p>
      <w:r>
        <w:rPr>
          <w:rFonts w:ascii="Calibri" w:hAnsi="Calibri" w:eastAsia="Microsoft YaHei"/>
          <w:i/>
          <w:color w:val="7A5A00"/>
        </w:rPr>
        <w:t>〈说明能力之间的前置、依赖、组合、互斥和可选关系。大型领域应附能力地图。〉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4.3 子模块划分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子模块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承载能力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主要职责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核心对象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对外能力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不负责事项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4.4 能力与版本规划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能力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当前版本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后续版本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前置条件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演进方向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〈详细建设范围〉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〈范围或方向〉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4.5 能力裁剪与组合规则</w:t>
      </w:r>
    </w:p>
    <w:p>
      <w:r>
        <w:rPr>
          <w:rFonts w:ascii="Calibri" w:hAnsi="Calibri" w:eastAsia="Microsoft YaHei"/>
          <w:i/>
          <w:color w:val="7A5A00"/>
        </w:rPr>
        <w:t>〈说明不同客户、组织、项目类型、产品版本或部署模式下，哪些能力必选、可选、互斥或按条件启用。〉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5. 角色、责任与核心业务场景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5.1 角色责任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角色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业务责任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发起／处理／审批／查看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关注信息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数据范围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5.2 核心业务场景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场景编号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场景名称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业务目标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参与角色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涉及能力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业务结果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SCN-001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5.3 场景覆盖矩阵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正常路径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关键分支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关键异常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对应需求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设计章节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SCN-001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FR编号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BD编号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5.4 角色协作与职责冲突</w:t>
      </w:r>
    </w:p>
    <w:p>
      <w:r>
        <w:rPr>
          <w:rFonts w:ascii="Calibri" w:hAnsi="Calibri" w:eastAsia="Microsoft YaHei"/>
          <w:i/>
          <w:color w:val="7A5A00"/>
        </w:rPr>
        <w:t>〈说明职责分离、多人协作、代理处理、授权期限、责任交接及潜在职责冲突。〉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6. 领域模型与核心业务对象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本章不强制采用某种架构方法。“聚合、实体、值对象”可以替换为团队熟悉的“业务对象组、主对象、明细对象”，但必须表达一致性边界和对象责任。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6.1 领域概念模型</w:t>
      </w:r>
    </w:p>
    <w:p>
      <w:r>
        <w:rPr>
          <w:rFonts w:ascii="Calibri" w:hAnsi="Calibri" w:eastAsia="Microsoft YaHei"/>
          <w:i/>
          <w:color w:val="7A5A00"/>
        </w:rPr>
        <w:t>〈插入领域概念图，展示核心对象、对象关系、业务责任和主要信息流，不出现物理表名。〉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6.2 聚合／业务对象组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聚合／对象组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根对象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包含对象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一致性边界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主要业务动作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所属子模块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6.3 核心对象定义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业务含义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唯一身份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关键属性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生命周期责任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实体／值对象／规则对象／记录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6.4 对象关系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主体对象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关系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客体对象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基数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关系规则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解除／失效条件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包含／归属／引用／关联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1:1／1:N／N:M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6.5 对象身份与数据归属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业务唯一标识：</w:t>
      </w:r>
      <w:r>
        <w:rPr>
          <w:rFonts w:ascii="Calibri" w:hAnsi="Calibri" w:eastAsia="Microsoft YaHei"/>
          <w:i/>
          <w:color w:val="7A5A00"/>
        </w:rPr>
        <w:t>〈填写生成、引用和防重复规则。〉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主数据来源：</w:t>
      </w:r>
      <w:r>
        <w:rPr>
          <w:rFonts w:ascii="Calibri" w:hAnsi="Calibri" w:eastAsia="Microsoft YaHei"/>
          <w:i/>
          <w:color w:val="7A5A00"/>
        </w:rPr>
        <w:t>〈填写本领域创建、外部同步或共同治理。〉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引用数据：</w:t>
      </w:r>
      <w:r>
        <w:rPr>
          <w:rFonts w:ascii="Calibri" w:hAnsi="Calibri" w:eastAsia="Microsoft YaHei"/>
          <w:i/>
          <w:color w:val="7A5A00"/>
        </w:rPr>
        <w:t>〈说明只保存引用还是保留必要快照。〉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历史和版本：</w:t>
      </w:r>
      <w:r>
        <w:rPr>
          <w:rFonts w:ascii="Calibri" w:hAnsi="Calibri" w:eastAsia="Microsoft YaHei"/>
          <w:i/>
          <w:color w:val="7A5A00"/>
        </w:rPr>
        <w:t>〈说明对象变化如何保留历史。〉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删除与归档：</w:t>
      </w:r>
      <w:r>
        <w:rPr>
          <w:rFonts w:ascii="Calibri" w:hAnsi="Calibri" w:eastAsia="Microsoft YaHei"/>
          <w:i/>
          <w:color w:val="7A5A00"/>
        </w:rPr>
        <w:t>〈说明何时允许删除、失效或归档。〉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7. 生命周期、状态与业务规则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7.1 业务生命周期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业务目标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允许动作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进入条件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完成条件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责任角色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7.2 关键对象状态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业务动作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目标状态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适用角色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业务条件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不满足时处理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7.3 业务规则目录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规则内容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适用对象／场景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可否配置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BR-XXX-001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是／否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SRS／制度／DEC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7.4 业务不变量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业务不变量是在任何流程、入口或接口下都不能被破坏的约束，例如“已核销金额不得超过可核销金额”。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不变量编号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必须始终成立的条件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影响对象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校验时机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违反时业务结果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INV-001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创建／修改／状态变更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拒绝／回退／转人工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7.5 计算、编号和时间规则（按需）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规则类型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规则说明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精度／时区／周期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变更方式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历史影响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金额／数量／评分／编号／时效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配置／版本／变更审批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8. 大功能模块／业务能力详细方案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复制本节，为每个需要独立评审的大功能模块或能力组建立一个设计单元。一个设计单元可以包含多个子能力、多个业务对象、多个流程和多个状态机，不要求与单一页面、接口或数据库表一一对应。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 xml:space="preserve">BD-XXX-001 </w:t>
      </w:r>
      <w:r>
        <w:rPr>
          <w:rFonts w:ascii="Calibri" w:hAnsi="Calibri" w:eastAsia="Microsoft YaHei"/>
          <w:i/>
          <w:color w:val="7A5A00"/>
        </w:rPr>
        <w:t>〈业务领域／功能模块名称〉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基本信息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rPr>
          <w:tblHeader w:val="true"/>
        </w:trP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业务能力编号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CAP-XXX／能力组编号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对应需求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FR／NFR／IR编号集合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所属领域／子模块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主要业务负责人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主要使用角色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适用版本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方案状态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草拟／待评审／已确认／已实现</w:t>
            </w:r>
          </w:p>
        </w:tc>
      </w:tr>
      <w:tr>
        <w:tc>
          <w:tcPr>
            <w:tcW w:type="dxa" w:w="2436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关联设计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其他BD／DEC／专项设计编号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业务定位与目标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业务定位：</w:t>
      </w:r>
      <w:r>
        <w:rPr>
          <w:rFonts w:ascii="Calibri" w:hAnsi="Calibri" w:eastAsia="Microsoft YaHei"/>
          <w:i/>
          <w:color w:val="7A5A00"/>
        </w:rPr>
        <w:t>〈说明该模块在领域中的职责。〉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解决的问题：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预期业务结果：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成功指标：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范围与责任边界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3068"/>
        <w:gridCol w:w="1985"/>
        <w:gridCol w:w="2528"/>
      </w:tblGrid>
      <w:tr>
        <w:trPr>
          <w:tblHeader w:val="true"/>
        </w:trPr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事项</w:t>
            </w:r>
          </w:p>
        </w:tc>
        <w:tc>
          <w:tcPr>
            <w:tcW w:type="dxa" w:w="30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本模块负责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本模块不负责</w:t>
            </w:r>
          </w:p>
        </w:tc>
        <w:tc>
          <w:tcPr>
            <w:tcW w:type="dxa" w:w="2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协作方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3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  <w:tc>
          <w:tcPr>
            <w:tcW w:type="dxa" w:w="2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9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能力分解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子能力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业务目的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主要输入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主要输出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前置／依赖能力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〈填写或“无”〉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角色与场景方案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参与角色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触发条件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使用的子能力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业务结果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对应需求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FR编号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核心对象及变化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业务对象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本场景中的职责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创建／读取／变更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关键变化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所有权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C／R／U／失效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本模块／其他领域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业务规则与不变量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适用规则：</w:t>
      </w:r>
      <w:r>
        <w:rPr>
          <w:rFonts w:ascii="Calibri" w:hAnsi="Calibri" w:eastAsia="Microsoft YaHei"/>
          <w:i/>
          <w:color w:val="7A5A00"/>
        </w:rPr>
        <w:t>〈列出BR编号及用途。〉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必须保持的不变量：</w:t>
      </w:r>
      <w:r>
        <w:rPr>
          <w:rFonts w:ascii="Calibri" w:hAnsi="Calibri" w:eastAsia="Microsoft YaHei"/>
          <w:i/>
          <w:color w:val="7A5A00"/>
        </w:rPr>
        <w:t>〈列出INV编号。〉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规则冲突优先级：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例外授权：</w:t>
      </w:r>
      <w:r>
        <w:rPr>
          <w:rFonts w:ascii="Calibri" w:hAnsi="Calibri" w:eastAsia="Microsoft YaHei"/>
          <w:i/>
          <w:color w:val="7A5A00"/>
        </w:rPr>
        <w:t>〈说明可否例外、由谁批准以及如何留痕。〉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业务路径与结果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正常路径：</w:t>
      </w:r>
      <w:r>
        <w:rPr>
          <w:rFonts w:ascii="Calibri" w:hAnsi="Calibri" w:eastAsia="Microsoft YaHei"/>
          <w:i/>
          <w:color w:val="7A5A00"/>
        </w:rPr>
        <w:t>〈描述关键业务决策、对象变化和最终结果。〉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主要分支：</w:t>
      </w:r>
      <w:r>
        <w:rPr>
          <w:rFonts w:ascii="Calibri" w:hAnsi="Calibri" w:eastAsia="Microsoft YaHei"/>
          <w:i/>
          <w:color w:val="7A5A00"/>
        </w:rPr>
        <w:t>〈描述不同业务条件下的处理差异。〉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业务异常：</w:t>
      </w:r>
      <w:r>
        <w:rPr>
          <w:rFonts w:ascii="Calibri" w:hAnsi="Calibri" w:eastAsia="Microsoft YaHei"/>
          <w:i/>
          <w:color w:val="7A5A00"/>
        </w:rPr>
        <w:t>〈描述业务条件不满足时的拒绝、挂起、转交或关闭。〉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恢复与继续：</w:t>
      </w:r>
      <w:r>
        <w:rPr>
          <w:rFonts w:ascii="Calibri" w:hAnsi="Calibri" w:eastAsia="Microsoft YaHei"/>
          <w:i/>
          <w:color w:val="7A5A00"/>
        </w:rPr>
        <w:t>〈描述撤回、重开、补正、回退或人工接管。〉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生命周期与状态（按需）</w:t>
      </w:r>
    </w:p>
    <w:p>
      <w:r>
        <w:rPr>
          <w:rFonts w:ascii="Calibri" w:hAnsi="Calibri" w:eastAsia="Microsoft YaHei"/>
          <w:i/>
          <w:color w:val="7A5A00"/>
        </w:rPr>
        <w:t>〈引用第7章公共生命周期，补充本模块特有的阶段、状态、动作和完成门禁。〉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跨领域协作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协作方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协作目的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本模块发出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本模块接收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一致性／失败要求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业务结果／事件／查询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实时／最终一致／人工对账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差异化配置与扩展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差异维度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默认方案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可配置项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生效范围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变更控制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组织／客户／产品／地区／业务类型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全局／组织／实例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即时／版本化／审批后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数据、指标与分析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关键业务数据：</w:t>
      </w:r>
      <w:r>
        <w:rPr>
          <w:rFonts w:ascii="Calibri" w:hAnsi="Calibri" w:eastAsia="Microsoft YaHei"/>
          <w:i/>
          <w:color w:val="7A5A00"/>
        </w:rPr>
        <w:t>〈填写对象和数据责任。〉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核心指标：</w:t>
      </w:r>
      <w:r>
        <w:rPr>
          <w:rFonts w:ascii="Calibri" w:hAnsi="Calibri" w:eastAsia="Microsoft YaHei"/>
          <w:i/>
          <w:color w:val="7A5A00"/>
        </w:rPr>
        <w:t>〈填写指标名称、业务口径和使用者。〉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分析维度：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数据质量要求：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权限、合规与业务留痕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职责分离：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功能和数据权限：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敏感数据与隐私：</w:t>
      </w:r>
      <w:r>
        <w:rPr>
          <w:rFonts w:ascii="Calibri" w:hAnsi="Calibri" w:eastAsia="Microsoft YaHei"/>
          <w:i/>
          <w:color w:val="7A5A00"/>
        </w:rPr>
        <w:t>〈填写或“不适用”。〉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必须保留的业务证据：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3"/>
      </w:pPr>
      <w:r>
        <w:rPr>
          <w:rFonts w:ascii="Calibri" w:hAnsi="Calibri" w:eastAsia="Microsoft YaHei"/>
          <w:color w:val="1F2937"/>
        </w:rPr>
        <w:t>产品与技术实现映射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业务子能力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页面／入口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应用服务／模块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核心数据对象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API／事件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专项设计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UI编号／渠道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DS／模块编号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逻辑对象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API／EVT编号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〈引用或“无”〉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color w:val="1F2937"/>
        </w:rPr>
        <w:t>需求与验证追溯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需求编号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本方案响应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验收标准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设计风险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测试关注点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FR／NFR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AC编号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〈填写或“无”〉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9. 跨领域协作与外部依赖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9.1 跨领域协作目录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协作编号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发起领域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接收领域／系统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业务目的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协作方式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责任边界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COL-001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查询／命令／事件／文件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9.2 业务契约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契约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前置条件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输入含义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输出承诺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失败语义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版本策略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拒绝／挂起／补偿／转人工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9.3 领域事件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事件编号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业务事实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产生时机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订阅方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数据责任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重复／乱序要求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EVT-XXX-001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〈使用过去式命名〉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9.4 外部依赖与降级边界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外部依赖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依赖目的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不可用影响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可否降级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替代／人工方案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是／否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10. 业务配置、策略与扩展机制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10.1 业务差异维度</w:t>
      </w:r>
    </w:p>
    <w:p>
      <w:r>
        <w:rPr>
          <w:rFonts w:ascii="Calibri" w:hAnsi="Calibri" w:eastAsia="Microsoft YaHei"/>
          <w:i/>
          <w:color w:val="7A5A00"/>
        </w:rPr>
        <w:t>〈说明组织、客户、产品、地区、语言、渠道、合同类型或业务类型之间的差异。〉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10.2 配置与策略目录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配置／策略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解决的差异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配置层级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生效方式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历史版本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全局／组织／用户／对象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即时／定时／审批后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保留／不保留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10.3 模板与规则版本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10.4 扩展点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扩展点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当前实现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扩展方式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兼容要求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禁止事项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配置／插件／策略／外部能力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11. 业务数据、指标、权限与合规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11.1 业务数据视图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数据主题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核心对象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业务用途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数据来源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责任方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保留要求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本领域／其他领域／外部系统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11.2 指标与分析口径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业务定义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计算口径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维度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使用场景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MET-001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运营／管理／预警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11.3 权限与职责分离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业务对象／能力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操作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允许角色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数据范围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冲突职责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例外审批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创建／处理／审批／查看／导出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〈填写或“无”〉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11.4 敏感数据、隐私与合规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11.5 业务证据与留痕</w:t>
      </w:r>
    </w:p>
    <w:p>
      <w:r>
        <w:rPr>
          <w:rFonts w:ascii="Calibri" w:hAnsi="Calibri" w:eastAsia="Microsoft YaHei"/>
          <w:i/>
          <w:color w:val="7A5A00"/>
        </w:rPr>
        <w:t>〈说明哪些业务决定、状态变化、审批、导出、授权或人工例外必须保留证据。〉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12. 流程、交互与用户体验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本章用于表达业务能力如何被用户使用。不存在固定流程的数据型、规则型或平台型能力，可以只说明入口、反馈和使用约束。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12.1 关键业务流程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流程／旅程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业务目标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涉及能力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参与角色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完成标准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详细图位置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12.2 流程差异与异常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12.3 信息架构与入口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12.4 页面／渠道清单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页面／渠道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服务的能力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主要角色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关键任务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原型／交互稿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UI-001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12.5 关键交互状态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初始、加载和空数据状态：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成功、失败和部分成功反馈：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无权限、失效和只读状态：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多端、响应式和可访问性：</w:t>
      </w:r>
      <w:r>
        <w:rPr>
          <w:rFonts w:ascii="Calibri" w:hAnsi="Calibri" w:eastAsia="Microsoft YaHei"/>
          <w:i/>
          <w:color w:val="7A5A00"/>
        </w:rPr>
        <w:t>〈填写。〉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13. 应用与技术实现映射</w:t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本章只说明业务方案如何映射到应用和技术结构。接口参数、物理表、算法和部署脚本可以引用专项详细设计。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13.1 应用架构映射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业务领域／能力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应用模块／服务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应用职责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拥有数据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对外契约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API／事件／文件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13.2 关键用例实现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用例／场景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应用服务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领域对象／规则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事务边界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外部协作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失败策略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UC／SCN编号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回滚／补偿／转人工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13.3 逻辑数据设计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逻辑对象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所属聚合／对象组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持久化责任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关键索引／查询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物理设计引用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DB设计编号／附件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13.4 API、事件与集成清单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契约名称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提供方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消费方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详细设计引用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API／EVT／JOB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业务／内部／集成／事件／批处理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13.5 公共技术机制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机制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业务适用场景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实现原则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失败语义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专项设计引用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事务／幂等／并发／缓存／消息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〈填写或“无”〉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</w:rPr>
        <w:t>14. 非功能、运维、迁移与发布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14.1 非功能设计响应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NFR编号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业务场景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目标指标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设计响应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验证方式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NFR-XXX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14.2 可观测性与运营监控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2256"/>
        <w:gridCol w:w="1714"/>
        <w:gridCol w:w="1805"/>
        <w:gridCol w:w="1987"/>
      </w:tblGrid>
      <w:tr>
        <w:trPr>
          <w:tblHeader w:val="true"/>
        </w:trPr>
        <w:tc>
          <w:tcPr>
            <w:tcW w:type="dxa" w:w="126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监控对象</w:t>
            </w:r>
          </w:p>
        </w:tc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业务／技术指标</w:t>
            </w:r>
          </w:p>
        </w:tc>
        <w:tc>
          <w:tcPr>
            <w:tcW w:type="dxa" w:w="171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阈值或异常条件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告警对象</w:t>
            </w:r>
          </w:p>
        </w:tc>
        <w:tc>
          <w:tcPr>
            <w:tcW w:type="dxa" w:w="198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处置方式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14.3 数据初始化与迁移（按需）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迁移对象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目标对象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业务映射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对账门禁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回退策略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14.4 发布、灰度与回退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14.5 业务连续性与人工兜底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15. 风险、决策、追溯与评审</w:t>
      </w:r>
    </w:p>
    <w:p>
      <w:pPr>
        <w:pStyle w:val="Heading2"/>
      </w:pPr>
      <w:r>
        <w:rPr>
          <w:rFonts w:ascii="Calibri" w:hAnsi="Calibri" w:eastAsia="Microsoft YaHei"/>
          <w:color w:val="1F2937"/>
        </w:rPr>
        <w:t>15.1 方案风险与待确认事项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问题／风险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业务影响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处理方案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责任人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SDS-RISK-001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15.2 设计决策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决策编号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决策主题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采用方案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备选方案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选择理由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影响能力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DEC-001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15.3 方案追溯矩阵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5"/>
        <w:gridCol w:w="1444"/>
        <w:gridCol w:w="1624"/>
        <w:gridCol w:w="1444"/>
        <w:gridCol w:w="1445"/>
      </w:tblGrid>
      <w:tr>
        <w:trPr>
          <w:tblHeader w:val="true"/>
        </w:trPr>
        <w:tc>
          <w:tcPr>
            <w:tcW w:type="dxa" w:w="108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需求编号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业务能力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领域方案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实现映射</w:t>
            </w:r>
          </w:p>
        </w:tc>
        <w:tc>
          <w:tcPr>
            <w:tcW w:type="dxa" w:w="14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验收标准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测试关注点</w:t>
            </w:r>
          </w:p>
        </w:tc>
      </w:tr>
      <w:tr>
        <w:tc>
          <w:tcPr>
            <w:tcW w:type="dxa" w:w="10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FR／NFR／IR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CAP编号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BD编号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DS／API／DB／UI</w:t>
            </w:r>
          </w:p>
        </w:tc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AC编号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i/>
                <w:color w:val="7A5A00"/>
                <w:sz w:val="16"/>
              </w:rPr>
              <w:t>〈填写〉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</w:rPr>
        <w:t>15.4 业务领域方案评审检查表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领域使命、范围、负责事项和不负责事项清晰。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大模块已经按业务能力拆分，而不是按页面、接口或数据库表拆分。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核心业务对象、对象关系、数据所有权和一致性边界明确。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关键业务规则和不可破坏的不变量可以识别和验证。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主要角色、场景、差异化方案和业务结果均有设计覆盖。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跨领域协作、输入输出、失败语义和责任边界明确。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流程、状态和异常服务于业务能力，没有替代业务方案本身。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业务能力能够映射到应用模块、逻辑数据、API、事件和专项设计。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非功能、运营监控、迁移、发布和人工兜底方案与业务风险匹配。</w:t>
      </w:r>
    </w:p>
    <w:p>
      <w:pPr>
        <w:spacing w:after="80"/>
        <w:ind w:left="340" w:hanging="227"/>
      </w:pPr>
      <w:r>
        <w:rPr>
          <w:rFonts w:ascii="Calibri" w:hAnsi="Calibri" w:eastAsia="Microsoft YaHei"/>
          <w:color w:val="2E74B5"/>
          <w:sz w:val="22"/>
        </w:rPr>
        <w:t xml:space="preserve">☐  </w:t>
      </w:r>
      <w:r>
        <w:rPr>
          <w:rFonts w:ascii="Calibri" w:hAnsi="Calibri" w:eastAsia="Microsoft YaHei"/>
          <w:color w:val="1F2937"/>
        </w:rPr>
        <w:t>所有需求均可追溯到领域方案、实现映射、验收标准和测试关注点。</w:t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附录：裁剪建议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4332"/>
        <w:gridCol w:w="2708"/>
      </w:tblGrid>
      <w:tr>
        <w:trPr>
          <w:tblHeader w:val="true"/>
        </w:trPr>
        <w:tc>
          <w:tcPr>
            <w:tcW w:type="dxa" w:w="198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项目类型</w:t>
            </w:r>
          </w:p>
        </w:tc>
        <w:tc>
          <w:tcPr>
            <w:tcW w:type="dxa" w:w="43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应强化内容</w:t>
            </w:r>
          </w:p>
        </w:tc>
        <w:tc>
          <w:tcPr>
            <w:tcW w:type="dxa" w:w="27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可简化内容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大型业务系统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领域上下文、能力地图、对象模型、跨域协作、配置策略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低风险技术细节可引用附件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单一流程型功能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场景、规则、流程、状态和异常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能力地图可简化为一层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数据／分析产品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数据主题、对象、指标口径、数据流和质量规则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人工流程和页面章节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集成型系统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系统责任、业务契约、事件、数据归属、对账和降级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内部页面设计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技术平台产品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平台能力域、使用场景、资源对象、契约和治理规则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传统业务生命周期</w:t>
            </w:r>
          </w:p>
        </w:tc>
      </w:tr>
      <w:tr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小型内部工具</w:t>
            </w:r>
          </w:p>
        </w:tc>
        <w:tc>
          <w:tcPr>
            <w:tcW w:type="dxa" w:w="4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目标、边界、能力、对象、规则、实现映射和追溯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聚合术语、复杂上下文和专项附件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页，共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color w:val="667085"/>
        <w:sz w:val="17"/>
      </w:rPr>
      <w:t>软件开发文档标准模板  |  业务领域方案设计说明书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软件业务领域方案设计说明书（SDS）模板</dc:title>
  <dc:subject>通用业务领域方案设计模板</dc:subject>
  <dc:creator/>
  <cp:keywords>SDS, 业务领域, 能力地图, 领域模型, 方案设计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