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S2S Platform — new page form</w:t>
      </w:r>
    </w:p>
    <w:p>
      <w:r>
        <w:rPr>
          <w:b/>
          <w:sz w:val="24"/>
        </w:rPr>
        <w:t>Page type: Tool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Use this form for a dashboard, platform, digital twin, toolkit or any other software capability the programme produces or uses.</w:t>
      </w:r>
    </w:p>
    <w:p>
      <w:pPr>
        <w:pStyle w:val="Heading2"/>
      </w:pPr>
      <w:r>
        <w:t>How to use this form</w:t>
      </w:r>
    </w:p>
    <w:p>
      <w:pPr>
        <w:pStyle w:val="ListBullet"/>
      </w:pPr>
      <w:r>
        <w:rPr>
          <w:i/>
          <w:color w:val="5E6874"/>
          <w:sz w:val="20"/>
        </w:rPr>
        <w:t>Type your answers in the blank line under each heading. Replace the grey placeholder text.</w:t>
      </w:r>
    </w:p>
    <w:p>
      <w:pPr>
        <w:pStyle w:val="ListBullet"/>
      </w:pPr>
      <w:r>
        <w:rPr>
          <w:i/>
          <w:color w:val="5E6874"/>
          <w:sz w:val="20"/>
        </w:rPr>
        <w:t>If you cannot answer something truthfully, DELETE the placeholder line and leave it empty. The website will show a clear "information to be added" note. That is the correct outcome — please do not guess.</w:t>
      </w:r>
    </w:p>
    <w:p>
      <w:pPr>
        <w:pStyle w:val="ListBullet"/>
      </w:pPr>
      <w:r>
        <w:rPr>
          <w:i/>
          <w:color w:val="5E6874"/>
          <w:sz w:val="20"/>
        </w:rPr>
        <w:t>Do not rename, reorder or delete the blue headings. They are how the converter finds your answers.</w:t>
      </w:r>
    </w:p>
    <w:p>
      <w:pPr>
        <w:pStyle w:val="ListBullet"/>
      </w:pPr>
      <w:r>
        <w:rPr>
          <w:i/>
          <w:color w:val="5E6874"/>
          <w:sz w:val="20"/>
        </w:rPr>
        <w:t>Bold, italics, bullet lists, numbered lists and tables all carry across to the website.</w:t>
      </w:r>
    </w:p>
    <w:p>
      <w:pPr>
        <w:pStyle w:val="ListBullet"/>
      </w:pPr>
      <w:r>
        <w:rPr>
          <w:i/>
          <w:color w:val="5E6874"/>
          <w:sz w:val="20"/>
        </w:rPr>
        <w:t>When you are finished, save as .docx and send it to the site maintainer.</w:t>
      </w:r>
    </w:p>
    <w:p/>
    <w:p>
      <w:pPr>
        <w:pStyle w:val="Heading2"/>
      </w:pPr>
      <w:r>
        <w:t>Title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name of the tool, as it should appear as the page heading.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AWARE</w:t>
      </w:r>
    </w:p>
    <w:p>
      <w:pPr>
        <w:pStyle w:val="Answer"/>
        <w:spacing w:after="280"/>
      </w:pPr>
      <w:r>
        <w:t>Soil Moisture Monitor</w:t>
      </w:r>
    </w:p>
    <w:p>
      <w:pPr>
        <w:pStyle w:val="Heading2"/>
      </w:pPr>
      <w:r>
        <w:t>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sentence: what it does and who it is for. This appears on cards, in search results and in Google, so make it stand alone.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Early-warning dashboard delivering short-range alerts and medium-range S2S outlooks to district drought officers.</w:t>
      </w:r>
    </w:p>
    <w:p>
      <w:pPr>
        <w:pStyle w:val="Answer"/>
        <w:spacing w:after="280"/>
      </w:pPr>
      <w:r>
        <w:t>Near-real-time soil moisture monitoring for irrigation scheduling in the Cauvery basin.</w:t>
      </w:r>
    </w:p>
    <w:p>
      <w:pPr>
        <w:pStyle w:val="Heading2"/>
      </w:pPr>
      <w:r>
        <w:t>Status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Exactly one of: Operational / In development / Pilot / Planned / Documentation pending.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 development</w:t>
      </w:r>
    </w:p>
    <w:p>
      <w:pPr>
        <w:pStyle w:val="Answer"/>
        <w:spacing w:after="280"/>
      </w:pPr>
      <w:r>
        <w:t>Pilot</w:t>
      </w:r>
    </w:p>
    <w:p>
      <w:pPr>
        <w:pStyle w:val="Heading2"/>
      </w:pPr>
      <w:r>
        <w:t>Problem addressed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was hard before this tool existed? Two or three sentences, written from the point of view of the person who has to make a decision.</w:t>
      </w:r>
    </w:p>
    <w:p>
      <w:pPr>
        <w:pStyle w:val="Answer"/>
        <w:spacing w:after="280"/>
      </w:pPr>
      <w:r>
        <w:t>Irrigation engineers schedule releases against a fixed calendar because they have no current view of root-zone soil moisture across the command area. By the time field reports arrive the release decision has already been made.</w:t>
      </w:r>
    </w:p>
    <w:p>
      <w:pPr>
        <w:pStyle w:val="Heading2"/>
      </w:pPr>
      <w:r>
        <w:t>Organisation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Who owns or runs it.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IWMI — CGIAR Climate Action</w:t>
      </w:r>
    </w:p>
    <w:p>
      <w:pPr>
        <w:pStyle w:val="Answer"/>
        <w:spacing w:after="280"/>
      </w:pPr>
      <w:r>
        <w:t>IWMI — CGIAR Climate Action</w:t>
      </w:r>
    </w:p>
    <w:p>
      <w:pPr>
        <w:pStyle w:val="Heading2"/>
      </w:pPr>
      <w:r>
        <w:t>Key capabilities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Name — what it does.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District drought triggers — Issues alerts at district scale over SMS and WhatsApp.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Daily soil moisture maps — Blends SMAP retrievals with modelled root-zone moisture at command scale.</w:t>
      </w:r>
    </w:p>
    <w:p>
      <w:pPr>
        <w:pStyle w:val="Answer"/>
        <w:spacing w:after="280"/>
      </w:pPr>
      <w:r>
        <w:t>Deficit alerts — Flags sub-commands falling below a configurable threshold.</w:t>
      </w:r>
    </w:p>
    <w:p>
      <w:pPr>
        <w:pStyle w:val="Heading2"/>
      </w:pPr>
      <w:r>
        <w:t>How it works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steps data goes through, one per line, in the form:  Stage — what happens.</w:t>
        <w:br/>
        <w:t>These become the numbered flow diagram on the page.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Input data — IITM S2S forecasts at 2–6 week lead.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Input data — NASA SMAP retrievals and AgERA5 reanalysis.</w:t>
      </w:r>
    </w:p>
    <w:p>
      <w:pPr>
        <w:pStyle w:val="Answer"/>
        <w:spacing w:after="280"/>
      </w:pPr>
      <w:r>
        <w:t>Processing — Quality control and gap filling, then downscaling to command resolution.</w:t>
      </w:r>
    </w:p>
    <w:p>
      <w:pPr>
        <w:pStyle w:val="Answer"/>
        <w:spacing w:after="280"/>
      </w:pPr>
      <w:r>
        <w:t>Products — Daily root-zone soil moisture and a deficit index.</w:t>
      </w:r>
    </w:p>
    <w:p>
      <w:pPr>
        <w:pStyle w:val="Answer"/>
        <w:spacing w:after="280"/>
      </w:pPr>
      <w:r>
        <w:t>Delivery — Served through the D3 interoperability APIs into AWARE.</w:t>
      </w:r>
    </w:p>
    <w:p>
      <w:pPr>
        <w:pStyle w:val="Heading2"/>
      </w:pPr>
      <w:r>
        <w:t>Outputs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the user actually receives.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7–30 day medium-range outlooks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Daily root-zone soil moisture maps</w:t>
      </w:r>
    </w:p>
    <w:p>
      <w:pPr>
        <w:pStyle w:val="Answer"/>
        <w:spacing w:after="280"/>
      </w:pPr>
      <w:r>
        <w:t>Sub-command deficit index</w:t>
      </w:r>
    </w:p>
    <w:p>
      <w:pPr>
        <w:pStyle w:val="Heading2"/>
      </w:pPr>
      <w:r>
        <w:t>Main text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main description. Write as much as you like — headings, paragraphs, bullet lists and tables all work. This becomes the body of the page.</w:t>
      </w:r>
    </w:p>
    <w:p>
      <w:pPr>
        <w:pStyle w:val="Answer"/>
        <w:spacing w:after="280"/>
      </w:pPr>
      <w:r>
        <w:t>This is a worked example used to test the Word intake route end to end. It shows that ordinary Word formatting survives the conversion.</w:t>
      </w:r>
    </w:p>
    <w:p>
      <w:pPr>
        <w:pStyle w:val="Answer"/>
        <w:spacing w:after="280"/>
      </w:pPr>
      <w:r>
        <w:t>The monitor sits at Stage 3 of the operational framework, between downscaling and the advisory platforms that consume the indicators.</w:t>
      </w:r>
    </w:p>
    <w:p>
      <w:pPr>
        <w:pStyle w:val="Heading2"/>
      </w:pPr>
      <w:r>
        <w:t>Related methods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names of method pages, without the .md. Ask the maintainer if unsure.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quantile-bin-resampling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indicator-generation</w:t>
      </w:r>
    </w:p>
    <w:p>
      <w:pPr>
        <w:pStyle w:val="Answer"/>
        <w:spacing w:after="280"/>
      </w:pPr>
      <w:r>
        <w:t>impact-modelling</w:t>
      </w:r>
    </w:p>
    <w:p>
      <w:pPr>
        <w:pStyle w:val="Heading2"/>
      </w:pPr>
      <w:r>
        <w:t>Related case studies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names of case-study pages, without the .md.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s2s-irrigation-advisory-south-asia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s2s-irrigation-advisory-south-asia</w:t>
      </w:r>
    </w:p>
    <w:p>
      <w:pPr>
        <w:pStyle w:val="Heading2"/>
      </w:pPr>
      <w:r>
        <w:t>Citation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How somebody should cite this tool. Leave empty until it has been agreed.</w:t>
      </w:r>
    </w:p>
    <w:p>
      <w:pPr>
        <w:pStyle w:val="Answer"/>
        <w:spacing w:after="280"/>
      </w:pPr>
      <w:r/>
    </w:p>
    <w:p>
      <w:pPr>
        <w:pStyle w:val="Heading2"/>
      </w:pPr>
      <w:r>
        <w:t>Tags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Topics, used for the filter buttons on the site. Reuse existing ones where you can.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Drought / Early warning / S2S / Irrigation / Machine learning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Water</w:t>
      </w:r>
    </w:p>
    <w:p>
      <w:pPr>
        <w:pStyle w:val="Answer"/>
        <w:spacing w:after="280"/>
      </w:pPr>
      <w:r>
        <w:t>Irrigation</w:t>
      </w:r>
    </w:p>
    <w:p>
      <w:pPr>
        <w:pStyle w:val="Answer"/>
        <w:spacing w:after="280"/>
      </w:pPr>
      <w:r>
        <w:t>Earth observation</w:t>
      </w:r>
    </w:p>
    <w:p>
      <w:pPr>
        <w:pStyle w:val="Heading2"/>
      </w:pPr>
      <w:r>
        <w:t>Regions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Countries or regions this relates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India / Ghana / South 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India</w:t>
      </w:r>
    </w:p>
    <w:p>
      <w:pPr>
        <w:pStyle w:val="Answer"/>
        <w:spacing w:after="280"/>
      </w:pPr>
      <w:r>
        <w:t>South Asia</w:t>
      </w:r>
    </w:p>
    <w:p>
      <w:pPr>
        <w:pStyle w:val="Heading2"/>
      </w:pPr>
      <w:r>
        <w:t>Deliverables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Which programme deliverables this belongs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D2 / D3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D2</w:t>
      </w:r>
    </w:p>
    <w:p>
      <w:pPr>
        <w:pStyle w:val="Answer"/>
        <w:spacing w:after="280"/>
      </w:pPr>
      <w:r>
        <w:t>D5</w:t>
      </w:r>
    </w:p>
    <w:p>
      <w:pPr>
        <w:pStyle w:val="Heading2"/>
      </w:pPr>
      <w:r>
        <w:t>Team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People to credit in the sidebar.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Suman / Dhyey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Suman</w:t>
      </w:r>
    </w:p>
    <w:p>
      <w:pPr>
        <w:pStyle w:val="Answer"/>
        <w:spacing w:after="280"/>
      </w:pPr>
      <w:r>
        <w:t>Dhyey</w:t>
      </w:r>
    </w:p>
    <w:p>
      <w:pPr>
        <w:pStyle w:val="Heading2"/>
      </w:pPr>
      <w:r>
        <w:t>Links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Label — URL — Kind</w:t>
        <w:br/>
        <w:t>Kind must be one of: Web application, API, Dataset, Repository, Documentation, Download, Demonstration, Publication.</w:t>
        <w:br/>
        <w:t>If there is no public URL yet, write the label and the kind only — the site will show "Not yet public" rather than a broken link.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Toolkit repository — https://github.com/org/repo — Repository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t>Soil Moisture Monitor — https://example.org/soil-moisture — Web application</w:t>
      </w:r>
    </w:p>
    <w:p>
      <w:pPr>
        <w:pStyle w:val="Answer"/>
        <w:spacing w:after="280"/>
      </w:pPr>
      <w:r>
        <w:t>Processing code —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nce">
    <w:name w:val="Guidance"/>
    <w:basedOn w:val="Normal"/>
    <w:rPr>
      <w:i/>
      <w:color w:val="5E6874"/>
      <w:sz w:val="18"/>
    </w:rPr>
  </w:style>
  <w:style w:type="paragraph" w:customStyle="1" w:styleId="Answer">
    <w:name w:val="Answer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