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Tutorial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 training module or how-to guide.</w:t>
        <w:br/>
        <w:t>If your tutorial is a Jupyter notebook, you do not need this form — send the .ipynb file instead and it will be converted directly, outputs and plots included.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title of the tutorial.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 describing what the reader will learn.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Objective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concrete, checkable outcome. "By the end of this the reader will be able to…"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Difficulty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Exactly one of: Beginner / Intermediate / Advanced.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Beginner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Status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Planned until the steps are written, then Operational.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Estimated time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Roughly how long it takes.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45 minutes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Prerequisites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the reader needs to know already.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Required data and tools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Software, accounts or data they need.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Steps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tutorial itself. Number your steps. Say what the reader should see after each one, so they can tell whether it worked. Code goes in its own paragraph — mark it clearly and the maintainer will format it.</w:t>
      </w:r>
    </w:p>
    <w:p>
      <w:pPr>
        <w:pStyle w:val="Answer"/>
        <w:spacing w:after="280"/>
      </w:pPr>
      <w:r>
        <w:rPr>
          <w:color w:val="999999"/>
        </w:rPr>
        <w:t>Type the main text here.</w:t>
      </w:r>
    </w:p>
    <w:p>
      <w:pPr>
        <w:pStyle w:val="Heading2"/>
      </w:pPr>
      <w:r>
        <w:t>Related tool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 of a related tool page, without the .md.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Related method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 of a related method page, without the .md.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