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4412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等保2.0内容核心</w:t>
      </w:r>
    </w:p>
    <w:p w14:paraId="390187AB">
      <w:pPr>
        <w:pStyle w:val="3"/>
        <w:keepNext w:val="0"/>
        <w:keepLines w:val="0"/>
        <w:widowControl/>
        <w:suppressLineNumbers w:val="0"/>
        <w:jc w:val="left"/>
      </w:pPr>
      <w:r>
        <w:t>一、等保2.0基本概述</w:t>
      </w:r>
    </w:p>
    <w:p w14:paraId="1FE01B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网络安全等级保护2.0是以《网络安全法》《数据安全法》《个人信息保护法》为法律依据，以GB/T 22239-2019《信息安全技术 网络安全等级保护基本要求》为核心标准的国家网络安全强制合规制度，替代原2008版等保1.0标准，是目前国内政企、事业单位、互联网企业通用的网络安全合规基线。</w:t>
      </w:r>
    </w:p>
    <w:p w14:paraId="25E92D5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等保2.0涉及内容</w:t>
      </w:r>
    </w:p>
    <w:p w14:paraId="789D692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1.技术需求：</w:t>
      </w:r>
    </w:p>
    <w:p w14:paraId="4CC117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3990" cy="3196590"/>
            <wp:effectExtent l="0" t="0" r="381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-1042" t="1863" r="1042" b="-186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00BE0">
      <w:pPr>
        <w:bidi w:val="0"/>
        <w:rPr>
          <w:rFonts w:hint="eastAsia"/>
        </w:rPr>
      </w:pPr>
      <w:r>
        <w:rPr>
          <w:rFonts w:hint="eastAsia"/>
        </w:rPr>
        <w:t>1安全物理环境</w:t>
      </w:r>
    </w:p>
    <w:p w14:paraId="5628EAFB">
      <w:pPr>
        <w:bidi w:val="0"/>
        <w:rPr>
          <w:rFonts w:hint="eastAsia"/>
        </w:rPr>
      </w:pPr>
      <w:r>
        <w:rPr>
          <w:rFonts w:hint="eastAsia"/>
        </w:rPr>
        <w:t>针对物理机房提出的安全控制要求。主要对象为物理环境、物理设备和物理设施等；涉及的安全控制点包括物理位置的选择、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7%89%A9%E7%90%86%E8%AE%BF%E9%97%AE%E6%8E%A7%E5%88%B6&amp;zd_token=eyJhbGciOiJIUzI1NiIsInR5cCI6IkpXVCJ9.eyJpc3MiOiJ6aGlkYV9zZXJ2ZXIiLCJleHAiOjE3OTAyNDkxOTAsInEiOiLniannkIborr_pl67mjqfliLYiLCJ6aGlkYV9zb3VyY2UiOiJlbnRpdHkiLCJjb250ZW50X2lkIjoyNjk5MzUyODQsImNvbnRlbnRfdHlwZSI6IkFydGljbGUiLCJtYXRjaF9vcmRlciI6MSwiemRfdG9rZW4iOm51bGx9.5KAb_iZ8H9vcchuNXetRKXcp6piYVQGLO_TA1WuO5_8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物理访问控制</w:t>
      </w:r>
      <w:r>
        <w:rPr>
          <w:rFonts w:hint="eastAsia"/>
        </w:rPr>
        <w:fldChar w:fldCharType="end"/>
      </w:r>
      <w:r>
        <w:rPr>
          <w:rFonts w:hint="eastAsia"/>
        </w:rPr>
        <w:t>、防盗窃和防破坏、防雷击、防火、防水和防潮、防静电、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6%B8%A9%E6%B9%BF%E5%BA%A6%E6%8E%A7%E5%88%B6&amp;zd_token=eyJhbGciOiJIUzI1NiIsInR5cCI6IkpXVCJ9.eyJpc3MiOiJ6aGlkYV9zZXJ2ZXIiLCJleHAiOjE3OTAyNDkxOTAsInEiOiLmuKnmub_luqbmjqfliLYiLCJ6aGlkYV9zb3VyY2UiOiJlbnRpdHkiLCJjb250ZW50X2lkIjoyNjk5MzUyODQsImNvbnRlbnRfdHlwZSI6IkFydGljbGUiLCJtYXRjaF9vcmRlciI6MSwiemRfdG9rZW4iOm51bGx9.vBDOjLx7potmw8BFXKV5IDfBQuHuq88m-CN9Qbo4KM4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温湿度控制</w:t>
      </w:r>
      <w:r>
        <w:rPr>
          <w:rFonts w:hint="eastAsia"/>
        </w:rPr>
        <w:fldChar w:fldCharType="end"/>
      </w:r>
      <w:r>
        <w:rPr>
          <w:rFonts w:hint="eastAsia"/>
        </w:rPr>
        <w:t>、电力供应和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7%94%B5%E7%A3%81%E9%98%B2%E6%8A%A4&amp;zd_token=eyJhbGciOiJIUzI1NiIsInR5cCI6IkpXVCJ9.eyJpc3MiOiJ6aGlkYV9zZXJ2ZXIiLCJleHAiOjE3OTAyNDkxOTAsInEiOiLnlLXno4HpmLLmiqQiLCJ6aGlkYV9zb3VyY2UiOiJlbnRpdHkiLCJjb250ZW50X2lkIjoyNjk5MzUyODQsImNvbnRlbnRfdHlwZSI6IkFydGljbGUiLCJtYXRjaF9vcmRlciI6MSwiemRfdG9rZW4iOm51bGx9.YBwJgF63CUb9FL30wtRIh0G9BLgvRs53vOqf5Iwqe3Y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电磁防护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75B3E722">
      <w:pPr>
        <w:bidi w:val="0"/>
        <w:rPr>
          <w:rFonts w:hint="eastAsia"/>
        </w:rPr>
      </w:pPr>
      <w:r>
        <w:rPr>
          <w:rFonts w:hint="eastAsia"/>
        </w:rPr>
        <w:t>2安全通信网络</w:t>
      </w:r>
    </w:p>
    <w:p w14:paraId="408BA79F">
      <w:pPr>
        <w:bidi w:val="0"/>
        <w:rPr>
          <w:rFonts w:hint="eastAsia"/>
        </w:rPr>
      </w:pPr>
      <w:r>
        <w:rPr>
          <w:rFonts w:hint="eastAsia"/>
        </w:rPr>
        <w:t>针对通信网络提出的安全控制要求。主要对象为广域网、城域网和局域网等；涉及的安全控制点包括网络架构、通信传输和可信验证。</w:t>
      </w:r>
    </w:p>
    <w:p w14:paraId="3A977A88">
      <w:pPr>
        <w:bidi w:val="0"/>
        <w:rPr>
          <w:rFonts w:hint="eastAsia"/>
        </w:rPr>
      </w:pPr>
      <w:r>
        <w:rPr>
          <w:rFonts w:hint="eastAsia"/>
        </w:rPr>
        <w:t>3安全区域边界</w:t>
      </w:r>
    </w:p>
    <w:p w14:paraId="2CD93F38">
      <w:pPr>
        <w:bidi w:val="0"/>
        <w:rPr>
          <w:rFonts w:hint="eastAsia"/>
        </w:rPr>
      </w:pPr>
      <w:r>
        <w:rPr>
          <w:rFonts w:hint="eastAsia"/>
        </w:rPr>
        <w:t>针对网络边界提出的安全控制要求。主要对象为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7%B3%BB%E7%BB%9F%E8%BE%B9%E7%95%8C&amp;zd_token=eyJhbGciOiJIUzI1NiIsInR5cCI6IkpXVCJ9.eyJpc3MiOiJ6aGlkYV9zZXJ2ZXIiLCJleHAiOjE3OTAyNDkxOTAsInEiOiLns7vnu5_ovrnnlYwiLCJ6aGlkYV9zb3VyY2UiOiJlbnRpdHkiLCJjb250ZW50X2lkIjoyNjk5MzUyODQsImNvbnRlbnRfdHlwZSI6IkFydGljbGUiLCJtYXRjaF9vcmRlciI6MSwiemRfdG9rZW4iOm51bGx9.cT4ZxMHcw_TLqua7uGPf3mYhDdOSte56EsgJaLCJlCw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系统边界</w:t>
      </w:r>
      <w:r>
        <w:rPr>
          <w:rFonts w:hint="eastAsia"/>
        </w:rPr>
        <w:fldChar w:fldCharType="end"/>
      </w:r>
      <w:r>
        <w:rPr>
          <w:rFonts w:hint="eastAsia"/>
        </w:rPr>
        <w:t>和区域边界等；涉及的安全控制点包括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8%BE%B9%E7%95%8C%E9%98%B2%E6%8A%A4&amp;zd_token=eyJhbGciOiJIUzI1NiIsInR5cCI6IkpXVCJ9.eyJpc3MiOiJ6aGlkYV9zZXJ2ZXIiLCJleHAiOjE3OTAyNDkxOTAsInEiOiLovrnnlYzpmLLmiqQiLCJ6aGlkYV9zb3VyY2UiOiJlbnRpdHkiLCJjb250ZW50X2lkIjoyNjk5MzUyODQsImNvbnRlbnRfdHlwZSI6IkFydGljbGUiLCJtYXRjaF9vcmRlciI6MSwiemRfdG9rZW4iOm51bGx9.QDIdRQMNVTPgrpQBSwd49TsyUWaZFa5W83JywlGMnow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边界防护</w:t>
      </w:r>
      <w:r>
        <w:rPr>
          <w:rFonts w:hint="eastAsia"/>
        </w:rPr>
        <w:fldChar w:fldCharType="end"/>
      </w:r>
      <w:r>
        <w:rPr>
          <w:rFonts w:hint="eastAsia"/>
        </w:rPr>
        <w:t>、访问控制、入侵防范、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6%81%B6%E6%84%8F%E4%BB%A3%E7%A0%81%E9%98%B2%E8%8C%83&amp;zd_token=eyJhbGciOiJIUzI1NiIsInR5cCI6IkpXVCJ9.eyJpc3MiOiJ6aGlkYV9zZXJ2ZXIiLCJleHAiOjE3OTAyNDkxOTAsInEiOiLmgbbmhI_ku6PnoIHpmLLojIMiLCJ6aGlkYV9zb3VyY2UiOiJlbnRpdHkiLCJjb250ZW50X2lkIjoyNjk5MzUyODQsImNvbnRlbnRfdHlwZSI6IkFydGljbGUiLCJtYXRjaF9vcmRlciI6MSwiemRfdG9rZW4iOm51bGx9.EmwQN9cmEvXYxLSURb7y3e1BevluakXN1Q9vMtGugrk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恶意代码防范</w:t>
      </w:r>
      <w:r>
        <w:rPr>
          <w:rFonts w:hint="eastAsia"/>
        </w:rPr>
        <w:fldChar w:fldCharType="end"/>
      </w:r>
      <w:r>
        <w:rPr>
          <w:rFonts w:hint="eastAsia"/>
        </w:rPr>
        <w:t>、安全审计和可信验证。</w:t>
      </w:r>
    </w:p>
    <w:p w14:paraId="556B2C11">
      <w:pPr>
        <w:bidi w:val="0"/>
        <w:rPr>
          <w:rFonts w:hint="eastAsia"/>
        </w:rPr>
      </w:pPr>
      <w:r>
        <w:rPr>
          <w:rFonts w:hint="eastAsia"/>
        </w:rPr>
        <w:t>4安全计算环境</w:t>
      </w:r>
    </w:p>
    <w:p w14:paraId="135E6F7C">
      <w:pPr>
        <w:bidi w:val="0"/>
        <w:rPr>
          <w:rFonts w:hint="eastAsia"/>
        </w:rPr>
      </w:pPr>
      <w:r>
        <w:rPr>
          <w:rFonts w:hint="eastAsia"/>
        </w:rPr>
        <w:t>针对边界内部提出的安全控制要求。主要对象为边界内部的所有对象，包括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7%BD%91%E7%BB%9C%E8%AE%BE%E5%A4%87&amp;zd_token=eyJhbGciOiJIUzI1NiIsInR5cCI6IkpXVCJ9.eyJpc3MiOiJ6aGlkYV9zZXJ2ZXIiLCJleHAiOjE3OTAyNDkxOTAsInEiOiLnvZHnu5zorr7lpIciLCJ6aGlkYV9zb3VyY2UiOiJlbnRpdHkiLCJjb250ZW50X2lkIjoyNjk5MzUyODQsImNvbnRlbnRfdHlwZSI6IkFydGljbGUiLCJtYXRjaF9vcmRlciI6MSwiemRfdG9rZW4iOm51bGx9.OLh3vSGH8ntA9WEvsfEpXoNfIJ6DYirU2c9-OEhH3HA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网络设备</w:t>
      </w:r>
      <w:r>
        <w:rPr>
          <w:rFonts w:hint="eastAsia"/>
        </w:rPr>
        <w:fldChar w:fldCharType="end"/>
      </w:r>
      <w:r>
        <w:rPr>
          <w:rFonts w:hint="eastAsia"/>
        </w:rPr>
        <w:t>、安全设备、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6%9C%8D%E5%8A%A1%E5%99%A8%E8%AE%BE%E5%A4%87&amp;zd_token=eyJhbGciOiJIUzI1NiIsInR5cCI6IkpXVCJ9.eyJpc3MiOiJ6aGlkYV9zZXJ2ZXIiLCJleHAiOjE3OTAyNDkxOTAsInEiOiLmnI3liqHlmajorr7lpIciLCJ6aGlkYV9zb3VyY2UiOiJlbnRpdHkiLCJjb250ZW50X2lkIjoyNjk5MzUyODQsImNvbnRlbnRfdHlwZSI6IkFydGljbGUiLCJtYXRjaF9vcmRlciI6MSwiemRfdG9rZW4iOm51bGx9.wcMf5gltL7zWaOyJg1xQt9e4iJEKOFs8IqiqTci_cOs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服务器设备</w:t>
      </w:r>
      <w:r>
        <w:rPr>
          <w:rFonts w:hint="eastAsia"/>
        </w:rPr>
        <w:fldChar w:fldCharType="end"/>
      </w:r>
      <w:r>
        <w:rPr>
          <w:rFonts w:hint="eastAsia"/>
        </w:rPr>
        <w:t>、终端设备、应用系统、数据对象和其他设备等；涉及的安全控制点包括身份鉴别、访问控制、安全审计、入侵防范、恶意代码防范、可信验证、数据完整性、数据保密性、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6%95%B0%E6%8D%AE%E5%A4%87%E4%BB%BD%E4%B8%8E%E6%81%A2%E5%A4%8D&amp;zd_token=eyJhbGciOiJIUzI1NiIsInR5cCI6IkpXVCJ9.eyJpc3MiOiJ6aGlkYV9zZXJ2ZXIiLCJleHAiOjE3OTAyNDkxOTAsInEiOiLmlbDmja7lpIfku73kuI7mgaLlpI0iLCJ6aGlkYV9zb3VyY2UiOiJlbnRpdHkiLCJjb250ZW50X2lkIjoyNjk5MzUyODQsImNvbnRlbnRfdHlwZSI6IkFydGljbGUiLCJtYXRjaF9vcmRlciI6MSwiemRfdG9rZW4iOm51bGx9.TchttQ159N3oQxy-S5aHXq5lcGC09QIBA2bhsdJ4FSQ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数据备份与恢复</w:t>
      </w:r>
      <w:r>
        <w:rPr>
          <w:rFonts w:hint="eastAsia"/>
        </w:rPr>
        <w:fldChar w:fldCharType="end"/>
      </w:r>
      <w:r>
        <w:rPr>
          <w:rFonts w:hint="eastAsia"/>
        </w:rPr>
        <w:t>、剩余信息保护和个人信息保护。</w:t>
      </w:r>
    </w:p>
    <w:p w14:paraId="18929F7D">
      <w:pPr>
        <w:bidi w:val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2&amp;q=%E5%AE%89%E5%85%A8%E7%AE%A1%E7%90%86%E4%B8%AD%E5%BF%83&amp;zd_token=eyJhbGciOiJIUzI1NiIsInR5cCI6IkpXVCJ9.eyJpc3MiOiJ6aGlkYV9zZXJ2ZXIiLCJleHAiOjE3OTAyNDkxOTAsInEiOiLlronlhajnrqHnkIbkuK3lv4MiLCJ6aGlkYV9zb3VyY2UiOiJlbnRpdHkiLCJjb250ZW50X2lkIjoyNjk5MzUyODQsImNvbnRlbnRfdHlwZSI6IkFydGljbGUiLCJtYXRjaF9vcmRlciI6MiwiemRfdG9rZW4iOm51bGx9.A0EcXiVEm48ISsi4doP3bGS1fzBP0GDx40Dph7VyJVs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安全管理中心</w:t>
      </w:r>
      <w:r>
        <w:rPr>
          <w:rFonts w:hint="eastAsia"/>
        </w:rPr>
        <w:fldChar w:fldCharType="end"/>
      </w:r>
    </w:p>
    <w:p w14:paraId="6176E5E3">
      <w:pPr>
        <w:bidi w:val="0"/>
        <w:rPr>
          <w:rFonts w:hint="eastAsia"/>
        </w:rPr>
      </w:pPr>
      <w:r>
        <w:rPr>
          <w:rFonts w:hint="eastAsia"/>
        </w:rPr>
        <w:t>针对整个系统提出的安全管理方面的技术控制要求，通过技术手段实现集中管理；涉及的安全控制点包括系统管理、审计管理、安全管理和集中管控。</w:t>
      </w:r>
    </w:p>
    <w:p w14:paraId="5AE51E3B">
      <w:pPr>
        <w:bidi w:val="0"/>
        <w:rPr>
          <w:rFonts w:hint="eastAsia"/>
        </w:rPr>
      </w:pPr>
      <w:r>
        <w:rPr>
          <w:rFonts w:hint="eastAsia"/>
        </w:rPr>
        <w:t>6安全管理制度</w:t>
      </w:r>
    </w:p>
    <w:p w14:paraId="3A98BA04">
      <w:pPr>
        <w:bidi w:val="0"/>
        <w:rPr>
          <w:rFonts w:hint="eastAsia"/>
        </w:rPr>
      </w:pPr>
      <w:r>
        <w:rPr>
          <w:rFonts w:hint="eastAsia"/>
        </w:rPr>
        <w:t>针对整个管理制度体系提出的安全控制要求，涉及的安全控制点包括安全策略、管理制度、制定和发布以及评审和修订。</w:t>
      </w:r>
    </w:p>
    <w:p w14:paraId="2957EE8F">
      <w:pPr>
        <w:bidi w:val="0"/>
        <w:rPr>
          <w:rFonts w:hint="eastAsia"/>
        </w:rPr>
      </w:pPr>
      <w:r>
        <w:rPr>
          <w:rFonts w:hint="eastAsia"/>
        </w:rPr>
        <w:t>7安全管理机构</w:t>
      </w:r>
    </w:p>
    <w:p w14:paraId="0A92D5A3">
      <w:pPr>
        <w:bidi w:val="0"/>
        <w:rPr>
          <w:rFonts w:hint="eastAsia"/>
        </w:rPr>
      </w:pPr>
      <w:r>
        <w:rPr>
          <w:rFonts w:hint="eastAsia"/>
        </w:rPr>
        <w:t>针对整个管理组织架构提出的安全控制要求，涉及的安全控制点包括岗位设置、人员配备、授权和审批、沟通和合作以及审核和检查。</w:t>
      </w:r>
    </w:p>
    <w:p w14:paraId="6F598DBF">
      <w:pPr>
        <w:bidi w:val="0"/>
        <w:rPr>
          <w:rFonts w:hint="eastAsia"/>
        </w:rPr>
      </w:pPr>
      <w:r>
        <w:rPr>
          <w:rFonts w:hint="eastAsia"/>
        </w:rPr>
        <w:t>8安全管理人员</w:t>
      </w:r>
    </w:p>
    <w:p w14:paraId="6CEE17E4">
      <w:pPr>
        <w:bidi w:val="0"/>
        <w:rPr>
          <w:rFonts w:hint="eastAsia"/>
        </w:rPr>
      </w:pPr>
      <w:r>
        <w:rPr>
          <w:rFonts w:hint="eastAsia"/>
        </w:rPr>
        <w:t>针对人员管理提出的安全控制要求，涉及的安全控制点包括人员录用、人员离岗、安全意识教育和培训以及外部人员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8%AE%BF%E9%97%AE%E7%AE%A1%E7%90%86&amp;zd_token=eyJhbGciOiJIUzI1NiIsInR5cCI6IkpXVCJ9.eyJpc3MiOiJ6aGlkYV9zZXJ2ZXIiLCJleHAiOjE3OTAyNDkxOTAsInEiOiLorr_pl67nrqHnkIYiLCJ6aGlkYV9zb3VyY2UiOiJlbnRpdHkiLCJjb250ZW50X2lkIjoyNjk5MzUyODQsImNvbnRlbnRfdHlwZSI6IkFydGljbGUiLCJtYXRjaF9vcmRlciI6MSwiemRfdG9rZW4iOm51bGx9.rgxfpXLgWd1b7MefCfnciLbcyKsibRB8mVF_nWD0T8s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访问管理</w:t>
      </w:r>
      <w:r>
        <w:rPr>
          <w:rFonts w:hint="eastAsia"/>
        </w:rPr>
        <w:fldChar w:fldCharType="end"/>
      </w:r>
      <w:r>
        <w:rPr>
          <w:rFonts w:hint="eastAsia"/>
        </w:rPr>
        <w:t>。</w:t>
      </w:r>
    </w:p>
    <w:p w14:paraId="6D51FC83">
      <w:pPr>
        <w:bidi w:val="0"/>
        <w:rPr>
          <w:rFonts w:hint="eastAsia"/>
        </w:rPr>
      </w:pPr>
      <w:r>
        <w:rPr>
          <w:rFonts w:hint="eastAsia"/>
        </w:rPr>
        <w:t>9安全建设管理</w:t>
      </w:r>
    </w:p>
    <w:p w14:paraId="60B63536">
      <w:pPr>
        <w:bidi w:val="0"/>
        <w:rPr>
          <w:rFonts w:hint="eastAsia"/>
        </w:rPr>
      </w:pPr>
      <w:r>
        <w:rPr>
          <w:rFonts w:hint="eastAsia"/>
        </w:rPr>
        <w:t>针对安全建设过程提出的安全控制要求，涉及的安全控制点包括定级和备案、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5%AE%89%E5%85%A8%E6%96%B9%E6%A1%88&amp;zd_token=eyJhbGciOiJIUzI1NiIsInR5cCI6IkpXVCJ9.eyJpc3MiOiJ6aGlkYV9zZXJ2ZXIiLCJleHAiOjE3OTAyNDkxOTAsInEiOiLlronlhajmlrnmoYgiLCJ6aGlkYV9zb3VyY2UiOiJlbnRpdHkiLCJjb250ZW50X2lkIjoyNjk5MzUyODQsImNvbnRlbnRfdHlwZSI6IkFydGljbGUiLCJtYXRjaF9vcmRlciI6MSwiemRfdG9rZW4iOm51bGx9.zkXoO_fq66MbiZsASVoBmah_D_9CHQLayteduwAczFE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安全方案</w:t>
      </w:r>
      <w:r>
        <w:rPr>
          <w:rFonts w:hint="eastAsia"/>
        </w:rPr>
        <w:fldChar w:fldCharType="end"/>
      </w:r>
      <w:r>
        <w:rPr>
          <w:rFonts w:hint="eastAsia"/>
        </w:rPr>
        <w:t>设计、安全产品采购和使用、自行软件开发、外包软件开发、工程实施、测试验收、系统交付、等级测评和服务供应商管理。</w:t>
      </w:r>
    </w:p>
    <w:p w14:paraId="6F2430B2">
      <w:pPr>
        <w:bidi w:val="0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2&amp;q=%E5%AE%89%E5%85%A8%E8%BF%90%E7%BB%B4&amp;zd_token=eyJhbGciOiJIUzI1NiIsInR5cCI6IkpXVCJ9.eyJpc3MiOiJ6aGlkYV9zZXJ2ZXIiLCJleHAiOjE3OTAyNDkxOTAsInEiOiLlronlhajov5Dnu7QiLCJ6aGlkYV9zb3VyY2UiOiJlbnRpdHkiLCJjb250ZW50X2lkIjoyNjk5MzUyODQsImNvbnRlbnRfdHlwZSI6IkFydGljbGUiLCJtYXRjaF9vcmRlciI6MiwiemRfdG9rZW4iOm51bGx9.EWIxR7tSdqhyzbWQC39Ho_2BG1eEqe1c7hHgmpJytUo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安全运维</w:t>
      </w:r>
      <w:r>
        <w:rPr>
          <w:rFonts w:hint="eastAsia"/>
        </w:rPr>
        <w:fldChar w:fldCharType="end"/>
      </w:r>
      <w:r>
        <w:rPr>
          <w:rFonts w:hint="eastAsia"/>
        </w:rPr>
        <w:t>管理</w:t>
      </w:r>
    </w:p>
    <w:p w14:paraId="3319C0CB">
      <w:pPr>
        <w:bidi w:val="0"/>
        <w:rPr>
          <w:rFonts w:hint="eastAsia"/>
        </w:rPr>
      </w:pPr>
      <w:r>
        <w:rPr>
          <w:rFonts w:hint="eastAsia"/>
        </w:rPr>
        <w:t>针对安全运维过程提出的安全控制要求，涉及的安全控制点包括环境管理、资产管理、介质管理、设备维护管理、漏洞和风险管理、网络和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7%B3%BB%E7%BB%9F%E5%AE%89%E5%85%A8%E7%AE%A1%E7%90%86&amp;zd_token=eyJhbGciOiJIUzI1NiIsInR5cCI6IkpXVCJ9.eyJpc3MiOiJ6aGlkYV9zZXJ2ZXIiLCJleHAiOjE3OTAyNDkxOTAsInEiOiLns7vnu5_lronlhajnrqHnkIYiLCJ6aGlkYV9zb3VyY2UiOiJlbnRpdHkiLCJjb250ZW50X2lkIjoyNjk5MzUyODQsImNvbnRlbnRfdHlwZSI6IkFydGljbGUiLCJtYXRjaF9vcmRlciI6MSwiemRfdG9rZW4iOm51bGx9.rG3aN2dMg4ZLk-sRS0HKFA2_4_ri7OpN9pmpCTo7kc0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系统安全管理</w:t>
      </w:r>
      <w:r>
        <w:rPr>
          <w:rFonts w:hint="eastAsia"/>
        </w:rPr>
        <w:fldChar w:fldCharType="end"/>
      </w:r>
      <w:r>
        <w:rPr>
          <w:rFonts w:hint="eastAsia"/>
        </w:rPr>
        <w:t>、恶意代码防范管理、配置管理、密码管理、变更管理、备份与恢复管理、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ida.zhihu.com/search?content_id=269935284&amp;content_type=Article&amp;match_order=1&amp;q=%E5%AE%89%E5%85%A8%E4%BA%8B%E4%BB%B6&amp;zd_token=eyJhbGciOiJIUzI1NiIsInR5cCI6IkpXVCJ9.eyJpc3MiOiJ6aGlkYV9zZXJ2ZXIiLCJleHAiOjE3OTAyNDkxOTAsInEiOiLlronlhajkuovku7YiLCJ6aGlkYV9zb3VyY2UiOiJlbnRpdHkiLCJjb250ZW50X2lkIjoyNjk5MzUyODQsImNvbnRlbnRfdHlwZSI6IkFydGljbGUiLCJtYXRjaF9vcmRlciI6MSwiemRfdG9rZW4iOm51bGx9.Evk4bOOBUCC2g6CNEBbeiTt4HMPu4792QUFrDzFDLik&amp;zhida_source=entity" \t "https://zhuanlan.zhihu.com/p/_blank" </w:instrText>
      </w:r>
      <w:r>
        <w:rPr>
          <w:rFonts w:hint="eastAsia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Cs w:val="27"/>
          <w:u w:val="none"/>
          <w:shd w:val="clear" w:fill="FFFFFF"/>
        </w:rPr>
        <w:t>安全事件</w:t>
      </w:r>
      <w:r>
        <w:rPr>
          <w:rFonts w:hint="eastAsia"/>
        </w:rPr>
        <w:fldChar w:fldCharType="end"/>
      </w:r>
      <w:r>
        <w:rPr>
          <w:rFonts w:hint="eastAsia"/>
        </w:rPr>
        <w:t>处置、应急预案管理和外包运维管理。</w:t>
      </w:r>
    </w:p>
    <w:p w14:paraId="7E10B5D4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等保等级划分（1-4级通用标准）</w:t>
      </w:r>
    </w:p>
    <w:tbl>
      <w:tblPr>
        <w:tblW w:w="10053" w:type="dxa"/>
        <w:tblInd w:w="-2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951"/>
        <w:gridCol w:w="3065"/>
        <w:gridCol w:w="2993"/>
        <w:gridCol w:w="2036"/>
      </w:tblGrid>
      <w:tr w14:paraId="519BD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E9942BE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FB7E3D4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6E9EFCC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核心特征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995A0EF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EB59774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监管要求</w:t>
            </w:r>
          </w:p>
        </w:tc>
      </w:tr>
      <w:tr w14:paraId="14CF9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6F7AFC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第一级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CD75E5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自主保护级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E69BA6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破坏后仅损害个人 / 组织权益，不影响国家安全和社会秩序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B64013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小微企业非敏感系统、普通展示网站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27AAD8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企业自主负责，年度自查</w:t>
            </w:r>
          </w:p>
        </w:tc>
      </w:tr>
      <w:tr w14:paraId="4D075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0F4C4D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11F9C8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指导保护级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5EEE55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破坏后影响范围有限，不危害国家安全和社会公共利益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2EEA7C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中小企业业务系统、电商平台、医院门诊系统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51E955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备案 + 每 2 年测评 1 次</w:t>
            </w:r>
          </w:p>
        </w:tc>
      </w:tr>
      <w:tr w14:paraId="0E05E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FE80B7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75DAEB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监督保护级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C8DC76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破坏后危害国家安全、社会秩序或公共利益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3B7906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政府部门、金融机构、能源企业核心系统、医疗 HIS 系统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4A04BB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备案 + 每年测评 1 次，重点监管</w:t>
            </w:r>
          </w:p>
        </w:tc>
      </w:tr>
      <w:tr w14:paraId="0F44F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CBBDF8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第四级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837777F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强制保护级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90655B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破坏后严重危害国家安全、社会秩序或公共利益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842FE8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国家关键基础设施核心系统、军事指挥系统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C1E937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特殊监管，实时监控</w:t>
            </w:r>
          </w:p>
        </w:tc>
      </w:tr>
      <w:tr w14:paraId="6789F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1008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4D4DF1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第五级</w:t>
            </w:r>
          </w:p>
        </w:tc>
        <w:tc>
          <w:tcPr>
            <w:tcW w:w="951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5A9649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专控保护级</w:t>
            </w:r>
          </w:p>
        </w:tc>
        <w:tc>
          <w:tcPr>
            <w:tcW w:w="3065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E50E4A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破坏后特别严重危害国家安全</w:t>
            </w:r>
          </w:p>
        </w:tc>
        <w:tc>
          <w:tcPr>
            <w:tcW w:w="2993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5D2C29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国家最高机密信息系统</w:t>
            </w:r>
          </w:p>
        </w:tc>
        <w:tc>
          <w:tcPr>
            <w:tcW w:w="2036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7CD767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最高级别保护，专属管控</w:t>
            </w:r>
          </w:p>
        </w:tc>
      </w:tr>
    </w:tbl>
    <w:p w14:paraId="49D797F4">
      <w:pPr>
        <w:numPr>
          <w:numId w:val="0"/>
        </w:numPr>
      </w:pPr>
    </w:p>
    <w:p w14:paraId="63B168D0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与等保1.0的区别</w:t>
      </w:r>
    </w:p>
    <w:tbl>
      <w:tblPr>
        <w:tblW w:w="93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2249"/>
        <w:gridCol w:w="5970"/>
      </w:tblGrid>
      <w:tr w14:paraId="2C049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E23F9D4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color w:val="191B1F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instrText xml:space="preserve"> HYPERLINK "https://zhida.zhihu.com/search?content_id=269935284&amp;content_type=Article&amp;match_order=1&amp;q=%E5%AF%B9%E6%AF%94%E7%BB%B4%E5%BA%A6&amp;zd_token=eyJhbGciOiJIUzI1NiIsInR5cCI6IkpXVCJ9.eyJpc3MiOiJ6aGlkYV9zZXJ2ZXIiLCJleHAiOjE3OTAyNDkxOTAsInEiOiLlr7nmr5Tnu7TluqYiLCJ6aGlkYV9zb3VyY2UiOiJlbnRpdHkiLCJjb250ZW50X2lkIjoyNjk5MzUyODQsImNvbnRlbnRfdHlwZSI6IkFydGljbGUiLCJtYXRjaF9vcmRlciI6MSwiemRfdG9rZW4iOm51bGx9.9RqU_Z0geruKact35Tyv3x8vs4-qBtksa4N-qyn37Z4&amp;zhida_source=entity" \t "https://zhuanlan.zhihu.com/p/_blank" </w:instrTex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09408E"/>
                <w:sz w:val="22"/>
                <w:szCs w:val="22"/>
                <w:u w:val="none"/>
                <w:bdr w:val="none" w:color="auto" w:sz="0" w:space="0"/>
              </w:rPr>
              <w:t>对比维度</w: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1CE50AF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color w:val="191B1F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91B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 1.0</w:t>
            </w:r>
          </w:p>
        </w:tc>
        <w:tc>
          <w:tcPr>
            <w:tcW w:w="5970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659B047">
            <w:pPr>
              <w:keepNext w:val="0"/>
              <w:keepLines w:val="0"/>
              <w:widowControl/>
              <w:suppressLineNumbers w:val="0"/>
              <w:spacing w:line="288" w:lineRule="atLeast"/>
              <w:jc w:val="center"/>
              <w:rPr>
                <w:color w:val="191B1F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191B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 2.0</w:t>
            </w:r>
          </w:p>
        </w:tc>
      </w:tr>
      <w:tr w14:paraId="212CD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D03E51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保护对象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C20186F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传统信息系统</w:t>
            </w:r>
          </w:p>
        </w:tc>
        <w:tc>
          <w:tcPr>
            <w:tcW w:w="5970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D7F7BF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扩展至云计算、大数据、物联网、工业控制系统、</w: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instrText xml:space="preserve"> HYPERLINK "https://zhida.zhihu.com/search?content_id=269935284&amp;content_type=Article&amp;match_order=1&amp;q=%E8%BE%B9%E7%BC%98%E8%AE%A1%E7%AE%97&amp;zd_token=eyJhbGciOiJIUzI1NiIsInR5cCI6IkpXVCJ9.eyJpc3MiOiJ6aGlkYV9zZXJ2ZXIiLCJleHAiOjE3OTAyNDkxOTAsInEiOiLovrnnvJjorqHnrpciLCJ6aGlkYV9zb3VyY2UiOiJlbnRpdHkiLCJjb250ZW50X2lkIjoyNjk5MzUyODQsImNvbnRlbnRfdHlwZSI6IkFydGljbGUiLCJtYXRjaF9vcmRlciI6MSwiemRfdG9rZW4iOm51bGx9.DlfG-u3AQ9knFgk-NWNssck_NxZXfjTtVwjcUfsufRc&amp;zhida_source=entity" \t "https://zhuanlan.zhihu.com/p/_blank" </w:instrTex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09408E"/>
                <w:sz w:val="22"/>
                <w:szCs w:val="22"/>
                <w:u w:val="none"/>
                <w:bdr w:val="none" w:color="auto" w:sz="0" w:space="0"/>
              </w:rPr>
              <w:t>边缘计算</w: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等新兴领域</w:t>
            </w:r>
          </w:p>
        </w:tc>
      </w:tr>
      <w:tr w14:paraId="6394D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063F75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安全理念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4D2AF84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被动防御、单点防护</w:t>
            </w:r>
          </w:p>
        </w:tc>
        <w:tc>
          <w:tcPr>
            <w:tcW w:w="5970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3C3BFE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主动免疫、</w: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instrText xml:space="preserve"> HYPERLINK "https://zhida.zhihu.com/search?content_id=269935284&amp;content_type=Article&amp;match_order=2&amp;q=%E5%8A%A8%E6%80%81%E9%98%B2%E5%BE%A1&amp;zd_token=eyJhbGciOiJIUzI1NiIsInR5cCI6IkpXVCJ9.eyJpc3MiOiJ6aGlkYV9zZXJ2ZXIiLCJleHAiOjE3OTAyNDkxOTAsInEiOiLliqjmgIHpmLLlvqEiLCJ6aGlkYV9zb3VyY2UiOiJlbnRpdHkiLCJjb250ZW50X2lkIjoyNjk5MzUyODQsImNvbnRlbnRfdHlwZSI6IkFydGljbGUiLCJtYXRjaF9vcmRlciI6MiwiemRfdG9rZW4iOm51bGx9.jdrzDqHd9-gyf61veZMCMMIn4VEJ1jL3tRdidiqR70A&amp;zhida_source=entity" \t "https://zhuanlan.zhihu.com/p/_blank" </w:instrTex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09408E"/>
                <w:sz w:val="22"/>
                <w:szCs w:val="22"/>
                <w:u w:val="none"/>
                <w:bdr w:val="none" w:color="auto" w:sz="0" w:space="0"/>
              </w:rPr>
              <w:t>动态防御</w:t>
            </w:r>
            <w:r>
              <w:rPr>
                <w:rFonts w:ascii="宋体" w:hAnsi="宋体" w:eastAsia="宋体" w:cs="宋体"/>
                <w:color w:val="09408E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、"一个中心三重防护" 体系</w:t>
            </w:r>
          </w:p>
        </w:tc>
      </w:tr>
      <w:tr w14:paraId="6BAE7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53285D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标准结构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82BAEC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单一标准</w:t>
            </w:r>
          </w:p>
        </w:tc>
        <w:tc>
          <w:tcPr>
            <w:tcW w:w="5970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286B452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"通用要求 + 扩展要求" 立体化体系，适配不同技术场景</w:t>
            </w:r>
          </w:p>
        </w:tc>
      </w:tr>
      <w:tr w14:paraId="7CB9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165FE5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测评体系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25B131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百分制（60 分合格）</w:t>
            </w:r>
          </w:p>
        </w:tc>
        <w:tc>
          <w:tcPr>
            <w:tcW w:w="5970" w:type="dxa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1977C4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三级判定（符合 / 基本符合 / 不符合）+ 重大风险隐患判断</w:t>
            </w:r>
          </w:p>
        </w:tc>
      </w:tr>
    </w:tbl>
    <w:p w14:paraId="33347FDF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95DE4"/>
    <w:multiLevelType w:val="singleLevel"/>
    <w:tmpl w:val="BE995DE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07C15C1"/>
    <w:multiLevelType w:val="singleLevel"/>
    <w:tmpl w:val="D07C15C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D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2026-09-22T11:31:55Z</dcterms:created>
  <dc:creator>18378933189</dc:creator>
  <cp:lastModifiedBy>WPS_1682943496</cp:lastModifiedBy>
  <dcterms:modified xsi:type="dcterms:W3CDTF">2026-09-22T11:46:36Z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eyJoZGlkIjoiMDBkM2IwZmI1OTFiOTAxY2IyYmI3ZTcyMWFiNzU3ZjAiLCJ1c2VySWQiOiIxNDkwOTU3MzIzIn0=</vt:lpwstr>
  </property>
  <property fmtid="{D5CDD505-2E9C-101B-9397-08002B2CF9AE}" pid="4" name="ICV">
    <vt:lpwstr>F20C2648370043A2A22BEAC000D49B2D_12</vt:lpwstr>
  </property>
</Properties>
</file>