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Semester Project Resource Estimate</w:t>
      </w:r>
    </w:p>
    <w:p>
      <w:pPr>
        <w:pStyle w:val="Subtitle"/>
      </w:pPr>
      <w:r>
        <w:t>Clinical Laboratory Management System</w:t>
        <w:br/>
        <w:t>SFWE 403/503 Fall 2026 | Group 7 | October 3, 2026</w:t>
        <w:br/>
        <w:t>Yingwei Song | Jiahao Wang | Qihao Wen | Justin Ulloa</w:t>
      </w:r>
    </w:p>
    <w:p>
      <w:r>
        <w:t>Our planning estimate is 770 total person-hours for the semester CLMS project: 670 hours of baseline work and 100 hours of contingency. This is the combined effort of all four team members, including planning, implementation, testing, documentation and project coordination. It is not 770 hours per person.</w:t>
      </w:r>
    </w:p>
    <w:p>
      <w:pPr>
        <w:pStyle w:val="Heading1"/>
      </w:pPr>
      <w:r>
        <w:t>Scope and estimation method</w:t>
      </w:r>
    </w:p>
    <w:p>
      <w:r>
        <w:t>We use the COCOMO II Application Composition model, calculated directly from estimated screens, reports and a custom instrument-import component. This model is appropriate for an early estimate of a small GUI and database application assembled with framework components. The size inventory on the next page maps to the supplied CLMS requirements, updated October 1, 2025. No measured team productivity or historical actual hours are assumed.</w:t>
      </w:r>
    </w:p>
    <w:p>
      <w:r>
        <w:t>The semester baseline covers every numbered requirement in section 6: laboratory and patient records, all six user types, account security, test entry, sample barcodes, instrument text imports, inventory controls, reporting and purchases. Section 4 informs result validation, restricted patient/provider result access and equipment maintenance. Broader production integrations, insurance claim adjudication, live payment processing, multi-branch deployment and regulatory certification are outside this teaching prototype estimate.</w:t>
      </w:r>
    </w:p>
    <w:p>
      <w:pPr>
        <w:pStyle w:val="Heading1"/>
      </w:pPr>
      <w:r>
        <w:t>Implementation assumptions</w:t>
      </w:r>
    </w:p>
    <w:p>
      <w:pPr>
        <w:pStyle w:val="ListBullet"/>
      </w:pPr>
      <w:r>
        <w:t>One English desktop web application using Python and Django, server-rendered templates with Bootstrap, a relational database, framework authentication, and barcode/printing libraries. This is a proposed stack, not an existing team decision.</w:t>
      </w:r>
    </w:p>
    <w:p>
      <w:pPr>
        <w:pStyle w:val="ListBullet"/>
      </w:pPr>
      <w:r>
        <w:t>SQLite is sufficient for a single demo environment; use a shared development repository and repeatable database fixtures. Instrument input follows the exact simplified text-file format in requirement 6.3.5. Use fictional patients, an email test mailbox, simulated payments and local supplier orders.</w:t>
      </w:r>
    </w:p>
    <w:p>
      <w:pPr>
        <w:pStyle w:val="ListBullet"/>
      </w:pPr>
      <w:r>
        <w:t>The framework provides reusable infrastructure; application-specific objects receive 0% reuse credit because no existing CLMS screens or modules have been verified. This avoids counting framework use as both productivity and reuse savings.</w:t>
      </w:r>
    </w:p>
    <w:p>
      <w:pPr>
        <w:pStyle w:val="Heading1"/>
      </w:pPr>
      <w:r>
        <w:t>Model inputs</w:t>
      </w:r>
    </w:p>
    <w:tbl>
      <w:tblPr>
        <w:tblW w:type="auto" w:w="0"/>
        <w:jc w:val="center"/>
        <w:tblLayout w:type="fixed"/>
        <w:tblLook w:firstColumn="1" w:firstRow="1" w:lastColumn="0" w:lastRow="0" w:noHBand="0" w:noVBand="1" w:val="04A0"/>
      </w:tblPr>
      <w:tblGrid>
        <w:gridCol w:w="1728"/>
        <w:gridCol w:w="8496"/>
      </w:tblGrid>
      <w:tr>
        <w:trPr>
          <w:cantSplit/>
          <w:tblHeader/>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Input</w:t>
            </w:r>
          </w:p>
        </w:tc>
        <w:tc>
          <w:tcPr>
            <w:tcW w:type="dxa" w:w="84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Planning value and rationale</w:t>
            </w:r>
          </w:p>
        </w:tc>
      </w:tr>
      <w:tr>
        <w:trPr>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Size</w:t>
            </w:r>
          </w:p>
        </w:tc>
        <w:tc>
          <w:tcPr>
            <w:tcW w:type="dxa" w:w="84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57 weighted object points, itemized on page 2.</w:t>
            </w:r>
          </w:p>
        </w:tc>
      </w:tr>
      <w:tr>
        <w:trPr>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Productivity</w:t>
            </w:r>
          </w:p>
        </w:tc>
        <w:tc>
          <w:tcPr>
            <w:tcW w:type="dxa" w:w="84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13 new object points per person-month, the nominal Application Composition rate. A planning assumption reflecting ordinary programming ability and mature tools; not a measured claim about team experience.</w:t>
            </w:r>
          </w:p>
        </w:tc>
      </w:tr>
      <w:tr>
        <w:trPr>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Conversion</w:t>
            </w:r>
          </w:p>
        </w:tc>
        <w:tc>
          <w:tcPr>
            <w:tcW w:type="dxa" w:w="84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152 working hours per person-month. Person-months measure effort, not elapsed calendar months.</w:t>
            </w:r>
          </w:p>
        </w:tc>
      </w:tr>
      <w:tr>
        <w:trPr>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Reuse</w:t>
            </w:r>
          </w:p>
        </w:tc>
        <w:tc>
          <w:tcPr>
            <w:tcW w:type="dxa" w:w="84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0% application-object reuse. New object points = 57.</w:t>
            </w:r>
          </w:p>
        </w:tc>
      </w:tr>
    </w:tbl>
    <w:p>
      <w:pPr>
        <w:spacing w:after="0"/>
      </w:pPr>
    </w:p>
    <w:p>
      <w:pPr>
        <w:pStyle w:val="Heading1"/>
        <w:pageBreakBefore/>
      </w:pPr>
      <w:r>
        <w:t>Detailed size inventory</w:t>
      </w:r>
    </w:p>
    <w:p>
      <w:r>
        <w:t>Screens represent logical workspaces rather than URLs. Simple workspaces use a small form or list; medium workspaces combine related views and several records; difficult workspaces coordinate order, sample, physician, insurance and stock data. These preliminary classifications should be revisited after interface and schema design.</w:t>
      </w:r>
    </w:p>
    <w:tbl>
      <w:tblPr>
        <w:tblW w:type="auto" w:w="0"/>
        <w:jc w:val="center"/>
        <w:tblLayout w:type="fixed"/>
        <w:tblLook w:firstColumn="1" w:firstRow="1" w:lastColumn="0" w:lastRow="0" w:noHBand="0" w:noVBand="1" w:val="04A0"/>
      </w:tblPr>
      <w:tblGrid>
        <w:gridCol w:w="1152"/>
        <w:gridCol w:w="5328"/>
        <w:gridCol w:w="2304"/>
        <w:gridCol w:w="1440"/>
      </w:tblGrid>
      <w:tr>
        <w:trPr>
          <w:cantSplit/>
          <w:tblHeader/>
        </w:trPr>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Type</w:t>
            </w:r>
          </w:p>
        </w:tc>
        <w:tc>
          <w:tcPr>
            <w:tcW w:type="dxa" w:w="53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Objects included</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Count and weight</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Points</w:t>
            </w:r>
          </w:p>
        </w:tc>
      </w:tr>
      <w:tr>
        <w:trPr>
          <w:cantSplit/>
        </w:trPr>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Screens</w:t>
            </w:r>
          </w:p>
        </w:tc>
        <w:tc>
          <w:tcPr>
            <w:tcW w:type="dxa" w:w="53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Lab profile; sign in; password setup/change; supplier order; delivery receipt; stock/expiry alerts; audit viewer; patient/provider result view</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8 simple × 1</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8</w:t>
            </w:r>
          </w:p>
        </w:tc>
      </w:tr>
      <w:tr>
        <w:trPr>
          <w:cantSplit/>
        </w:trPr>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Screens</w:t>
            </w:r>
          </w:p>
        </w:tc>
        <w:tc>
          <w:tcPr>
            <w:tcW w:type="dxa" w:w="53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User administration; patient profile; patient/sample history; inventory list; stock adjustment; result review and instrument maintenance tabs; checkout</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7 medium × 2</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14</w:t>
            </w:r>
          </w:p>
        </w:tc>
      </w:tr>
      <w:tr>
        <w:trPr>
          <w:cantSplit/>
        </w:trPr>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Screens</w:t>
            </w:r>
          </w:p>
        </w:tc>
        <w:tc>
          <w:tcPr>
            <w:tcW w:type="dxa" w:w="53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Test order entry; specimen collection and availability workflow</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2 difficult × 3</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6</w:t>
            </w:r>
          </w:p>
        </w:tc>
      </w:tr>
      <w:tr>
        <w:trPr>
          <w:cantSplit/>
        </w:trPr>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Reports</w:t>
            </w:r>
          </w:p>
        </w:tc>
        <w:tc>
          <w:tcPr>
            <w:tcW w:type="dxa" w:w="53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Sample barcode label; purchase receipt</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2 simple × 2</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4</w:t>
            </w:r>
          </w:p>
        </w:tc>
      </w:tr>
      <w:tr>
        <w:trPr>
          <w:cantSplit/>
        </w:trPr>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Reports</w:t>
            </w:r>
          </w:p>
        </w:tc>
        <w:tc>
          <w:tcPr>
            <w:tcW w:type="dxa" w:w="53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Financial period report; inventory movement report; operational turnaround and equipment report</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3 medium × 5</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15</w:t>
            </w:r>
          </w:p>
        </w:tc>
      </w:tr>
      <w:tr>
        <w:trPr>
          <w:cantSplit/>
        </w:trPr>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Custom component</w:t>
            </w:r>
          </w:p>
        </w:tc>
        <w:tc>
          <w:tcPr>
            <w:tcW w:type="dxa" w:w="53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Instrument .txt parser, barcode/test matching, duplicate protection and import diagnostics</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1 component × 10</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10</w:t>
            </w:r>
          </w:p>
        </w:tc>
      </w:tr>
      <w:tr>
        <w:trPr>
          <w:cantSplit/>
        </w:trPr>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Total</w:t>
            </w:r>
          </w:p>
        </w:tc>
        <w:tc>
          <w:tcPr>
            <w:tcW w:type="dxa" w:w="53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17 screens, 5 reports and 1 custom component</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57</w:t>
            </w:r>
          </w:p>
        </w:tc>
      </w:tr>
    </w:tbl>
    <w:p>
      <w:pPr>
        <w:spacing w:after="0"/>
      </w:pPr>
    </w:p>
    <w:p>
      <w:pPr>
        <w:pStyle w:val="Heading1"/>
      </w:pPr>
      <w:r>
        <w:t>Counting boundaries and complexity</w:t>
      </w:r>
    </w:p>
    <w:p>
      <w:r>
        <w:t>The three medium reports each combine multiple sections and related records: financial totals and payment breakdowns; stock balances and movements; and turnaround, machine output and maintenance. The label and receipt are simple print layouts. Staff and external-user views share components where their data and interaction are identical; their permission checks remain in scope.</w:t>
      </w:r>
    </w:p>
    <w:p>
      <w:r>
        <w:t>Business rules behind the screens, database access, validation, integration and tests are part of implementing these objects. They are not counted again as separate custom components. The import parser is counted separately because it interprets external records rather than implementing a CRUD form. Printing layout work is counted as reports, not as a second collection or checkout screen.</w:t>
      </w:r>
    </w:p>
    <w:p>
      <w:pPr>
        <w:pStyle w:val="Heading1"/>
      </w:pPr>
      <w:r>
        <w:t>Requirements represented</w:t>
      </w:r>
    </w:p>
    <w:p>
      <w:r>
        <w:t>Accounts and patient/laboratory screens cover 6.1-6.2. Order, collection, history, validation and the parser cover 6.3. Inventory workspaces cover 6.4. Audit and the three management/operations reports cover 6.5. Checkout and receipt cover 6.6. The detailed release backlog preserves individual requirement references and acceptance conditions.</w:t>
      </w:r>
    </w:p>
    <w:p>
      <w:pPr>
        <w:pStyle w:val="Heading1"/>
        <w:pageBreakBefore/>
      </w:pPr>
      <w:r>
        <w:t>Calculation and total effort</w:t>
      </w:r>
    </w:p>
    <w:p>
      <w:r>
        <w:t>Object points = 8 + 14 + 6 + 4 + 15 + 10 = 57.</w:t>
        <w:br/>
        <w:t>New object points = 57 × (1 - 0/100) = 57.</w:t>
        <w:br/>
        <w:t>Effort = 57 / 13 = 4.3846 person-months.</w:t>
        <w:br/>
        <w:t>Base effort in hours = 4.3846 × 152 = 666.46 person-hours.</w:t>
        <w:br/>
        <w:t>Round the working baseline up to 670 hours.</w:t>
        <w:br/>
        <w:t>Contingency ≈ 15% of 666.46 = 99.97 hours, rounded to 100.</w:t>
        <w:br/>
        <w:t>Total planning estimate = 670 + 100 = 770 person-hours.</w:t>
      </w:r>
    </w:p>
    <w:p>
      <w:pPr>
        <w:pStyle w:val="Heading1"/>
      </w:pPr>
      <w:r>
        <w:t>Work allocation within the baseline</w:t>
      </w:r>
    </w:p>
    <w:p>
      <w:r>
        <w:t>The following is a planning allocation of the 670-hour model estimate. These hours are included in the estimate; they are not additional charges or historical actuals. Reserve hours are held at project level and used only when risk work occurs.</w:t>
      </w:r>
    </w:p>
    <w:tbl>
      <w:tblPr>
        <w:tblW w:type="auto" w:w="0"/>
        <w:jc w:val="center"/>
        <w:tblLayout w:type="fixed"/>
        <w:tblLook w:firstColumn="1" w:firstRow="1" w:lastColumn="0" w:lastRow="0" w:noHBand="0" w:noVBand="1" w:val="04A0"/>
      </w:tblPr>
      <w:tblGrid>
        <w:gridCol w:w="4752"/>
        <w:gridCol w:w="1800"/>
        <w:gridCol w:w="1800"/>
        <w:gridCol w:w="1872"/>
      </w:tblGrid>
      <w:tr>
        <w:trPr>
          <w:cantSplit/>
          <w:tblHeader/>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Work category</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MVP 1 hours</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MVP 2 hours</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Total hours</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Requirements and release/sprint planning</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30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20</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50</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Architecture, schema and interface design</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35</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15</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50</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Implementation and unit testing</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175</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185</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360</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Integration, acceptance and regression testing</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55</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70</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125</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User documentation, packaging and demonstrations</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20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25</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45</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Coordination, reviews and retrospectives</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20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20</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40</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Baseline total</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335</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335</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670</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Contingency allowance</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50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50</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100</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Planning total</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385</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385</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770</w:t>
            </w:r>
          </w:p>
        </w:tc>
      </w:tr>
    </w:tbl>
    <w:p>
      <w:pPr>
        <w:spacing w:after="0"/>
      </w:pPr>
    </w:p>
    <w:p>
      <w:pPr>
        <w:pStyle w:val="Heading1"/>
      </w:pPr>
      <w:r>
        <w:t>Why the contingency is needed</w:t>
      </w:r>
    </w:p>
    <w:p>
      <w:r>
        <w:t>The 100-hour reserve covers instrument-file edge cases and duplicate handling (30 hours), stock/barcode consistency and printing behavior (25), permission and validation defects (25), and environment or demonstration recovery (20). This reserve does not pay for new production integrations. Ordinary testing is already included in the baseline.</w:t>
      </w:r>
    </w:p>
    <w:p>
      <w:r>
        <w:t>MVP 1 establishes identity, records, inventory and collection. MVP 2 adds result processing, replenishment, checkout and reporting. Equal planned release hours and equal story-point totals are initial allocations; actual effort can differ without implying inaccurate time reporting.</w:t>
      </w:r>
    </w:p>
    <w:p>
      <w:pPr>
        <w:pStyle w:val="Heading1"/>
        <w:pageBreakBefore/>
      </w:pPr>
      <w:r>
        <w:t>Capacity and sensitivity</w:t>
      </w:r>
    </w:p>
    <w:p>
      <w:r>
        <w:t>An equal-share capacity benchmark is 770 / 4 = 192.5 hours per member. Over the proposed eight-week delivery window, this is 24.06 hours per member per week. This is a substantial planning requirement, not confirmed availability. Previously completed project work, if any, must be entered as actuals and subtracted from the remaining forecast; the plan does not invent past work.</w:t>
      </w:r>
    </w:p>
    <w:tbl>
      <w:tblPr>
        <w:tblW w:type="auto" w:w="0"/>
        <w:jc w:val="center"/>
        <w:tblLayout w:type="fixed"/>
        <w:tblLook w:firstColumn="1" w:firstRow="1" w:lastColumn="0" w:lastRow="0" w:noHBand="0" w:noVBand="1" w:val="04A0"/>
      </w:tblPr>
      <w:tblGrid>
        <w:gridCol w:w="4752"/>
        <w:gridCol w:w="2520"/>
        <w:gridCol w:w="2952"/>
      </w:tblGrid>
      <w:tr>
        <w:trPr>
          <w:cantSplit/>
          <w:tblHeader/>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Scenario</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Model hours before reserve</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40" w:before="40" w:line="240" w:lineRule="auto"/>
            </w:pPr>
            <w:r>
              <w:rPr>
                <w:b/>
                <w:sz w:val="19"/>
              </w:rPr>
              <w:t>With 15% reserve</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Smaller size: 50 points at 13 points/month</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584.62</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672.31</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Baseline size: 57 points at 13 points/month</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666.46</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766.43 (rounded plan: 770)</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Larger size: 65 points at 13 points/month</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760.00</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19"/>
              </w:rPr>
              <w:t>874.00</w:t>
            </w:r>
          </w:p>
        </w:tc>
      </w:tr>
      <w:tr>
        <w:trPr>
          <w:cantSplit/>
        </w:trPr>
        <w:tc>
          <w:tcPr>
            <w:tcW w:type="dxa" w:w="47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Slower productivity: 57 points at 7 points/month</w:t>
            </w:r>
          </w:p>
        </w:tc>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1,237.71</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4F6F8"/>
          </w:tcPr>
          <w:p>
            <w:pPr>
              <w:spacing w:after="40" w:before="40" w:line="240" w:lineRule="auto"/>
            </w:pPr>
            <w:r>
              <w:rPr>
                <w:b w:val="0"/>
                <w:sz w:val="19"/>
              </w:rPr>
              <w:t>1,423.37</w:t>
            </w:r>
          </w:p>
        </w:tc>
      </w:tr>
    </w:tbl>
    <w:p>
      <w:pPr>
        <w:spacing w:after="0"/>
      </w:pPr>
    </w:p>
    <w:p>
      <w:r>
        <w:t>These are scenario calculations, not a statistical confidence interval. The productivity choice has a large effect. If the team can provide only 15 hours per person per week, eight-week capacity is 480 hours, a 290-hour gap against the 770-hour plan. Replan scope or delivery dates with the instructor instead of hiding the gap through higher assumed velocity.</w:t>
      </w:r>
    </w:p>
    <w:p>
      <w:pPr>
        <w:pStyle w:val="Heading1"/>
      </w:pPr>
      <w:r>
        <w:t>Actual effort tracking and reforecasting</w:t>
      </w:r>
    </w:p>
    <w:p>
      <w:r>
        <w:t>Each member records actual hours in Jira Log Work against the relevant story or supporting task, with date, activity and release. Log planning, reviews, testing and documentation as well as coding. A one-hour meeting attended by four members is four person-hours. Pair work records each participant’s time once. Do not log a parent and subtask for the same work.</w:t>
      </w:r>
    </w:p>
    <w:p>
      <w:r>
        <w:t>At each sprint review, sum actual work across all four members, compare it with the baseline allocation, and estimate remaining work independently. Forecast at completion = actual hours to date + estimated hours remaining. Preserve the original 770-hour plan; report changes separately. At semester end, report actual total, variance = actual - 770, and variance percentage = (actual - 770) / 770 × 100%. Unused contingency is not recorded as spent time.</w:t>
      </w:r>
    </w:p>
    <w:p>
      <w:r>
        <w:t>Track story-point velocity separately: count only accepted Done stories, without partial credit. Story points and COCOMO object points measure different things and are not interchangeable; neither is a fixed conversion into hours.</w:t>
      </w:r>
    </w:p>
    <w:p>
      <w:pPr>
        <w:pStyle w:val="Heading1"/>
      </w:pPr>
      <w:r>
        <w:t>References</w:t>
      </w:r>
    </w:p>
    <w:p>
      <w:r>
        <w:t>Diana Diazh. Clinical Laboratory Management System System ConOps and Requirements, updated October 1, 2025, sections 4-6. Supplied course document. Project Overview slides: two-week sprints and two MVPs; the older dated calendar is not used as a Fall 2026 schedule.</w:t>
      </w:r>
    </w:p>
    <w:p>
      <w:hyperlink r:id="rId10">
        <w:r>
          <w:rPr>
            <w:color w:val="195080"/>
          </w:rPr>
          <w:t>USC COCOMO II Model Definition Manual v1.4, Chapter 4, pp. 21-23 (hosted copy)</w:t>
        </w:r>
      </w:hyperlink>
    </w:p>
    <w:p>
      <w:hyperlink r:id="rId11">
        <w:r>
          <w:rPr>
            <w:color w:val="195080"/>
          </w:rPr>
          <w:t>USC COCOMO II Model Definition Manual v2.1, section 3: person-month conversion (hosted copy)</w:t>
        </w:r>
      </w:hyperlink>
    </w:p>
    <w:p>
      <w:r>
        <w:t>This estimate uses a direct Application Composition calculation, with the model inputs, scope and uncertainty stated above.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Group 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tudylib.net/doc/10311189/cocomo-ii-model-definition-manual" TargetMode="External"/><Relationship Id="rId11" Type="http://schemas.openxmlformats.org/officeDocument/2006/relationships/hyperlink" Target="https://studylib.net/doc/11638144/cocomo-ii-model-definition-manual-version-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Semester Project Resource Estimate</dc:title>
  <dc:subject/>
  <dc:creator>Group 7</dc:creator>
  <cp:keywords/>
  <dc:description>generated by python-docx</dc:description>
  <cp:lastModifiedBy/>
  <cp:revision>1</cp:revision>
  <dcterms:created xsi:type="dcterms:W3CDTF">2013-12-23T23:15:00Z</dcterms:created>
  <dcterms:modified xsi:type="dcterms:W3CDTF">2013-12-23T23:15:00Z</dcterms:modified>
  <cp:category/>
</cp:coreProperties>
</file>