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spacing w:before="0" w:lineRule="auto"/>
        <w:ind w:left="-720" w:right="-720" w:firstLine="0"/>
        <w:rPr>
          <w:b w:val="1"/>
          <w:bCs w:val="1"/>
          <w:sz w:val="24"/>
          <w:szCs w:val="24"/>
        </w:rPr>
      </w:pPr>
      <w:bookmarkStart w:colFirst="0" w:colLast="0" w:name="_yk8x4j1xpwk9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Beyond Failing to Reject: A Bayesian Approach to Evaluating the Andilaye WASH Intervention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0"/>
        <w:numPr>
          <w:ilvl w:val="0"/>
          <w:numId w:val="1"/>
        </w:numPr>
        <w:spacing w:before="0" w:lineRule="auto"/>
        <w:ind w:left="-720" w:right="-720" w:firstLine="0"/>
        <w:rPr>
          <w:u w:val="none"/>
        </w:rPr>
      </w:pPr>
      <w:bookmarkStart w:colFirst="0" w:colLast="0" w:name="_s818uloul8nt" w:id="1"/>
      <w:bookmarkEnd w:id="1"/>
      <w:r w:rsidDel="00000000" w:rsidR="00000000" w:rsidRPr="00000000">
        <w:rPr>
          <w:rtl w:val="0"/>
        </w:rPr>
        <w:t xml:space="preserve">Research question and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0" w:line="276" w:lineRule="auto"/>
        <w:ind w:left="-720" w:right="-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This project reanalyzes data from the Andilaye trial, a cluster-randomized controlled trial conducted in Ethiopia (Delea et al., 2019; Freeman et al., 2022). The trial tested whether a demand-side water, sanitation, and hygiene (WASH) promotion intervention could reduce mental health concerns, relative to standard programming. Fifty kebeles across three woredas were randomly assigned, with household-level outcomes measured at baseline and two years later. The original published analysis using Generalized Estimating Equations and Yuwei’s reanalysis using mixed-effects regression yielded non-significant results. However, non-significant p-values cannot distinguish between “no effect” and “lack of sufficient evidence for an effect.” A Bayesian reanalysis can 1) quantify positive evidence for a practically null effect by computing the posterior probability that the treatment effect falls inside a Region of Practical Equivalence (ROPE); and 2) provide a full posterior distribution for the between-cluster variance, offering a meaningful quantification of uncertainty about cluster-level variability that neither GEE nor a frequentist mixed-effects model directly supplies.</w:t>
      </w:r>
    </w:p>
    <w:p w:rsidR="00000000" w:rsidDel="00000000" w:rsidP="00000000" w:rsidRDefault="00000000" w:rsidRPr="00000000" w14:paraId="00000005">
      <w:pPr>
        <w:widowControl w:val="0"/>
        <w:spacing w:before="0" w:line="276" w:lineRule="auto"/>
        <w:ind w:left="-720" w:right="-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Research question</w:t>
      </w:r>
      <w:r w:rsidDel="00000000" w:rsidR="00000000" w:rsidRPr="00000000">
        <w:rPr>
          <w:sz w:val="24"/>
          <w:szCs w:val="24"/>
          <w:rtl w:val="0"/>
        </w:rPr>
        <w:t xml:space="preserve">: What is the posterior probability that the treatment effect of the Andilaye on household-level depression, anxiety, and emotional distress falls inside a ROPE, and what is the full posterior distribution of the between-cluster variance?</w:t>
      </w:r>
    </w:p>
    <w:p w:rsidR="00000000" w:rsidDel="00000000" w:rsidP="00000000" w:rsidRDefault="00000000" w:rsidRPr="00000000" w14:paraId="00000006">
      <w:pPr>
        <w:widowControl w:val="0"/>
        <w:spacing w:before="0" w:line="276" w:lineRule="auto"/>
        <w:ind w:left="-720" w:right="-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</w:t>
      </w:r>
      <w:r w:rsidDel="00000000" w:rsidR="00000000" w:rsidRPr="00000000">
        <w:rPr>
          <w:sz w:val="24"/>
          <w:szCs w:val="24"/>
          <w:rtl w:val="0"/>
        </w:rPr>
        <w:t xml:space="preserve">: The dataset is open-access and accessible from Yuwei’s prior coursework. Missingness level is very minimal (&lt;0.2%), so we will proceed with complete case analysis without imputation.</w:t>
      </w:r>
    </w:p>
    <w:p w:rsidR="00000000" w:rsidDel="00000000" w:rsidP="00000000" w:rsidRDefault="00000000" w:rsidRPr="00000000" w14:paraId="00000007">
      <w:pPr>
        <w:widowControl w:val="0"/>
        <w:spacing w:before="0" w:line="276" w:lineRule="auto"/>
        <w:ind w:left="-720" w:right="-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widowControl w:val="0"/>
        <w:spacing w:before="0" w:lineRule="auto"/>
        <w:ind w:left="-720" w:right="-720" w:firstLine="0"/>
        <w:jc w:val="both"/>
        <w:rPr>
          <w:b w:val="1"/>
          <w:bCs w:val="1"/>
          <w:sz w:val="24"/>
          <w:szCs w:val="24"/>
        </w:rPr>
      </w:pPr>
      <w:bookmarkStart w:colFirst="0" w:colLast="0" w:name="_iwqw9fdqfgt6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models</w:t>
      </w:r>
    </w:p>
    <w:p w:rsidR="00000000" w:rsidDel="00000000" w:rsidP="00000000" w:rsidRDefault="00000000" w:rsidRPr="00000000" w14:paraId="00000009">
      <w:pPr>
        <w:widowControl w:val="0"/>
        <w:spacing w:before="0" w:line="276" w:lineRule="auto"/>
        <w:ind w:left="-720" w:right="-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model</w:t>
      </w:r>
      <w:r w:rsidDel="00000000" w:rsidR="00000000" w:rsidRPr="00000000">
        <w:rPr>
          <w:sz w:val="24"/>
          <w:szCs w:val="24"/>
          <w:rtl w:val="0"/>
        </w:rPr>
        <w:t xml:space="preserve">: Bayesian hierarchical logistic regression mirroring the original mixed-effects model: binary mental health outcomes (depression, anxiety, emotional distress) predicted by treatment arm and woreda fixed effects, with random intercepts for kebele. The treatment coefficient is the parameter of interest.</w:t>
      </w:r>
    </w:p>
    <w:p w:rsidR="00000000" w:rsidDel="00000000" w:rsidP="00000000" w:rsidRDefault="00000000" w:rsidRPr="00000000" w14:paraId="0000000A">
      <w:pPr>
        <w:widowControl w:val="0"/>
        <w:spacing w:before="0" w:line="276" w:lineRule="auto"/>
        <w:ind w:left="-720" w:right="-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 specification</w:t>
      </w:r>
      <w:r w:rsidDel="00000000" w:rsidR="00000000" w:rsidRPr="00000000">
        <w:rPr>
          <w:sz w:val="24"/>
          <w:szCs w:val="24"/>
          <w:rtl w:val="0"/>
        </w:rPr>
        <w:t xml:space="preserve">: We will start with weakly informative priors. The current plan is to specify a Normal(0, 1) prior on the treatment coefficient (log odds ratio scale), wide enough to accommodate large effects in either direction. Intercept and woreda coefficients will receive similar moderate Normal priors. The between-cluster standard deviation will receive a half-Student-t(3, 0, 2.5) prior. These choices are provisional and will be checked with literature search and prior predictive simulation. A sensitivity analysis with a more diffuse treatment prior will test robustness.</w:t>
      </w:r>
    </w:p>
    <w:p w:rsidR="00000000" w:rsidDel="00000000" w:rsidP="00000000" w:rsidRDefault="00000000" w:rsidRPr="00000000" w14:paraId="0000000B">
      <w:pPr>
        <w:widowControl w:val="0"/>
        <w:spacing w:before="0" w:line="276" w:lineRule="auto"/>
        <w:ind w:left="-720" w:right="-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ROPE</w:t>
      </w:r>
      <w:r w:rsidDel="00000000" w:rsidR="00000000" w:rsidRPr="00000000">
        <w:rPr>
          <w:sz w:val="24"/>
          <w:szCs w:val="24"/>
          <w:rtl w:val="0"/>
        </w:rPr>
        <w:t xml:space="preserve">: We will compute the posterior probability that the treatment coefficient falls inside a ROPE around zero. The ROPE bounds will be set at ±0.18 on the log odds ratio scale, which corresponds to the standardized negligible effect threshold recommended by Kruschke (2018) and implemented as the default for logistic models in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bayestestR</w:t>
      </w:r>
      <w:r w:rsidDel="00000000" w:rsidR="00000000" w:rsidRPr="00000000">
        <w:rPr>
          <w:sz w:val="24"/>
          <w:szCs w:val="24"/>
          <w:rtl w:val="0"/>
        </w:rPr>
        <w:t xml:space="preserve"> package (Makowski et al., 2019). A high posterior probability inside the ROPE (e.g., &gt;90%) will be interpreted as positive evidence for a practically null effect. We will also present the 95% Highest Density Interval relative to these bounds to assess whether the data support accepting or rejecting the null, or remain inconclusive.</w:t>
      </w:r>
    </w:p>
    <w:p w:rsidR="00000000" w:rsidDel="00000000" w:rsidP="00000000" w:rsidRDefault="00000000" w:rsidRPr="00000000" w14:paraId="0000000C">
      <w:pPr>
        <w:widowControl w:val="0"/>
        <w:spacing w:before="0" w:line="276" w:lineRule="auto"/>
        <w:ind w:left="-720" w:right="-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0" w:line="276" w:lineRule="auto"/>
        <w:ind w:left="-720" w:right="-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0E">
      <w:pPr>
        <w:widowControl w:val="0"/>
        <w:spacing w:before="0" w:lineRule="auto"/>
        <w:ind w:left="-720" w:right="-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Delea, M. G., Snyder, J. S., Belew, M., Caruso, B. A., Garn, J. V., Sclar, G. D., Woreta, M., Zewudie, K., Gebremariam, A., &amp; Freeman, M. C. (2019). Design of a parallel cluster-randomized trial assessing the impact of a demand-side sanitation and hygiene intervention on sustained behavior change and mental well-being in rural and peri-urban Amhara, Ethiopia: Andilaye study protocol.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BMC Public Health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19</w:t>
      </w:r>
      <w:r w:rsidDel="00000000" w:rsidR="00000000" w:rsidRPr="00000000">
        <w:rPr>
          <w:sz w:val="24"/>
          <w:szCs w:val="24"/>
          <w:rtl w:val="0"/>
        </w:rPr>
        <w:t xml:space="preserve">(1), 801. https://doi.org/10.1186/s12889-019-7040-6</w:t>
      </w:r>
    </w:p>
    <w:p w:rsidR="00000000" w:rsidDel="00000000" w:rsidP="00000000" w:rsidRDefault="00000000" w:rsidRPr="00000000" w14:paraId="0000000F">
      <w:pPr>
        <w:widowControl w:val="0"/>
        <w:spacing w:before="0" w:lineRule="auto"/>
        <w:ind w:left="-720" w:right="-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0" w:lineRule="auto"/>
        <w:ind w:left="-720" w:right="-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Freeman, M. C., Delea, M. G., Snyder, J. S., Garn, J. V., Belew, M., Caruso, B. A., Clasen, T. F., Sclar, G. D., Tesfaye, Y., Woreta, M., Zewudie, K., &amp; Gobezayehu, A. G. (2022). The impact of a demand-side sanitation and hygiene promotion intervention on sustained behavior change and health in Amhara, Ethiopia: A cluster-randomized trial.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PLOS Global Public Health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(1), e0000056. https://doi.org/10.1371/journal.pgph.0000056</w:t>
      </w:r>
    </w:p>
    <w:p w:rsidR="00000000" w:rsidDel="00000000" w:rsidP="00000000" w:rsidRDefault="00000000" w:rsidRPr="00000000" w14:paraId="00000011">
      <w:pPr>
        <w:widowControl w:val="0"/>
        <w:spacing w:before="0" w:lineRule="auto"/>
        <w:ind w:left="-720" w:right="-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0" w:lineRule="auto"/>
        <w:ind w:left="-720" w:right="-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Kruschke, J. K. (2018). Rejecting or Accepting Parameter Values in Bayesian Estimation.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Advances in Methods and Practices in Psychological Science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(2), 270–280. https://doi.org/10.1177/2515245918771304</w:t>
      </w:r>
    </w:p>
    <w:p w:rsidR="00000000" w:rsidDel="00000000" w:rsidP="00000000" w:rsidRDefault="00000000" w:rsidRPr="00000000" w14:paraId="00000013">
      <w:pPr>
        <w:widowControl w:val="0"/>
        <w:spacing w:before="0" w:lineRule="auto"/>
        <w:ind w:left="-720" w:right="-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0" w:lineRule="auto"/>
        <w:ind w:left="-720" w:right="-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Makowski, D., Ben-Shachar, M. S., &amp; Lüdecke, D. (2019). bayestestR: Describing Effects and their Uncertainty, Existence and Significance within the Bayesian Framework.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Journal of Open Source Software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(40), 1541. https://doi.org/10.21105/joss.01541</w:t>
      </w:r>
    </w:p>
    <w:p w:rsidR="00000000" w:rsidDel="00000000" w:rsidP="00000000" w:rsidRDefault="00000000" w:rsidRPr="00000000" w14:paraId="00000015">
      <w:pPr>
        <w:widowControl w:val="0"/>
        <w:spacing w:before="0" w:lineRule="auto"/>
        <w:ind w:left="-720" w:right="-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spacing w:before="0" w:lineRule="auto"/>
        <w:ind w:left="-720" w:right="-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jc w:val="right"/>
      <w:rPr/>
    </w:pPr>
    <w:r w:rsidDel="00000000" w:rsidR="00000000" w:rsidRPr="00000000">
      <w:rPr>
        <w:rtl w:val="0"/>
      </w:rPr>
      <w:t xml:space="preserve">CSSS 564 Project Proposal</w:t>
    </w:r>
  </w:p>
  <w:p w:rsidR="00000000" w:rsidDel="00000000" w:rsidP="00000000" w:rsidRDefault="00000000" w:rsidRPr="00000000" w14:paraId="00000018">
    <w:pPr>
      <w:jc w:val="right"/>
      <w:rPr/>
    </w:pPr>
    <w:r w:rsidDel="00000000" w:rsidR="00000000" w:rsidRPr="00000000">
      <w:rPr>
        <w:rtl w:val="0"/>
      </w:rPr>
      <w:t xml:space="preserve">Yuwei Wang, William Garcia</w:t>
    </w:r>
  </w:p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  <w:jc w:val="center"/>
    </w:pPr>
    <w:rPr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