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D50E6" w14:textId="03E37CF7" w:rsidR="0054232D" w:rsidRDefault="002024AE" w:rsidP="00E37F7F">
      <w:pPr>
        <w:pStyle w:val="Title"/>
        <w:spacing w:line="360" w:lineRule="auto"/>
      </w:pPr>
      <w:r w:rsidRPr="002024AE">
        <w:t>Beyond Failing to Reject: A Bayesian Approach to Evaluating the Andilaye WASH Intervention</w:t>
      </w:r>
    </w:p>
    <w:p w14:paraId="50EF2978" w14:textId="244BAFA0" w:rsidR="002024AE" w:rsidRDefault="002024AE" w:rsidP="00E37F7F">
      <w:pPr>
        <w:pStyle w:val="Heading1"/>
        <w:numPr>
          <w:ilvl w:val="0"/>
          <w:numId w:val="1"/>
        </w:numPr>
        <w:spacing w:line="360" w:lineRule="auto"/>
        <w:jc w:val="both"/>
      </w:pPr>
      <w:r>
        <w:t xml:space="preserve">Background: Research Question &amp; Data </w:t>
      </w:r>
    </w:p>
    <w:p w14:paraId="7043C6C1" w14:textId="647AA6A1" w:rsidR="00A04BA7" w:rsidRDefault="0043153C" w:rsidP="00E37F7F">
      <w:pPr>
        <w:spacing w:line="360" w:lineRule="auto"/>
        <w:jc w:val="both"/>
      </w:pPr>
      <w:r>
        <w:tab/>
      </w:r>
      <w:r w:rsidRPr="0043153C">
        <w:t>The Andilaye trial was a parallel cluster-randomized controlled trial conducted in rural and peri-urban Amhara, Ethiopia, testing whether a demand-side water, sanitation, and hygiene (WASH) promotion intervention could improve sustained WASH behavior and mental well-being relative to standard programming</w:t>
      </w:r>
      <w:r>
        <w:t xml:space="preserve"> </w:t>
      </w:r>
      <w:r>
        <w:fldChar w:fldCharType="begin"/>
      </w:r>
      <w:r>
        <w:instrText xml:space="preserve"> ADDIN ZOTERO_ITEM CSL_CITATION {"citationID":"PUJSXHih","properties":{"unsorted":false,"formattedCitation":"(Delea et al., 2019; Freeman et al., 2022)","plainCitation":"(Delea et al., 2019; Freeman et al., 2022)","noteIndex":0},"citationItems":[{"id":11147,"uris":["http://zotero.org/users/6769882/items/HFCFU2EI"],"itemData":{"id":11147,"type":"article-journal","container-title":"BMC Public Health","DOI":"10.1186/s12889-019-7040-6","ISSN":"1471-2458","issue":"1","journalAbbreviation":"BMC Public Health","language":"en","page":"801","source":"DOI.org (Crossref)","title":"Design of a parallel cluster-randomized trial assessing the impact of a demand-side sanitation and hygiene intervention on sustained behavior change and mental well-being in rural and peri-urban Amhara, Ethiopia: Andilaye study protocol","title-short":"Design of a parallel cluster-randomized trial assessing the impact of a demand-side sanitation and hygiene intervention on sustained behavior change and mental well-being in rural and peri-urban Amhara, Ethiopia","volume":"19","author":[{"family":"Delea","given":"Maryann G."},{"family":"Snyder","given":"Jedidiah S."},{"family":"Belew","given":"Mulusew"},{"family":"Caruso","given":"Bethany A."},{"family":"Garn","given":"Joshua V."},{"family":"Sclar","given":"Gloria D."},{"family":"Woreta","given":"Mulat"},{"family":"Zewudie","given":"Kassahun"},{"family":"Gebremariam","given":"Abebe"},{"family":"Freeman","given":"Matthew C."}],"issued":{"date-parts":[["2019",12]]}}},{"id":11008,"uris":["http://zotero.org/users/6769882/items/LQMRWFF6"],"itemData":{"id":11008,"type":"article-journal","abstract":"Behaviors related to water, sanitation, and hygiene (WASH) are key drivers of infectious disease transmission, and experiences of WASH are potential influencers of mental well-being. Important knowledge gaps exist related to the content and delivery of effective WASH programs and their associated health impacts, particularly within the contexts of government programs implemented at scale. We developed and tested a demand-side intervention called Andilaye, which aimed to change behaviors related to sanitation, personal hygiene, and household environmental sanitation. This theory-informed intervention was delivered through the existing Ethiopian Health Extension Programme (HEP). It was a multilevel intervention with a catalyzing event at the community level and behavior change activities at group and household levels. We randomly selected and assigned 50 kebeles (sub-districts) from three woredas (districts), half to receive the Andilaye intervention, and half the standard of care sanitation and hygiene programming (i.e., community-led total sanitation and hygiene [CLTSH]). We collected data on WASH access, behavioral outcomes, and mental well-being. A total of 1,589 households were enrolled into the study at baseline; 1,472 households (94%) participated in an endline assessment two years after baseline, and approximately 14 months after the initiation of a multi-level intervention. The intervention did not improve construction of latrines (prevalence ratio [PR]: 0.99; 95% CI: 0.82, 1.21) or handwashing stations with water (PR: 0.96; 95% CI: 0.72, 1.26), or the removal of animal feces from the compound (PR: 1.10; 95% CI: 0.95, 1.28). Nor did it impact anxiety (PR: 0.90; 95% CI: 0.72, 1.11), depression (PR: 0.83; 95% CI: 0.64, 1.07), emotional distress (PR: 0.86; 95% CI: 0.67, 1.09) or well-being (PR: 0.90; 95% CI: 0.74, 1.10) scores. We report limited impact of the intervention, as delivered, on changes in behavior and mental well-being. The effectiveness of the intervention was limited by poor intervention fidelity. While sanitation and hygiene improvements have been documented in Ethiopia, behavioral slippage, or regression to unimproved practices, in communities previously declared open defecation free is widespread. Evidence from this trial may help address knowledge gaps related to challenges associated with scalable alternatives to CLTSH and inform sanitation and hygiene programming and policy in Ethiopia and beyond. Trial registration: This trial was registered with clinicaltrials.gov (NCT03075436) on March 9, 2017.","container-title":"PLOS Global Public Health","DOI":"10.1371/journal.pgph.0000056","ISSN":"2767-3375","issue":"1","journalAbbreviation":"PLOS Global Public Health","language":"en","page":"e0000056","publisher":"Public Library of Science","source":"PLoS Journals","title":"The impact of a demand-side sanitation and hygiene promotion intervention on sustained behavior change and health in Amhara, Ethiopia: A cluster-randomized trial","title-short":"The impact of a demand-side sanitation and hygiene promotion intervention on sustained behavior change and health in Amhara, Ethiopia","volume":"2","author":[{"family":"Freeman","given":"Matthew C."},{"family":"Delea","given":"Maryann G."},{"family":"Snyder","given":"Jedidiah S."},{"family":"Garn","given":"Joshua V."},{"family":"Belew","given":"Mulusew"},{"family":"Caruso","given":"Bethany A."},{"family":"Clasen","given":"Thomas F."},{"family":"Sclar","given":"Gloria D."},{"family":"Tesfaye","given":"Yihenew"},{"family":"Woreta","given":"Mulat"},{"family":"Zewudie","given":"Kassahun"},{"family":"Gobezayehu","given":"Abebe Gebremariam"}],"issued":{"date-parts":[["2022",1,7]]}}}],"schema":"https://github.com/citation-style-language/schema/raw/master/csl-citation.json"} </w:instrText>
      </w:r>
      <w:r>
        <w:fldChar w:fldCharType="separate"/>
      </w:r>
      <w:r>
        <w:rPr>
          <w:noProof/>
        </w:rPr>
        <w:t>(Delea et al., 2019; Freeman et al., 2022)</w:t>
      </w:r>
      <w:r>
        <w:fldChar w:fldCharType="end"/>
      </w:r>
      <w:r>
        <w:t>.</w:t>
      </w:r>
      <w:r w:rsidRPr="0043153C">
        <w:t xml:space="preserve"> Fifty kebeles across three woredas</w:t>
      </w:r>
      <w:r>
        <w:t xml:space="preserve"> </w:t>
      </w:r>
      <w:r w:rsidRPr="0043153C">
        <w:t>were randomly assigned to intervention or control, with household-level outcomes measured at baseline and approximately two years later at endline.</w:t>
      </w:r>
      <w:r>
        <w:t xml:space="preserve"> </w:t>
      </w:r>
    </w:p>
    <w:p w14:paraId="3749C45D" w14:textId="7F00CDB0" w:rsidR="0043153C" w:rsidRDefault="0043153C" w:rsidP="00E37F7F">
      <w:pPr>
        <w:spacing w:line="360" w:lineRule="auto"/>
        <w:jc w:val="both"/>
      </w:pPr>
      <w:r>
        <w:tab/>
      </w:r>
      <w:r w:rsidRPr="0043153C">
        <w:t>The original published analysis using Generalized Estimating Equations (GEE) and a subsequent reanalysis using mixed-effects logistic regression both yielded non-significant results for all three mental health outcomes</w:t>
      </w:r>
      <w:r>
        <w:t>, including depression, anxiety, and emotional distress</w:t>
      </w:r>
      <w:r w:rsidRPr="0043153C">
        <w:t>. However, a non-significant p-value cannot distinguish between two substantively different situations: (1) the intervention truly has no meaningful effect, or (2) the study had insufficient power to detect a real effect</w:t>
      </w:r>
      <w:r w:rsidR="000616CD">
        <w:t xml:space="preserve"> as mental well-being was a secondary outcome in the Andilaye trial</w:t>
      </w:r>
      <w:r w:rsidRPr="0043153C">
        <w:t xml:space="preserve">. This ambiguity is particularly consequential in implementation science, where null results are frequently used to de-prioritize or discontinue programs without any quantification of how confident we </w:t>
      </w:r>
      <w:proofErr w:type="gramStart"/>
      <w:r w:rsidRPr="0043153C">
        <w:t>actually are</w:t>
      </w:r>
      <w:proofErr w:type="gramEnd"/>
      <w:r w:rsidRPr="0043153C">
        <w:t xml:space="preserve"> that effects are small.</w:t>
      </w:r>
    </w:p>
    <w:p w14:paraId="39FC3A5D" w14:textId="6D1BF713" w:rsidR="0043153C" w:rsidRDefault="0043153C" w:rsidP="00E37F7F">
      <w:pPr>
        <w:spacing w:line="360" w:lineRule="auto"/>
        <w:jc w:val="both"/>
      </w:pPr>
      <w:r>
        <w:tab/>
      </w:r>
      <w:r w:rsidRPr="0043153C">
        <w:t>A Bayesian reanalysis resolves this ambiguity in two ways. First, by computing the posterior probability that the treatment effect on the probability scale</w:t>
      </w:r>
      <w:r>
        <w:t>,</w:t>
      </w:r>
      <w:r w:rsidRPr="0043153C">
        <w:t xml:space="preserve"> expressed as an Average Predictive Difference (APD)</w:t>
      </w:r>
      <w:r>
        <w:t>,</w:t>
      </w:r>
      <w:r w:rsidRPr="0043153C">
        <w:t xml:space="preserve"> falls inside a Region of Practical Equivalence (ROPE), we can accumulate positive evidence for a practically null effect rather than merely failing to reject. The APD is the natural </w:t>
      </w:r>
      <w:proofErr w:type="spellStart"/>
      <w:r w:rsidRPr="0043153C">
        <w:t>estimand</w:t>
      </w:r>
      <w:proofErr w:type="spellEnd"/>
      <w:r w:rsidRPr="0043153C">
        <w:t xml:space="preserve"> for an implementation science audience: it answers directly how many fewer households would screen positive for a mental health disorder if the intervention were delivered. Second, the Bayesian hierarchical model yields a full posterior distribution for the between-cluster variance, providing a meaningful characterization of cluster-level heterogeneity that neither GEE nor frequentist mixed-effects models directly supply.</w:t>
      </w:r>
    </w:p>
    <w:p w14:paraId="629DC9E3" w14:textId="68A81CED" w:rsidR="0043153C" w:rsidRDefault="0043153C" w:rsidP="00E37F7F">
      <w:pPr>
        <w:spacing w:line="360" w:lineRule="auto"/>
        <w:jc w:val="both"/>
      </w:pPr>
      <w:r>
        <w:tab/>
      </w:r>
      <w:r w:rsidRPr="0043153C">
        <w:t xml:space="preserve">This study reanalyzes the Andilaye trial data using a Bayesian hierarchical framework to address two </w:t>
      </w:r>
      <w:r>
        <w:t xml:space="preserve">research </w:t>
      </w:r>
      <w:r w:rsidRPr="0043153C">
        <w:t>questions. First, what is the posterior probability that the APD</w:t>
      </w:r>
      <w:r>
        <w:t>, defined as</w:t>
      </w:r>
      <w:r w:rsidRPr="0043153C">
        <w:t xml:space="preserve"> the average difference in predicted probability between intervention and control households</w:t>
      </w:r>
      <w:r>
        <w:t>,</w:t>
      </w:r>
      <w:r w:rsidRPr="0043153C">
        <w:t xml:space="preserve"> falls within a Region of Practical Equivalence (ROPE) around zero for each of the three mental health </w:t>
      </w:r>
      <w:r w:rsidRPr="0043153C">
        <w:lastRenderedPageBreak/>
        <w:t>outcomes? A high posterior probability inside the ROPE constitutes positive evidence for a practically null effect, which is qualitatively different from a failure to reject. Second, what is the full posterior distribution of between-cluster variance in mental health outcomes across the 50 kebeles, and what does it imply about the degree of clustering in this population?</w:t>
      </w:r>
      <w:r w:rsidR="00FD6A74">
        <w:t xml:space="preserve"> </w:t>
      </w:r>
      <w:r w:rsidR="00FD6A74" w:rsidRPr="00FD6A74">
        <w:t xml:space="preserve">The ROPE boundary and its substantive justification are defined in </w:t>
      </w:r>
      <w:r w:rsidR="00FD6A74">
        <w:t>Section 2.</w:t>
      </w:r>
    </w:p>
    <w:p w14:paraId="1581507F" w14:textId="3321425F" w:rsidR="00FD6A74" w:rsidRDefault="00FD6A74" w:rsidP="00E37F7F">
      <w:pPr>
        <w:spacing w:line="360" w:lineRule="auto"/>
        <w:jc w:val="both"/>
      </w:pPr>
      <w:r>
        <w:tab/>
        <w:t>The outcomes for this study include t</w:t>
      </w:r>
      <w:r w:rsidRPr="00FD6A74">
        <w:t>hree binary household-level indicators constructed from a 23-item HSCL adaptation: 10 anxiety items and 13 depression items, each scored 0 to 3. Individual-level subscale means were averaged across eligible household members</w:t>
      </w:r>
      <w:r>
        <w:t>,</w:t>
      </w:r>
      <w:r w:rsidRPr="00FD6A74">
        <w:t xml:space="preserve"> and a combined distress mean </w:t>
      </w:r>
      <w:r>
        <w:t xml:space="preserve">was </w:t>
      </w:r>
      <w:r w:rsidRPr="00FD6A74">
        <w:t xml:space="preserve">computed across all 23 items. </w:t>
      </w:r>
      <w:r>
        <w:t xml:space="preserve">A probable case of </w:t>
      </w:r>
      <w:r w:rsidRPr="00FD6A74">
        <w:t>depression, anxiety, and emotional distress</w:t>
      </w:r>
      <w:r>
        <w:t xml:space="preserve"> </w:t>
      </w:r>
      <w:r w:rsidRPr="00FD6A74">
        <w:t>was assigned at a threshold of &gt;= 1.75 on the original 1-to-4 scale</w:t>
      </w:r>
      <w:r>
        <w:t xml:space="preserve">. </w:t>
      </w:r>
      <w:r w:rsidRPr="00FD6A74">
        <w:t>Treatment is a binary indicator (1 = intervention, 0 = control) assigned at the kebele level. Woreda is included as a fixed covariate to account for stratified randomization</w:t>
      </w:r>
      <w:r>
        <w:t xml:space="preserve"> </w:t>
      </w:r>
      <w:r w:rsidRPr="00FD6A74">
        <w:t xml:space="preserve">with </w:t>
      </w:r>
      <w:proofErr w:type="spellStart"/>
      <w:r w:rsidRPr="00FD6A74">
        <w:t>Farta</w:t>
      </w:r>
      <w:proofErr w:type="spellEnd"/>
      <w:r w:rsidRPr="00FD6A74">
        <w:t xml:space="preserve"> as the reference. Kebele is the unit of randomization and the clustering variable for random intercepts</w:t>
      </w:r>
      <w:r>
        <w:t>.</w:t>
      </w:r>
    </w:p>
    <w:p w14:paraId="65BC5007" w14:textId="77BDF91E" w:rsidR="00FD6A74" w:rsidRDefault="00FD6A74" w:rsidP="00E37F7F">
      <w:pPr>
        <w:spacing w:line="360" w:lineRule="auto"/>
        <w:jc w:val="both"/>
      </w:pPr>
      <w:r>
        <w:tab/>
      </w:r>
      <w:r w:rsidRPr="00FD6A74">
        <w:t xml:space="preserve">The dataset is publicly accessible </w:t>
      </w:r>
      <w:r>
        <w:fldChar w:fldCharType="begin"/>
      </w:r>
      <w:r>
        <w:instrText xml:space="preserve"> ADDIN ZOTERO_ITEM CSL_CITATION {"citationID":"A5BW9XZu","properties":{"unsorted":false,"formattedCitation":"(Freeman et al., 2022)","plainCitation":"(Freeman et al., 2022)","noteIndex":0},"citationItems":[{"id":11008,"uris":["http://zotero.org/users/6769882/items/LQMRWFF6"],"itemData":{"id":11008,"type":"article-journal","abstract":"Behaviors related to water, sanitation, and hygiene (WASH) are key drivers of infectious disease transmission, and experiences of WASH are potential influencers of mental well-being. Important knowledge gaps exist related to the content and delivery of effective WASH programs and their associated health impacts, particularly within the contexts of government programs implemented at scale. We developed and tested a demand-side intervention called Andilaye, which aimed to change behaviors related to sanitation, personal hygiene, and household environmental sanitation. This theory-informed intervention was delivered through the existing Ethiopian Health Extension Programme (HEP). It was a multilevel intervention with a catalyzing event at the community level and behavior change activities at group and household levels. We randomly selected and assigned 50 kebeles (sub-districts) from three woredas (districts), half to receive the Andilaye intervention, and half the standard of care sanitation and hygiene programming (i.e., community-led total sanitation and hygiene [CLTSH]). We collected data on WASH access, behavioral outcomes, and mental well-being. A total of 1,589 households were enrolled into the study at baseline; 1,472 households (94%) participated in an endline assessment two years after baseline, and approximately 14 months after the initiation of a multi-level intervention. The intervention did not improve construction of latrines (prevalence ratio [PR]: 0.99; 95% CI: 0.82, 1.21) or handwashing stations with water (PR: 0.96; 95% CI: 0.72, 1.26), or the removal of animal feces from the compound (PR: 1.10; 95% CI: 0.95, 1.28). Nor did it impact anxiety (PR: 0.90; 95% CI: 0.72, 1.11), depression (PR: 0.83; 95% CI: 0.64, 1.07), emotional distress (PR: 0.86; 95% CI: 0.67, 1.09) or well-being (PR: 0.90; 95% CI: 0.74, 1.10) scores. We report limited impact of the intervention, as delivered, on changes in behavior and mental well-being. The effectiveness of the intervention was limited by poor intervention fidelity. While sanitation and hygiene improvements have been documented in Ethiopia, behavioral slippage, or regression to unimproved practices, in communities previously declared open defecation free is widespread. Evidence from this trial may help address knowledge gaps related to challenges associated with scalable alternatives to CLTSH and inform sanitation and hygiene programming and policy in Ethiopia and beyond. Trial registration: This trial was registered with clinicaltrials.gov (NCT03075436) on March 9, 2017.","container-title":"PLOS Global Public Health","DOI":"10.1371/journal.pgph.0000056","ISSN":"2767-3375","issue":"1","journalAbbreviation":"PLOS Global Public Health","language":"en","page":"e0000056","publisher":"Public Library of Science","source":"PLoS Journals","title":"The impact of a demand-side sanitation and hygiene promotion intervention on sustained behavior change and health in Amhara, Ethiopia: A cluster-randomized trial","title-short":"The impact of a demand-side sanitation and hygiene promotion intervention on sustained behavior change and health in Amhara, Ethiopia","volume":"2","author":[{"family":"Freeman","given":"Matthew C."},{"family":"Delea","given":"Maryann G."},{"family":"Snyder","given":"Jedidiah S."},{"family":"Garn","given":"Joshua V."},{"family":"Belew","given":"Mulusew"},{"family":"Caruso","given":"Bethany A."},{"family":"Clasen","given":"Thomas F."},{"family":"Sclar","given":"Gloria D."},{"family":"Tesfaye","given":"Yihenew"},{"family":"Woreta","given":"Mulat"},{"family":"Zewudie","given":"Kassahun"},{"family":"Gobezayehu","given":"Abebe Gebremariam"}],"issued":{"date-parts":[["2022",1,7]]}}}],"schema":"https://github.com/citation-style-language/schema/raw/master/csl-citation.json"} </w:instrText>
      </w:r>
      <w:r>
        <w:fldChar w:fldCharType="separate"/>
      </w:r>
      <w:r>
        <w:rPr>
          <w:noProof/>
        </w:rPr>
        <w:t>(Freeman et al., 2022)</w:t>
      </w:r>
      <w:r>
        <w:fldChar w:fldCharType="end"/>
      </w:r>
      <w:r>
        <w:t xml:space="preserve"> </w:t>
      </w:r>
      <w:fldSimple w:instr=" ADDIN ZOTERO_TEMP "/>
      <w:r w:rsidRPr="00FD6A74">
        <w:t>and was obtained for prior coursework. The primary analytic sample is the endline survey. A panel dataset linking endline to baseline outcomes by household ID is used for a sensitivity model</w:t>
      </w:r>
      <w:r>
        <w:t xml:space="preserve"> for model comparison</w:t>
      </w:r>
      <w:r w:rsidRPr="00FD6A74">
        <w:t xml:space="preserve">. After filtering to completed interviews, the endline sample comprises 1,472 households in 50 </w:t>
      </w:r>
      <w:r>
        <w:t>k</w:t>
      </w:r>
      <w:r w:rsidRPr="00FD6A74">
        <w:t>ebele</w:t>
      </w:r>
      <w:r>
        <w:t>s</w:t>
      </w:r>
      <w:r w:rsidRPr="00FD6A74">
        <w:t xml:space="preserve"> (25 intervention, 25 control). Item-level missingness is negligible (12 of 4,371 respondents, 0.3%); no household has a missing outcome after aggregation. Baseline balance across arms </w:t>
      </w:r>
      <w:r>
        <w:t>was</w:t>
      </w:r>
      <w:r w:rsidRPr="00FD6A74">
        <w:t xml:space="preserve"> reported in</w:t>
      </w:r>
      <w:r>
        <w:t xml:space="preserve"> Delea et al. </w:t>
      </w:r>
      <w:r>
        <w:fldChar w:fldCharType="begin"/>
      </w:r>
      <w:r w:rsidR="00E56ABA">
        <w:instrText xml:space="preserve"> ADDIN ZOTERO_ITEM CSL_CITATION {"citationID":"tIJ0eIc1","properties":{"unsorted":false,"formattedCitation":"(2019, Table 1)","plainCitation":"(2019, Table 1)","noteIndex":0},"citationItems":[{"id":11147,"uris":["http://zotero.org/users/6769882/items/HFCFU2EI"],"itemData":{"id":11147,"type":"article-journal","container-title":"BMC Public Health","DOI":"10.1186/s12889-019-7040-6","ISSN":"1471-2458","issue":"1","journalAbbreviation":"BMC Public Health","language":"en","page":"801","source":"DOI.org (Crossref)","title":"Design of a parallel cluster-randomized trial assessing the impact of a demand-side sanitation and hygiene intervention on sustained behavior change and mental well-being in rural and peri-urban Amhara, Ethiopia: Andilaye study protocol","title-short":"Design of a parallel cluster-randomized trial assessing the impact of a demand-side sanitation and hygiene intervention on sustained behavior change and mental well-being in rural and peri-urban Amhara, Ethiopia","volume":"19","author":[{"family":"Delea","given":"Maryann G."},{"family":"Snyder","given":"Jedidiah S."},{"family":"Belew","given":"Mulusew"},{"family":"Caruso","given":"Bethany A."},{"family":"Garn","given":"Joshua V."},{"family":"Sclar","given":"Gloria D."},{"family":"Woreta","given":"Mulat"},{"family":"Zewudie","given":"Kassahun"},{"family":"Gebremariam","given":"Abebe"},{"family":"Freeman","given":"Matthew C."}],"issued":{"date-parts":[["2019",12]]}},"locator":"1","label":"table","suppress-author":true}],"schema":"https://github.com/citation-style-language/schema/raw/master/csl-citation.json"} </w:instrText>
      </w:r>
      <w:r>
        <w:fldChar w:fldCharType="separate"/>
      </w:r>
      <w:r w:rsidR="00E56ABA">
        <w:rPr>
          <w:noProof/>
        </w:rPr>
        <w:t>(2019, Table 1)</w:t>
      </w:r>
      <w:r>
        <w:fldChar w:fldCharType="end"/>
      </w:r>
      <w:r w:rsidRPr="00FD6A74">
        <w:t>; endline sample characteristics are shown in Table 1.</w:t>
      </w:r>
    </w:p>
    <w:p w14:paraId="14380726" w14:textId="4C1DCE33" w:rsidR="00E56ABA" w:rsidRPr="00E56ABA" w:rsidRDefault="00E56ABA" w:rsidP="00E37F7F">
      <w:pPr>
        <w:spacing w:line="360" w:lineRule="auto"/>
        <w:jc w:val="center"/>
        <w:rPr>
          <w:b/>
          <w:bCs/>
          <w:i/>
          <w:iCs/>
        </w:rPr>
      </w:pPr>
      <w:r w:rsidRPr="00E56ABA">
        <w:rPr>
          <w:b/>
          <w:bCs/>
        </w:rPr>
        <w:t>Table 1: Endline analytic sample characteristics by treatment arm</w:t>
      </w:r>
    </w:p>
    <w:tbl>
      <w:tblPr>
        <w:tblStyle w:val="GridTable1Light"/>
        <w:tblW w:w="9360" w:type="dxa"/>
        <w:tblLook w:val="04A0" w:firstRow="1" w:lastRow="0" w:firstColumn="1" w:lastColumn="0" w:noHBand="0" w:noVBand="1"/>
      </w:tblPr>
      <w:tblGrid>
        <w:gridCol w:w="4845"/>
        <w:gridCol w:w="1477"/>
        <w:gridCol w:w="1561"/>
        <w:gridCol w:w="1477"/>
      </w:tblGrid>
      <w:tr w:rsidR="00E56ABA" w:rsidRPr="00E56ABA" w14:paraId="05D2CDAA" w14:textId="77777777" w:rsidTr="00E56A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5D99A2" w14:textId="582549BB" w:rsidR="00E56ABA" w:rsidRPr="00E56ABA" w:rsidRDefault="00E56ABA" w:rsidP="00E37F7F">
            <w:pPr>
              <w:spacing w:line="276" w:lineRule="auto"/>
              <w:jc w:val="both"/>
            </w:pPr>
            <w:r w:rsidRPr="00E56ABA">
              <w:t>Characteristic</w:t>
            </w:r>
          </w:p>
        </w:tc>
        <w:tc>
          <w:tcPr>
            <w:tcW w:w="0" w:type="auto"/>
            <w:hideMark/>
          </w:tcPr>
          <w:p w14:paraId="243FF9C4" w14:textId="77777777" w:rsidR="00E56ABA" w:rsidRDefault="00E56ABA" w:rsidP="00E37F7F">
            <w:pPr>
              <w:spacing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E56ABA">
              <w:t xml:space="preserve">Overall </w:t>
            </w:r>
          </w:p>
          <w:p w14:paraId="6BDBC0A1" w14:textId="7E33CCAD" w:rsidR="00E56ABA" w:rsidRPr="00E56ABA" w:rsidRDefault="00E56ABA" w:rsidP="00E37F7F">
            <w:pPr>
              <w:spacing w:line="276" w:lineRule="auto"/>
              <w:jc w:val="both"/>
              <w:cnfStyle w:val="100000000000" w:firstRow="1" w:lastRow="0" w:firstColumn="0" w:lastColumn="0" w:oddVBand="0" w:evenVBand="0" w:oddHBand="0" w:evenHBand="0" w:firstRowFirstColumn="0" w:firstRowLastColumn="0" w:lastRowFirstColumn="0" w:lastRowLastColumn="0"/>
            </w:pPr>
            <w:r w:rsidRPr="00E56ABA">
              <w:t>N = 1,472</w:t>
            </w:r>
          </w:p>
        </w:tc>
        <w:tc>
          <w:tcPr>
            <w:tcW w:w="0" w:type="auto"/>
            <w:hideMark/>
          </w:tcPr>
          <w:p w14:paraId="279EB7B0" w14:textId="77777777" w:rsidR="00E56ABA" w:rsidRDefault="00E56ABA" w:rsidP="00E37F7F">
            <w:pPr>
              <w:spacing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E56ABA">
              <w:t xml:space="preserve">Intervention </w:t>
            </w:r>
          </w:p>
          <w:p w14:paraId="6879C617" w14:textId="049A1EDD" w:rsidR="00E56ABA" w:rsidRPr="00E56ABA" w:rsidRDefault="00E56ABA" w:rsidP="00E37F7F">
            <w:pPr>
              <w:spacing w:line="276" w:lineRule="auto"/>
              <w:jc w:val="both"/>
              <w:cnfStyle w:val="100000000000" w:firstRow="1" w:lastRow="0" w:firstColumn="0" w:lastColumn="0" w:oddVBand="0" w:evenVBand="0" w:oddHBand="0" w:evenHBand="0" w:firstRowFirstColumn="0" w:firstRowLastColumn="0" w:lastRowFirstColumn="0" w:lastRowLastColumn="0"/>
            </w:pPr>
            <w:r w:rsidRPr="00E56ABA">
              <w:t>N = 743</w:t>
            </w:r>
          </w:p>
        </w:tc>
        <w:tc>
          <w:tcPr>
            <w:tcW w:w="0" w:type="auto"/>
            <w:hideMark/>
          </w:tcPr>
          <w:p w14:paraId="60DBAA35" w14:textId="77777777" w:rsidR="00E56ABA" w:rsidRDefault="00E56ABA" w:rsidP="00E37F7F">
            <w:pPr>
              <w:spacing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E56ABA">
              <w:t xml:space="preserve">Control </w:t>
            </w:r>
          </w:p>
          <w:p w14:paraId="22B145E3" w14:textId="3B6305A0" w:rsidR="00E56ABA" w:rsidRPr="00E56ABA" w:rsidRDefault="00E56ABA" w:rsidP="00E37F7F">
            <w:pPr>
              <w:spacing w:line="276" w:lineRule="auto"/>
              <w:jc w:val="both"/>
              <w:cnfStyle w:val="100000000000" w:firstRow="1" w:lastRow="0" w:firstColumn="0" w:lastColumn="0" w:oddVBand="0" w:evenVBand="0" w:oddHBand="0" w:evenHBand="0" w:firstRowFirstColumn="0" w:firstRowLastColumn="0" w:lastRowFirstColumn="0" w:lastRowLastColumn="0"/>
            </w:pPr>
            <w:r w:rsidRPr="00E56ABA">
              <w:t>N = 729</w:t>
            </w:r>
          </w:p>
        </w:tc>
      </w:tr>
      <w:tr w:rsidR="00E56ABA" w:rsidRPr="00E56ABA" w14:paraId="267BE786" w14:textId="77777777" w:rsidTr="00E56ABA">
        <w:tc>
          <w:tcPr>
            <w:cnfStyle w:val="001000000000" w:firstRow="0" w:lastRow="0" w:firstColumn="1" w:lastColumn="0" w:oddVBand="0" w:evenVBand="0" w:oddHBand="0" w:evenHBand="0" w:firstRowFirstColumn="0" w:firstRowLastColumn="0" w:lastRowFirstColumn="0" w:lastRowLastColumn="0"/>
            <w:tcW w:w="0" w:type="auto"/>
            <w:hideMark/>
          </w:tcPr>
          <w:p w14:paraId="0328AF14" w14:textId="77777777" w:rsidR="00E56ABA" w:rsidRPr="00E56ABA" w:rsidRDefault="00E56ABA" w:rsidP="00E37F7F">
            <w:pPr>
              <w:spacing w:line="276" w:lineRule="auto"/>
              <w:jc w:val="both"/>
            </w:pPr>
            <w:r w:rsidRPr="00E56ABA">
              <w:t>Woreda</w:t>
            </w:r>
          </w:p>
        </w:tc>
        <w:tc>
          <w:tcPr>
            <w:tcW w:w="0" w:type="auto"/>
            <w:hideMark/>
          </w:tcPr>
          <w:p w14:paraId="4AD14E35" w14:textId="77777777" w:rsidR="00E56ABA" w:rsidRPr="00E56ABA" w:rsidRDefault="00E56ABA" w:rsidP="00E37F7F">
            <w:pPr>
              <w:spacing w:line="276" w:lineRule="auto"/>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5AB22D15" w14:textId="77777777" w:rsidR="00E56ABA" w:rsidRPr="00E56ABA" w:rsidRDefault="00E56ABA" w:rsidP="00E37F7F">
            <w:pPr>
              <w:spacing w:line="276" w:lineRule="auto"/>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007869B5" w14:textId="77777777" w:rsidR="00E56ABA" w:rsidRPr="00E56ABA" w:rsidRDefault="00E56ABA" w:rsidP="00E37F7F">
            <w:pPr>
              <w:spacing w:line="276" w:lineRule="auto"/>
              <w:jc w:val="both"/>
              <w:cnfStyle w:val="000000000000" w:firstRow="0" w:lastRow="0" w:firstColumn="0" w:lastColumn="0" w:oddVBand="0" w:evenVBand="0" w:oddHBand="0" w:evenHBand="0" w:firstRowFirstColumn="0" w:firstRowLastColumn="0" w:lastRowFirstColumn="0" w:lastRowLastColumn="0"/>
            </w:pPr>
          </w:p>
        </w:tc>
      </w:tr>
      <w:tr w:rsidR="00E56ABA" w:rsidRPr="00E56ABA" w14:paraId="1BD71B90" w14:textId="77777777" w:rsidTr="00E56ABA">
        <w:tc>
          <w:tcPr>
            <w:cnfStyle w:val="001000000000" w:firstRow="0" w:lastRow="0" w:firstColumn="1" w:lastColumn="0" w:oddVBand="0" w:evenVBand="0" w:oddHBand="0" w:evenHBand="0" w:firstRowFirstColumn="0" w:firstRowLastColumn="0" w:lastRowFirstColumn="0" w:lastRowLastColumn="0"/>
            <w:tcW w:w="0" w:type="auto"/>
            <w:hideMark/>
          </w:tcPr>
          <w:p w14:paraId="7A6DBDF1" w14:textId="07D40C6A" w:rsidR="00E56ABA" w:rsidRPr="00E56ABA" w:rsidRDefault="00E56ABA" w:rsidP="00E37F7F">
            <w:pPr>
              <w:spacing w:line="276" w:lineRule="auto"/>
              <w:jc w:val="both"/>
              <w:rPr>
                <w:b w:val="0"/>
                <w:bCs w:val="0"/>
              </w:rPr>
            </w:pPr>
            <w:r>
              <w:rPr>
                <w:b w:val="0"/>
                <w:bCs w:val="0"/>
              </w:rPr>
              <w:t xml:space="preserve">        </w:t>
            </w:r>
            <w:proofErr w:type="spellStart"/>
            <w:r w:rsidRPr="00E56ABA">
              <w:rPr>
                <w:b w:val="0"/>
                <w:bCs w:val="0"/>
              </w:rPr>
              <w:t>Farta</w:t>
            </w:r>
            <w:proofErr w:type="spellEnd"/>
          </w:p>
        </w:tc>
        <w:tc>
          <w:tcPr>
            <w:tcW w:w="0" w:type="auto"/>
            <w:hideMark/>
          </w:tcPr>
          <w:p w14:paraId="5F1CD015" w14:textId="77777777" w:rsidR="00E56ABA" w:rsidRPr="00E56ABA" w:rsidRDefault="00E56ABA" w:rsidP="00E37F7F">
            <w:pPr>
              <w:spacing w:line="276" w:lineRule="auto"/>
              <w:jc w:val="both"/>
              <w:cnfStyle w:val="000000000000" w:firstRow="0" w:lastRow="0" w:firstColumn="0" w:lastColumn="0" w:oddVBand="0" w:evenVBand="0" w:oddHBand="0" w:evenHBand="0" w:firstRowFirstColumn="0" w:firstRowLastColumn="0" w:lastRowFirstColumn="0" w:lastRowLastColumn="0"/>
            </w:pPr>
            <w:r w:rsidRPr="00E56ABA">
              <w:t>655 (44.5%)</w:t>
            </w:r>
          </w:p>
        </w:tc>
        <w:tc>
          <w:tcPr>
            <w:tcW w:w="0" w:type="auto"/>
            <w:hideMark/>
          </w:tcPr>
          <w:p w14:paraId="6F678BB8" w14:textId="77777777" w:rsidR="00E56ABA" w:rsidRPr="00E56ABA" w:rsidRDefault="00E56ABA" w:rsidP="00E37F7F">
            <w:pPr>
              <w:spacing w:line="276" w:lineRule="auto"/>
              <w:jc w:val="both"/>
              <w:cnfStyle w:val="000000000000" w:firstRow="0" w:lastRow="0" w:firstColumn="0" w:lastColumn="0" w:oddVBand="0" w:evenVBand="0" w:oddHBand="0" w:evenHBand="0" w:firstRowFirstColumn="0" w:firstRowLastColumn="0" w:lastRowFirstColumn="0" w:lastRowLastColumn="0"/>
            </w:pPr>
            <w:r w:rsidRPr="00E56ABA">
              <w:t>332 (44.7%)</w:t>
            </w:r>
          </w:p>
        </w:tc>
        <w:tc>
          <w:tcPr>
            <w:tcW w:w="0" w:type="auto"/>
            <w:hideMark/>
          </w:tcPr>
          <w:p w14:paraId="726806BB" w14:textId="77777777" w:rsidR="00E56ABA" w:rsidRPr="00E56ABA" w:rsidRDefault="00E56ABA" w:rsidP="00E37F7F">
            <w:pPr>
              <w:spacing w:line="276" w:lineRule="auto"/>
              <w:jc w:val="both"/>
              <w:cnfStyle w:val="000000000000" w:firstRow="0" w:lastRow="0" w:firstColumn="0" w:lastColumn="0" w:oddVBand="0" w:evenVBand="0" w:oddHBand="0" w:evenHBand="0" w:firstRowFirstColumn="0" w:firstRowLastColumn="0" w:lastRowFirstColumn="0" w:lastRowLastColumn="0"/>
            </w:pPr>
            <w:r w:rsidRPr="00E56ABA">
              <w:t>323 (44.3%)</w:t>
            </w:r>
          </w:p>
        </w:tc>
      </w:tr>
      <w:tr w:rsidR="00E56ABA" w:rsidRPr="00E56ABA" w14:paraId="44460B77" w14:textId="77777777" w:rsidTr="00E56ABA">
        <w:tc>
          <w:tcPr>
            <w:cnfStyle w:val="001000000000" w:firstRow="0" w:lastRow="0" w:firstColumn="1" w:lastColumn="0" w:oddVBand="0" w:evenVBand="0" w:oddHBand="0" w:evenHBand="0" w:firstRowFirstColumn="0" w:firstRowLastColumn="0" w:lastRowFirstColumn="0" w:lastRowLastColumn="0"/>
            <w:tcW w:w="0" w:type="auto"/>
            <w:hideMark/>
          </w:tcPr>
          <w:p w14:paraId="26491EE2" w14:textId="31188948" w:rsidR="00E56ABA" w:rsidRPr="00E56ABA" w:rsidRDefault="00E56ABA" w:rsidP="00E37F7F">
            <w:pPr>
              <w:spacing w:line="276" w:lineRule="auto"/>
              <w:jc w:val="both"/>
              <w:rPr>
                <w:b w:val="0"/>
                <w:bCs w:val="0"/>
              </w:rPr>
            </w:pPr>
            <w:r w:rsidRPr="00E56ABA">
              <w:rPr>
                <w:b w:val="0"/>
                <w:bCs w:val="0"/>
              </w:rPr>
              <w:t xml:space="preserve">        Fogera</w:t>
            </w:r>
          </w:p>
        </w:tc>
        <w:tc>
          <w:tcPr>
            <w:tcW w:w="0" w:type="auto"/>
            <w:hideMark/>
          </w:tcPr>
          <w:p w14:paraId="5E328716" w14:textId="77777777" w:rsidR="00E56ABA" w:rsidRPr="00E56ABA" w:rsidRDefault="00E56ABA" w:rsidP="00E37F7F">
            <w:pPr>
              <w:spacing w:line="276" w:lineRule="auto"/>
              <w:jc w:val="both"/>
              <w:cnfStyle w:val="000000000000" w:firstRow="0" w:lastRow="0" w:firstColumn="0" w:lastColumn="0" w:oddVBand="0" w:evenVBand="0" w:oddHBand="0" w:evenHBand="0" w:firstRowFirstColumn="0" w:firstRowLastColumn="0" w:lastRowFirstColumn="0" w:lastRowLastColumn="0"/>
            </w:pPr>
            <w:r w:rsidRPr="00E56ABA">
              <w:t>339 (23.0%)</w:t>
            </w:r>
          </w:p>
        </w:tc>
        <w:tc>
          <w:tcPr>
            <w:tcW w:w="0" w:type="auto"/>
            <w:hideMark/>
          </w:tcPr>
          <w:p w14:paraId="53753FAB" w14:textId="77777777" w:rsidR="00E56ABA" w:rsidRPr="00E56ABA" w:rsidRDefault="00E56ABA" w:rsidP="00E37F7F">
            <w:pPr>
              <w:spacing w:line="276" w:lineRule="auto"/>
              <w:jc w:val="both"/>
              <w:cnfStyle w:val="000000000000" w:firstRow="0" w:lastRow="0" w:firstColumn="0" w:lastColumn="0" w:oddVBand="0" w:evenVBand="0" w:oddHBand="0" w:evenHBand="0" w:firstRowFirstColumn="0" w:firstRowLastColumn="0" w:lastRowFirstColumn="0" w:lastRowLastColumn="0"/>
            </w:pPr>
            <w:r w:rsidRPr="00E56ABA">
              <w:t>170 (22.9%)</w:t>
            </w:r>
          </w:p>
        </w:tc>
        <w:tc>
          <w:tcPr>
            <w:tcW w:w="0" w:type="auto"/>
            <w:hideMark/>
          </w:tcPr>
          <w:p w14:paraId="54185371" w14:textId="77777777" w:rsidR="00E56ABA" w:rsidRPr="00E56ABA" w:rsidRDefault="00E56ABA" w:rsidP="00E37F7F">
            <w:pPr>
              <w:spacing w:line="276" w:lineRule="auto"/>
              <w:jc w:val="both"/>
              <w:cnfStyle w:val="000000000000" w:firstRow="0" w:lastRow="0" w:firstColumn="0" w:lastColumn="0" w:oddVBand="0" w:evenVBand="0" w:oddHBand="0" w:evenHBand="0" w:firstRowFirstColumn="0" w:firstRowLastColumn="0" w:lastRowFirstColumn="0" w:lastRowLastColumn="0"/>
            </w:pPr>
            <w:r w:rsidRPr="00E56ABA">
              <w:t>169 (23.2%)</w:t>
            </w:r>
          </w:p>
        </w:tc>
      </w:tr>
      <w:tr w:rsidR="00E56ABA" w:rsidRPr="00E56ABA" w14:paraId="723EA8BA" w14:textId="77777777" w:rsidTr="00E56ABA">
        <w:tc>
          <w:tcPr>
            <w:cnfStyle w:val="001000000000" w:firstRow="0" w:lastRow="0" w:firstColumn="1" w:lastColumn="0" w:oddVBand="0" w:evenVBand="0" w:oddHBand="0" w:evenHBand="0" w:firstRowFirstColumn="0" w:firstRowLastColumn="0" w:lastRowFirstColumn="0" w:lastRowLastColumn="0"/>
            <w:tcW w:w="0" w:type="auto"/>
            <w:hideMark/>
          </w:tcPr>
          <w:p w14:paraId="4E329FE8" w14:textId="4B92A61D" w:rsidR="00E56ABA" w:rsidRPr="00E56ABA" w:rsidRDefault="00E56ABA" w:rsidP="00E37F7F">
            <w:pPr>
              <w:spacing w:line="276" w:lineRule="auto"/>
              <w:jc w:val="both"/>
              <w:rPr>
                <w:b w:val="0"/>
                <w:bCs w:val="0"/>
              </w:rPr>
            </w:pPr>
            <w:r w:rsidRPr="00E56ABA">
              <w:rPr>
                <w:b w:val="0"/>
                <w:bCs w:val="0"/>
              </w:rPr>
              <w:t xml:space="preserve">        Bahir Dar Zuria</w:t>
            </w:r>
          </w:p>
        </w:tc>
        <w:tc>
          <w:tcPr>
            <w:tcW w:w="0" w:type="auto"/>
            <w:hideMark/>
          </w:tcPr>
          <w:p w14:paraId="072D72A8" w14:textId="77777777" w:rsidR="00E56ABA" w:rsidRPr="00E56ABA" w:rsidRDefault="00E56ABA" w:rsidP="00E37F7F">
            <w:pPr>
              <w:spacing w:line="276" w:lineRule="auto"/>
              <w:jc w:val="both"/>
              <w:cnfStyle w:val="000000000000" w:firstRow="0" w:lastRow="0" w:firstColumn="0" w:lastColumn="0" w:oddVBand="0" w:evenVBand="0" w:oddHBand="0" w:evenHBand="0" w:firstRowFirstColumn="0" w:firstRowLastColumn="0" w:lastRowFirstColumn="0" w:lastRowLastColumn="0"/>
            </w:pPr>
            <w:r w:rsidRPr="00E56ABA">
              <w:t>478 (32.5%)</w:t>
            </w:r>
          </w:p>
        </w:tc>
        <w:tc>
          <w:tcPr>
            <w:tcW w:w="0" w:type="auto"/>
            <w:hideMark/>
          </w:tcPr>
          <w:p w14:paraId="759455AB" w14:textId="77777777" w:rsidR="00E56ABA" w:rsidRPr="00E56ABA" w:rsidRDefault="00E56ABA" w:rsidP="00E37F7F">
            <w:pPr>
              <w:spacing w:line="276" w:lineRule="auto"/>
              <w:jc w:val="both"/>
              <w:cnfStyle w:val="000000000000" w:firstRow="0" w:lastRow="0" w:firstColumn="0" w:lastColumn="0" w:oddVBand="0" w:evenVBand="0" w:oddHBand="0" w:evenHBand="0" w:firstRowFirstColumn="0" w:firstRowLastColumn="0" w:lastRowFirstColumn="0" w:lastRowLastColumn="0"/>
            </w:pPr>
            <w:r w:rsidRPr="00E56ABA">
              <w:t>241 (32.4%)</w:t>
            </w:r>
          </w:p>
        </w:tc>
        <w:tc>
          <w:tcPr>
            <w:tcW w:w="0" w:type="auto"/>
            <w:hideMark/>
          </w:tcPr>
          <w:p w14:paraId="56A77BA1" w14:textId="77777777" w:rsidR="00E56ABA" w:rsidRPr="00E56ABA" w:rsidRDefault="00E56ABA" w:rsidP="00E37F7F">
            <w:pPr>
              <w:spacing w:line="276" w:lineRule="auto"/>
              <w:jc w:val="both"/>
              <w:cnfStyle w:val="000000000000" w:firstRow="0" w:lastRow="0" w:firstColumn="0" w:lastColumn="0" w:oddVBand="0" w:evenVBand="0" w:oddHBand="0" w:evenHBand="0" w:firstRowFirstColumn="0" w:firstRowLastColumn="0" w:lastRowFirstColumn="0" w:lastRowLastColumn="0"/>
            </w:pPr>
            <w:r w:rsidRPr="00E56ABA">
              <w:t>237 (32.5%)</w:t>
            </w:r>
          </w:p>
        </w:tc>
      </w:tr>
      <w:tr w:rsidR="00E56ABA" w:rsidRPr="00E56ABA" w14:paraId="4D9E5098" w14:textId="77777777" w:rsidTr="00E56ABA">
        <w:tc>
          <w:tcPr>
            <w:cnfStyle w:val="001000000000" w:firstRow="0" w:lastRow="0" w:firstColumn="1" w:lastColumn="0" w:oddVBand="0" w:evenVBand="0" w:oddHBand="0" w:evenHBand="0" w:firstRowFirstColumn="0" w:firstRowLastColumn="0" w:lastRowFirstColumn="0" w:lastRowLastColumn="0"/>
            <w:tcW w:w="0" w:type="auto"/>
            <w:hideMark/>
          </w:tcPr>
          <w:p w14:paraId="68DBCE38" w14:textId="77777777" w:rsidR="00E56ABA" w:rsidRPr="00E56ABA" w:rsidRDefault="00E56ABA" w:rsidP="00E37F7F">
            <w:pPr>
              <w:spacing w:line="276" w:lineRule="auto"/>
              <w:jc w:val="both"/>
            </w:pPr>
            <w:r w:rsidRPr="00E56ABA">
              <w:t>Anxiety</w:t>
            </w:r>
          </w:p>
        </w:tc>
        <w:tc>
          <w:tcPr>
            <w:tcW w:w="0" w:type="auto"/>
            <w:hideMark/>
          </w:tcPr>
          <w:p w14:paraId="538334B3" w14:textId="77777777" w:rsidR="00E56ABA" w:rsidRPr="00E56ABA" w:rsidRDefault="00E56ABA" w:rsidP="00E37F7F">
            <w:pPr>
              <w:spacing w:line="276" w:lineRule="auto"/>
              <w:jc w:val="both"/>
              <w:cnfStyle w:val="000000000000" w:firstRow="0" w:lastRow="0" w:firstColumn="0" w:lastColumn="0" w:oddVBand="0" w:evenVBand="0" w:oddHBand="0" w:evenHBand="0" w:firstRowFirstColumn="0" w:firstRowLastColumn="0" w:lastRowFirstColumn="0" w:lastRowLastColumn="0"/>
            </w:pPr>
            <w:r w:rsidRPr="00E56ABA">
              <w:t>346 (23.5%)</w:t>
            </w:r>
          </w:p>
        </w:tc>
        <w:tc>
          <w:tcPr>
            <w:tcW w:w="0" w:type="auto"/>
            <w:hideMark/>
          </w:tcPr>
          <w:p w14:paraId="6B89A89E" w14:textId="77777777" w:rsidR="00E56ABA" w:rsidRPr="00E56ABA" w:rsidRDefault="00E56ABA" w:rsidP="00E37F7F">
            <w:pPr>
              <w:spacing w:line="276" w:lineRule="auto"/>
              <w:jc w:val="both"/>
              <w:cnfStyle w:val="000000000000" w:firstRow="0" w:lastRow="0" w:firstColumn="0" w:lastColumn="0" w:oddVBand="0" w:evenVBand="0" w:oddHBand="0" w:evenHBand="0" w:firstRowFirstColumn="0" w:firstRowLastColumn="0" w:lastRowFirstColumn="0" w:lastRowLastColumn="0"/>
            </w:pPr>
            <w:r w:rsidRPr="00E56ABA">
              <w:t>165 (22.2%)</w:t>
            </w:r>
          </w:p>
        </w:tc>
        <w:tc>
          <w:tcPr>
            <w:tcW w:w="0" w:type="auto"/>
            <w:hideMark/>
          </w:tcPr>
          <w:p w14:paraId="1B169D54" w14:textId="77777777" w:rsidR="00E56ABA" w:rsidRPr="00E56ABA" w:rsidRDefault="00E56ABA" w:rsidP="00E37F7F">
            <w:pPr>
              <w:spacing w:line="276" w:lineRule="auto"/>
              <w:jc w:val="both"/>
              <w:cnfStyle w:val="000000000000" w:firstRow="0" w:lastRow="0" w:firstColumn="0" w:lastColumn="0" w:oddVBand="0" w:evenVBand="0" w:oddHBand="0" w:evenHBand="0" w:firstRowFirstColumn="0" w:firstRowLastColumn="0" w:lastRowFirstColumn="0" w:lastRowLastColumn="0"/>
            </w:pPr>
            <w:r w:rsidRPr="00E56ABA">
              <w:t>181 (24.8%)</w:t>
            </w:r>
          </w:p>
        </w:tc>
      </w:tr>
      <w:tr w:rsidR="00E56ABA" w:rsidRPr="00E56ABA" w14:paraId="57BCF539" w14:textId="77777777" w:rsidTr="00E56ABA">
        <w:tc>
          <w:tcPr>
            <w:cnfStyle w:val="001000000000" w:firstRow="0" w:lastRow="0" w:firstColumn="1" w:lastColumn="0" w:oddVBand="0" w:evenVBand="0" w:oddHBand="0" w:evenHBand="0" w:firstRowFirstColumn="0" w:firstRowLastColumn="0" w:lastRowFirstColumn="0" w:lastRowLastColumn="0"/>
            <w:tcW w:w="0" w:type="auto"/>
            <w:hideMark/>
          </w:tcPr>
          <w:p w14:paraId="4D86B015" w14:textId="77777777" w:rsidR="00E56ABA" w:rsidRPr="00E56ABA" w:rsidRDefault="00E56ABA" w:rsidP="00E37F7F">
            <w:pPr>
              <w:spacing w:line="276" w:lineRule="auto"/>
              <w:jc w:val="both"/>
            </w:pPr>
            <w:r w:rsidRPr="00E56ABA">
              <w:t>Depression</w:t>
            </w:r>
          </w:p>
        </w:tc>
        <w:tc>
          <w:tcPr>
            <w:tcW w:w="0" w:type="auto"/>
            <w:hideMark/>
          </w:tcPr>
          <w:p w14:paraId="431DFFCD" w14:textId="77777777" w:rsidR="00E56ABA" w:rsidRPr="00E56ABA" w:rsidRDefault="00E56ABA" w:rsidP="00E37F7F">
            <w:pPr>
              <w:spacing w:line="276" w:lineRule="auto"/>
              <w:jc w:val="both"/>
              <w:cnfStyle w:val="000000000000" w:firstRow="0" w:lastRow="0" w:firstColumn="0" w:lastColumn="0" w:oddVBand="0" w:evenVBand="0" w:oddHBand="0" w:evenHBand="0" w:firstRowFirstColumn="0" w:firstRowLastColumn="0" w:lastRowFirstColumn="0" w:lastRowLastColumn="0"/>
            </w:pPr>
            <w:r w:rsidRPr="00E56ABA">
              <w:t>229 (15.6%)</w:t>
            </w:r>
          </w:p>
        </w:tc>
        <w:tc>
          <w:tcPr>
            <w:tcW w:w="0" w:type="auto"/>
            <w:hideMark/>
          </w:tcPr>
          <w:p w14:paraId="70EB4412" w14:textId="77777777" w:rsidR="00E56ABA" w:rsidRPr="00E56ABA" w:rsidRDefault="00E56ABA" w:rsidP="00E37F7F">
            <w:pPr>
              <w:spacing w:line="276" w:lineRule="auto"/>
              <w:jc w:val="both"/>
              <w:cnfStyle w:val="000000000000" w:firstRow="0" w:lastRow="0" w:firstColumn="0" w:lastColumn="0" w:oddVBand="0" w:evenVBand="0" w:oddHBand="0" w:evenHBand="0" w:firstRowFirstColumn="0" w:firstRowLastColumn="0" w:lastRowFirstColumn="0" w:lastRowLastColumn="0"/>
            </w:pPr>
            <w:r w:rsidRPr="00E56ABA">
              <w:t>105 (14.1%)</w:t>
            </w:r>
          </w:p>
        </w:tc>
        <w:tc>
          <w:tcPr>
            <w:tcW w:w="0" w:type="auto"/>
            <w:hideMark/>
          </w:tcPr>
          <w:p w14:paraId="0C9F5643" w14:textId="77777777" w:rsidR="00E56ABA" w:rsidRPr="00E56ABA" w:rsidRDefault="00E56ABA" w:rsidP="00E37F7F">
            <w:pPr>
              <w:spacing w:line="276" w:lineRule="auto"/>
              <w:jc w:val="both"/>
              <w:cnfStyle w:val="000000000000" w:firstRow="0" w:lastRow="0" w:firstColumn="0" w:lastColumn="0" w:oddVBand="0" w:evenVBand="0" w:oddHBand="0" w:evenHBand="0" w:firstRowFirstColumn="0" w:firstRowLastColumn="0" w:lastRowFirstColumn="0" w:lastRowLastColumn="0"/>
            </w:pPr>
            <w:r w:rsidRPr="00E56ABA">
              <w:t>124 (17.0%)</w:t>
            </w:r>
          </w:p>
        </w:tc>
      </w:tr>
      <w:tr w:rsidR="00E56ABA" w:rsidRPr="00E56ABA" w14:paraId="362591BA" w14:textId="77777777" w:rsidTr="00E56ABA">
        <w:tc>
          <w:tcPr>
            <w:cnfStyle w:val="001000000000" w:firstRow="0" w:lastRow="0" w:firstColumn="1" w:lastColumn="0" w:oddVBand="0" w:evenVBand="0" w:oddHBand="0" w:evenHBand="0" w:firstRowFirstColumn="0" w:firstRowLastColumn="0" w:lastRowFirstColumn="0" w:lastRowLastColumn="0"/>
            <w:tcW w:w="0" w:type="auto"/>
            <w:hideMark/>
          </w:tcPr>
          <w:p w14:paraId="07185DFB" w14:textId="77777777" w:rsidR="00E56ABA" w:rsidRPr="00E56ABA" w:rsidRDefault="00E56ABA" w:rsidP="00E37F7F">
            <w:pPr>
              <w:spacing w:line="276" w:lineRule="auto"/>
              <w:jc w:val="both"/>
            </w:pPr>
            <w:r w:rsidRPr="00E56ABA">
              <w:t>Emotional distress</w:t>
            </w:r>
          </w:p>
        </w:tc>
        <w:tc>
          <w:tcPr>
            <w:tcW w:w="0" w:type="auto"/>
            <w:hideMark/>
          </w:tcPr>
          <w:p w14:paraId="4CDA2A98" w14:textId="77777777" w:rsidR="00E56ABA" w:rsidRPr="00E56ABA" w:rsidRDefault="00E56ABA" w:rsidP="00E37F7F">
            <w:pPr>
              <w:spacing w:line="276" w:lineRule="auto"/>
              <w:jc w:val="both"/>
              <w:cnfStyle w:val="000000000000" w:firstRow="0" w:lastRow="0" w:firstColumn="0" w:lastColumn="0" w:oddVBand="0" w:evenVBand="0" w:oddHBand="0" w:evenHBand="0" w:firstRowFirstColumn="0" w:firstRowLastColumn="0" w:lastRowFirstColumn="0" w:lastRowLastColumn="0"/>
            </w:pPr>
            <w:r w:rsidRPr="00E56ABA">
              <w:t>273 (18.5%)</w:t>
            </w:r>
          </w:p>
        </w:tc>
        <w:tc>
          <w:tcPr>
            <w:tcW w:w="0" w:type="auto"/>
            <w:hideMark/>
          </w:tcPr>
          <w:p w14:paraId="68A0DCD6" w14:textId="77777777" w:rsidR="00E56ABA" w:rsidRPr="00E56ABA" w:rsidRDefault="00E56ABA" w:rsidP="00E37F7F">
            <w:pPr>
              <w:spacing w:line="276" w:lineRule="auto"/>
              <w:jc w:val="both"/>
              <w:cnfStyle w:val="000000000000" w:firstRow="0" w:lastRow="0" w:firstColumn="0" w:lastColumn="0" w:oddVBand="0" w:evenVBand="0" w:oddHBand="0" w:evenHBand="0" w:firstRowFirstColumn="0" w:firstRowLastColumn="0" w:lastRowFirstColumn="0" w:lastRowLastColumn="0"/>
            </w:pPr>
            <w:r w:rsidRPr="00E56ABA">
              <w:t>124 (16.7%)</w:t>
            </w:r>
          </w:p>
        </w:tc>
        <w:tc>
          <w:tcPr>
            <w:tcW w:w="0" w:type="auto"/>
            <w:hideMark/>
          </w:tcPr>
          <w:p w14:paraId="7E44F2DA" w14:textId="77777777" w:rsidR="00E56ABA" w:rsidRPr="00E56ABA" w:rsidRDefault="00E56ABA" w:rsidP="00E37F7F">
            <w:pPr>
              <w:spacing w:line="276" w:lineRule="auto"/>
              <w:jc w:val="both"/>
              <w:cnfStyle w:val="000000000000" w:firstRow="0" w:lastRow="0" w:firstColumn="0" w:lastColumn="0" w:oddVBand="0" w:evenVBand="0" w:oddHBand="0" w:evenHBand="0" w:firstRowFirstColumn="0" w:firstRowLastColumn="0" w:lastRowFirstColumn="0" w:lastRowLastColumn="0"/>
            </w:pPr>
            <w:r w:rsidRPr="00E56ABA">
              <w:t>149 (20.4%)</w:t>
            </w:r>
          </w:p>
        </w:tc>
      </w:tr>
      <w:tr w:rsidR="00E56ABA" w:rsidRPr="00E56ABA" w14:paraId="2DA23DE4" w14:textId="77777777" w:rsidTr="00E56ABA">
        <w:tc>
          <w:tcPr>
            <w:cnfStyle w:val="001000000000" w:firstRow="0" w:lastRow="0" w:firstColumn="1" w:lastColumn="0" w:oddVBand="0" w:evenVBand="0" w:oddHBand="0" w:evenHBand="0" w:firstRowFirstColumn="0" w:firstRowLastColumn="0" w:lastRowFirstColumn="0" w:lastRowLastColumn="0"/>
            <w:tcW w:w="0" w:type="auto"/>
            <w:hideMark/>
          </w:tcPr>
          <w:p w14:paraId="5A546210" w14:textId="5FC335EA" w:rsidR="00E56ABA" w:rsidRPr="00E56ABA" w:rsidRDefault="00E56ABA" w:rsidP="00E37F7F">
            <w:pPr>
              <w:spacing w:line="276" w:lineRule="auto"/>
              <w:jc w:val="both"/>
            </w:pPr>
            <w:r w:rsidRPr="00E56ABA">
              <w:t>Households per kebele</w:t>
            </w:r>
            <w:r>
              <w:t xml:space="preserve"> [median (min-max)]</w:t>
            </w:r>
          </w:p>
        </w:tc>
        <w:tc>
          <w:tcPr>
            <w:tcW w:w="0" w:type="auto"/>
            <w:hideMark/>
          </w:tcPr>
          <w:p w14:paraId="7242E351" w14:textId="77777777" w:rsidR="00E56ABA" w:rsidRPr="00E56ABA" w:rsidRDefault="00E56ABA" w:rsidP="00E37F7F">
            <w:pPr>
              <w:spacing w:line="276" w:lineRule="auto"/>
              <w:jc w:val="both"/>
              <w:cnfStyle w:val="000000000000" w:firstRow="0" w:lastRow="0" w:firstColumn="0" w:lastColumn="0" w:oddVBand="0" w:evenVBand="0" w:oddHBand="0" w:evenHBand="0" w:firstRowFirstColumn="0" w:firstRowLastColumn="0" w:lastRowFirstColumn="0" w:lastRowLastColumn="0"/>
            </w:pPr>
            <w:r w:rsidRPr="00E56ABA">
              <w:t>29 (25-33)</w:t>
            </w:r>
          </w:p>
        </w:tc>
        <w:tc>
          <w:tcPr>
            <w:tcW w:w="0" w:type="auto"/>
            <w:hideMark/>
          </w:tcPr>
          <w:p w14:paraId="0B177CA9" w14:textId="77777777" w:rsidR="00E56ABA" w:rsidRPr="00E56ABA" w:rsidRDefault="00E56ABA" w:rsidP="00E37F7F">
            <w:pPr>
              <w:spacing w:line="276" w:lineRule="auto"/>
              <w:jc w:val="both"/>
              <w:cnfStyle w:val="000000000000" w:firstRow="0" w:lastRow="0" w:firstColumn="0" w:lastColumn="0" w:oddVBand="0" w:evenVBand="0" w:oddHBand="0" w:evenHBand="0" w:firstRowFirstColumn="0" w:firstRowLastColumn="0" w:lastRowFirstColumn="0" w:lastRowLastColumn="0"/>
            </w:pPr>
            <w:r w:rsidRPr="00E56ABA">
              <w:t>29 (25-33)</w:t>
            </w:r>
          </w:p>
        </w:tc>
        <w:tc>
          <w:tcPr>
            <w:tcW w:w="0" w:type="auto"/>
            <w:hideMark/>
          </w:tcPr>
          <w:p w14:paraId="1F1617F8" w14:textId="77777777" w:rsidR="00E56ABA" w:rsidRPr="00E56ABA" w:rsidRDefault="00E56ABA" w:rsidP="00E37F7F">
            <w:pPr>
              <w:spacing w:line="276" w:lineRule="auto"/>
              <w:jc w:val="both"/>
              <w:cnfStyle w:val="000000000000" w:firstRow="0" w:lastRow="0" w:firstColumn="0" w:lastColumn="0" w:oddVBand="0" w:evenVBand="0" w:oddHBand="0" w:evenHBand="0" w:firstRowFirstColumn="0" w:firstRowLastColumn="0" w:lastRowFirstColumn="0" w:lastRowLastColumn="0"/>
            </w:pPr>
            <w:r w:rsidRPr="00E56ABA">
              <w:t>29 (27-33)</w:t>
            </w:r>
          </w:p>
        </w:tc>
      </w:tr>
      <w:tr w:rsidR="00E56ABA" w:rsidRPr="00E56ABA" w14:paraId="57AE1A86" w14:textId="77777777" w:rsidTr="00A517A6">
        <w:tc>
          <w:tcPr>
            <w:cnfStyle w:val="001000000000" w:firstRow="0" w:lastRow="0" w:firstColumn="1" w:lastColumn="0" w:oddVBand="0" w:evenVBand="0" w:oddHBand="0" w:evenHBand="0" w:firstRowFirstColumn="0" w:firstRowLastColumn="0" w:lastRowFirstColumn="0" w:lastRowLastColumn="0"/>
            <w:tcW w:w="0" w:type="auto"/>
            <w:gridSpan w:val="4"/>
            <w:hideMark/>
          </w:tcPr>
          <w:p w14:paraId="0862F718" w14:textId="2D93E199" w:rsidR="00E56ABA" w:rsidRPr="00E56ABA" w:rsidRDefault="00E56ABA" w:rsidP="00E37F7F">
            <w:pPr>
              <w:spacing w:line="276" w:lineRule="auto"/>
              <w:jc w:val="both"/>
              <w:rPr>
                <w:b w:val="0"/>
                <w:bCs w:val="0"/>
                <w:i/>
                <w:iCs/>
              </w:rPr>
            </w:pPr>
            <w:r w:rsidRPr="00E56ABA">
              <w:rPr>
                <w:b w:val="0"/>
                <w:bCs w:val="0"/>
                <w:i/>
                <w:iCs/>
              </w:rPr>
              <w:t xml:space="preserve">Note: Screen-positive threshold: household mean item score &gt;= </w:t>
            </w:r>
            <w:r>
              <w:rPr>
                <w:b w:val="0"/>
                <w:bCs w:val="0"/>
                <w:i/>
                <w:iCs/>
              </w:rPr>
              <w:t>1</w:t>
            </w:r>
            <w:r w:rsidRPr="00E56ABA">
              <w:rPr>
                <w:b w:val="0"/>
                <w:bCs w:val="0"/>
                <w:i/>
                <w:iCs/>
              </w:rPr>
              <w:t xml:space="preserve">.75 on the </w:t>
            </w:r>
            <w:r>
              <w:rPr>
                <w:b w:val="0"/>
                <w:bCs w:val="0"/>
                <w:i/>
                <w:iCs/>
              </w:rPr>
              <w:t>1</w:t>
            </w:r>
            <w:r w:rsidRPr="00E56ABA">
              <w:rPr>
                <w:b w:val="0"/>
                <w:bCs w:val="0"/>
                <w:i/>
                <w:iCs/>
              </w:rPr>
              <w:t>-</w:t>
            </w:r>
            <w:r>
              <w:rPr>
                <w:b w:val="0"/>
                <w:bCs w:val="0"/>
                <w:i/>
                <w:iCs/>
              </w:rPr>
              <w:t>4</w:t>
            </w:r>
            <w:r w:rsidRPr="00E56ABA">
              <w:rPr>
                <w:b w:val="0"/>
                <w:bCs w:val="0"/>
                <w:i/>
                <w:iCs/>
              </w:rPr>
              <w:t xml:space="preserve"> scale.</w:t>
            </w:r>
          </w:p>
        </w:tc>
      </w:tr>
    </w:tbl>
    <w:p w14:paraId="0216CF7E" w14:textId="58197825" w:rsidR="002024AE" w:rsidRDefault="002024AE" w:rsidP="00E37F7F">
      <w:pPr>
        <w:pStyle w:val="Heading1"/>
        <w:numPr>
          <w:ilvl w:val="0"/>
          <w:numId w:val="1"/>
        </w:numPr>
        <w:spacing w:line="360" w:lineRule="auto"/>
        <w:jc w:val="both"/>
      </w:pPr>
      <w:r>
        <w:lastRenderedPageBreak/>
        <w:t xml:space="preserve">Model Specification </w:t>
      </w:r>
    </w:p>
    <w:p w14:paraId="2D161939" w14:textId="3D849D13" w:rsidR="00D375DA" w:rsidRPr="00D375DA" w:rsidRDefault="00D375DA" w:rsidP="00E37F7F">
      <w:pPr>
        <w:spacing w:line="360" w:lineRule="auto"/>
        <w:jc w:val="both"/>
      </w:pPr>
      <w:r>
        <w:tab/>
      </w:r>
      <w:r w:rsidRPr="00D375DA">
        <w:t>We fit</w:t>
      </w:r>
      <w:r>
        <w:t>ted</w:t>
      </w:r>
      <w:r w:rsidRPr="00D375DA">
        <w:t xml:space="preserve"> a Bayesian hierarchical logistic regression separately for each of the three binary outcomes (</w:t>
      </w:r>
      <w:r w:rsidRPr="00D375DA">
        <w:rPr>
          <w:rFonts w:eastAsiaTheme="majorEastAsia"/>
        </w:rPr>
        <w:t>anxiety</w:t>
      </w:r>
      <w:r w:rsidRPr="00D375DA">
        <w:t>, </w:t>
      </w:r>
      <w:r w:rsidRPr="00D375DA">
        <w:rPr>
          <w:rFonts w:eastAsiaTheme="majorEastAsia"/>
        </w:rPr>
        <w:t>depression</w:t>
      </w:r>
      <w:r w:rsidRPr="00D375DA">
        <w:t>, </w:t>
      </w:r>
      <w:r w:rsidRPr="00D375DA">
        <w:rPr>
          <w:rFonts w:eastAsiaTheme="majorEastAsia"/>
        </w:rPr>
        <w:t>emotion</w:t>
      </w:r>
      <w:r w:rsidRPr="00D375DA">
        <w:t>). Let </w:t>
      </w:r>
      <w:proofErr w:type="spellStart"/>
      <w:r>
        <w:rPr>
          <w:i/>
          <w:iCs/>
        </w:rPr>
        <w:t>i</w:t>
      </w:r>
      <w:proofErr w:type="spellEnd"/>
      <w:r w:rsidRPr="00D375DA">
        <w:t> index households (</w:t>
      </w:r>
      <w:r>
        <w:rPr>
          <w:i/>
          <w:iCs/>
        </w:rPr>
        <w:t>I = 1, …, N</w:t>
      </w:r>
      <w:r w:rsidRPr="00D375DA">
        <w:t>), </w:t>
      </w:r>
      <w:r>
        <w:rPr>
          <w:i/>
          <w:iCs/>
        </w:rPr>
        <w:t>j</w:t>
      </w:r>
      <w:r w:rsidRPr="00D375DA">
        <w:t>[</w:t>
      </w:r>
      <w:proofErr w:type="spellStart"/>
      <w:r w:rsidRPr="00D375DA">
        <w:rPr>
          <w:i/>
          <w:iCs/>
        </w:rPr>
        <w:t>i</w:t>
      </w:r>
      <w:proofErr w:type="spellEnd"/>
      <w:r w:rsidRPr="00D375DA">
        <w:t>]</w:t>
      </w:r>
      <w:r w:rsidRPr="00D375DA">
        <w:t> index the kebele cluster for household </w:t>
      </w:r>
      <w:proofErr w:type="spellStart"/>
      <w:r>
        <w:rPr>
          <w:i/>
          <w:iCs/>
        </w:rPr>
        <w:t>i</w:t>
      </w:r>
      <w:proofErr w:type="spellEnd"/>
      <w:r w:rsidRPr="00D375DA">
        <w:t> (</w:t>
      </w:r>
      <w:r>
        <w:rPr>
          <w:i/>
          <w:iCs/>
        </w:rPr>
        <w:t>j = 1, …, N</w:t>
      </w:r>
      <w:r w:rsidRPr="00D375DA">
        <w:t>), and </w:t>
      </w:r>
      <w:r>
        <w:rPr>
          <w:i/>
          <w:iCs/>
        </w:rPr>
        <w:t>w</w:t>
      </w:r>
      <w:r w:rsidRPr="00D375DA">
        <w:t>[</w:t>
      </w:r>
      <w:proofErr w:type="spellStart"/>
      <w:r w:rsidRPr="00D375DA">
        <w:rPr>
          <w:i/>
          <w:iCs/>
        </w:rPr>
        <w:t>i</w:t>
      </w:r>
      <w:proofErr w:type="spellEnd"/>
      <w:r w:rsidRPr="00D375DA">
        <w:t>]</w:t>
      </w:r>
      <w:r w:rsidRPr="00D375DA">
        <w:t> </w:t>
      </w:r>
      <w:r>
        <w:sym w:font="Symbol" w:char="F0CE"/>
      </w:r>
      <w:r>
        <w:t xml:space="preserve"> {1, 2, 3} </w:t>
      </w:r>
      <w:r w:rsidRPr="00D375DA">
        <w:t>denote the woreda index.</w:t>
      </w:r>
    </w:p>
    <w:p w14:paraId="3E760547" w14:textId="77777777" w:rsidR="00FF60AD" w:rsidRDefault="00D375DA" w:rsidP="00E37F7F">
      <w:pPr>
        <w:spacing w:line="360" w:lineRule="auto"/>
        <w:jc w:val="both"/>
        <w:rPr>
          <w:b/>
          <w:bCs/>
        </w:rPr>
      </w:pPr>
      <w:r w:rsidRPr="00D375DA">
        <w:rPr>
          <w:rFonts w:eastAsiaTheme="majorEastAsia"/>
          <w:b/>
          <w:bCs/>
        </w:rPr>
        <w:t>Likelihood</w:t>
      </w:r>
    </w:p>
    <w:p w14:paraId="43D2720E" w14:textId="50B53B3A" w:rsidR="00D375DA" w:rsidRDefault="00FF60AD" w:rsidP="00E37F7F">
      <w:pPr>
        <w:spacing w:line="360" w:lineRule="auto"/>
        <w:jc w:val="both"/>
      </w:pPr>
      <w:r>
        <w:rPr>
          <w:b/>
          <w:bCs/>
        </w:rPr>
        <w:tab/>
      </w:r>
      <w:r w:rsidR="00D375DA" w:rsidRPr="00D375DA">
        <w:t>Each binary outcome </w:t>
      </w:r>
      <w:proofErr w:type="spellStart"/>
      <w:r w:rsidR="00D375DA" w:rsidRPr="00D375DA">
        <w:rPr>
          <w:i/>
          <w:iCs/>
        </w:rPr>
        <w:t>y</w:t>
      </w:r>
      <w:r w:rsidR="00D375DA" w:rsidRPr="00D375DA">
        <w:rPr>
          <w:i/>
          <w:iCs/>
          <w:vertAlign w:val="subscript"/>
        </w:rPr>
        <w:t>i</w:t>
      </w:r>
      <w:proofErr w:type="spellEnd"/>
      <w:r w:rsidR="00D375DA" w:rsidRPr="00D375DA">
        <w:t> is modeled as:</w:t>
      </w:r>
    </w:p>
    <w:p w14:paraId="2B014D56" w14:textId="5D01586A" w:rsidR="00D375DA" w:rsidRPr="00D375DA" w:rsidRDefault="00D375DA" w:rsidP="00E37F7F">
      <w:pPr>
        <w:spacing w:line="360" w:lineRule="auto"/>
        <w:jc w:val="both"/>
      </w:pPr>
      <m:oMathPara>
        <m:oMath>
          <m:sSub>
            <m:sSubPr>
              <m:ctrlPr>
                <w:rPr>
                  <w:rFonts w:ascii="Cambria Math" w:eastAsiaTheme="minorEastAsia" w:hAnsi="Cambria Math" w:cstheme="minorBidi"/>
                  <w:i/>
                  <w:kern w:val="2"/>
                  <w14:ligatures w14:val="standardContextual"/>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eastAsiaTheme="minorEastAsia" w:hAnsi="Cambria Math" w:cstheme="minorBidi"/>
                  <w:i/>
                  <w:kern w:val="2"/>
                  <w14:ligatures w14:val="standardContextual"/>
                </w:rPr>
              </m:ctrlPr>
            </m:sSubPr>
            <m:e>
              <m:r>
                <w:rPr>
                  <w:rFonts w:ascii="Cambria Math" w:hAnsi="Cambria Math"/>
                </w:rPr>
                <m:t>p</m:t>
              </m:r>
            </m:e>
            <m:sub>
              <m:r>
                <w:rPr>
                  <w:rFonts w:ascii="Cambria Math" w:hAnsi="Cambria Math"/>
                </w:rPr>
                <m:t>i</m:t>
              </m:r>
            </m:sub>
          </m:sSub>
          <m:r>
            <w:rPr>
              <w:rFonts w:ascii="Cambria Math" w:hAnsi="Cambria Math"/>
            </w:rPr>
            <m:t>=Bernoulli(</m:t>
          </m:r>
          <m:sSub>
            <m:sSubPr>
              <m:ctrlPr>
                <w:rPr>
                  <w:rFonts w:ascii="Cambria Math" w:eastAsiaTheme="minorEastAsia" w:hAnsi="Cambria Math" w:cstheme="minorBidi"/>
                  <w:i/>
                  <w:kern w:val="2"/>
                  <w14:ligatures w14:val="standardContextual"/>
                </w:rPr>
              </m:ctrlPr>
            </m:sSubPr>
            <m:e>
              <m:r>
                <w:rPr>
                  <w:rFonts w:ascii="Cambria Math" w:hAnsi="Cambria Math"/>
                </w:rPr>
                <m:t>p</m:t>
              </m:r>
            </m:e>
            <m:sub>
              <m:r>
                <w:rPr>
                  <w:rFonts w:ascii="Cambria Math" w:hAnsi="Cambria Math"/>
                </w:rPr>
                <m:t>i</m:t>
              </m:r>
            </m:sub>
          </m:sSub>
          <m:r>
            <w:rPr>
              <w:rFonts w:ascii="Cambria Math" w:hAnsi="Cambria Math"/>
            </w:rPr>
            <m:t>)</m:t>
          </m:r>
        </m:oMath>
      </m:oMathPara>
    </w:p>
    <w:p w14:paraId="508487AE" w14:textId="0755F3A2" w:rsidR="00D375DA" w:rsidRPr="00D375DA" w:rsidRDefault="00D375DA" w:rsidP="00E37F7F">
      <w:pPr>
        <w:spacing w:line="360" w:lineRule="auto"/>
        <w:jc w:val="both"/>
        <w:rPr>
          <w:rFonts w:eastAsiaTheme="minorEastAsia" w:cstheme="minorBidi"/>
        </w:rPr>
      </w:pPr>
      <m:oMathPara>
        <m:oMath>
          <m:r>
            <w:rPr>
              <w:rFonts w:ascii="Cambria Math" w:hAnsi="Cambria Math"/>
            </w:rPr>
            <m:t>logit</m:t>
          </m:r>
          <m:d>
            <m:dPr>
              <m:ctrlPr>
                <w:rPr>
                  <w:rFonts w:ascii="Cambria Math" w:hAnsi="Cambria Math"/>
                  <w:i/>
                </w:rPr>
              </m:ctrlPr>
            </m:dPr>
            <m:e>
              <m:sSub>
                <m:sSubPr>
                  <m:ctrlPr>
                    <w:rPr>
                      <w:rFonts w:ascii="Cambria Math" w:eastAsiaTheme="minorEastAsia" w:hAnsi="Cambria Math" w:cstheme="minorBidi"/>
                      <w:i/>
                      <w:kern w:val="2"/>
                      <w14:ligatures w14:val="standardContextual"/>
                    </w:rPr>
                  </m:ctrlPr>
                </m:sSubPr>
                <m:e>
                  <m:r>
                    <w:rPr>
                      <w:rFonts w:ascii="Cambria Math" w:hAnsi="Cambria Math"/>
                    </w:rPr>
                    <m:t>p</m:t>
                  </m:r>
                </m:e>
                <m:sub>
                  <m:r>
                    <w:rPr>
                      <w:rFonts w:ascii="Cambria Math" w:hAnsi="Cambria Math"/>
                    </w:rPr>
                    <m:t>i</m:t>
                  </m:r>
                </m:sub>
              </m:sSub>
            </m:e>
          </m:d>
          <m:r>
            <w:rPr>
              <w:rFonts w:ascii="Cambria Math" w:hAnsi="Cambria Math"/>
            </w:rPr>
            <m:t xml:space="preserve">= </m:t>
          </m:r>
          <m:sSub>
            <m:sSubPr>
              <m:ctrlPr>
                <w:rPr>
                  <w:rFonts w:ascii="Cambria Math" w:eastAsiaTheme="minorEastAsia" w:hAnsi="Cambria Math" w:cstheme="minorBidi"/>
                  <w:i/>
                  <w:kern w:val="2"/>
                  <w14:ligatures w14:val="standardContextual"/>
                </w:rPr>
              </m:ctrlPr>
            </m:sSubPr>
            <m:e>
              <m:r>
                <w:rPr>
                  <w:rFonts w:ascii="Cambria Math" w:hAnsi="Cambria Math"/>
                </w:rPr>
                <m:t>α</m:t>
              </m:r>
            </m:e>
            <m:sub>
              <m:r>
                <w:rPr>
                  <w:rFonts w:ascii="Cambria Math" w:hAnsi="Cambria Math"/>
                </w:rPr>
                <m:t>j[i]</m:t>
              </m:r>
            </m:sub>
          </m:sSub>
          <m:r>
            <w:rPr>
              <w:rFonts w:ascii="Cambria Math" w:hAnsi="Cambria Math"/>
            </w:rPr>
            <m:t>+</m:t>
          </m:r>
          <m:sSub>
            <m:sSubPr>
              <m:ctrlPr>
                <w:rPr>
                  <w:rFonts w:ascii="Cambria Math" w:eastAsiaTheme="minorEastAsia" w:hAnsi="Cambria Math" w:cstheme="minorBidi"/>
                  <w:i/>
                  <w:kern w:val="2"/>
                  <w14:ligatures w14:val="standardContextual"/>
                </w:rPr>
              </m:ctrlPr>
            </m:sSubPr>
            <m:e>
              <m:r>
                <w:rPr>
                  <w:rFonts w:ascii="Cambria Math" w:hAnsi="Cambria Math"/>
                </w:rPr>
                <m:t>β</m:t>
              </m:r>
            </m:e>
            <m:sub>
              <m:r>
                <w:rPr>
                  <w:rFonts w:ascii="Cambria Math" w:hAnsi="Cambria Math"/>
                </w:rPr>
                <m:t>trt</m:t>
              </m:r>
            </m:sub>
          </m:sSub>
          <m:r>
            <w:rPr>
              <w:rFonts w:ascii="Cambria Math" w:hAnsi="Cambria Math"/>
            </w:rPr>
            <m:t>×</m:t>
          </m:r>
          <m:sSup>
            <m:sSupPr>
              <m:ctrlPr>
                <w:rPr>
                  <w:rFonts w:ascii="Cambria Math" w:eastAsiaTheme="minorEastAsia" w:hAnsi="Cambria Math" w:cstheme="minorBidi"/>
                  <w:i/>
                  <w:kern w:val="2"/>
                  <w14:ligatures w14:val="standardContextual"/>
                </w:rPr>
              </m:ctrlPr>
            </m:sSupPr>
            <m:e>
              <m:sSub>
                <m:sSubPr>
                  <m:ctrlPr>
                    <w:rPr>
                      <w:rFonts w:ascii="Cambria Math" w:eastAsiaTheme="minorEastAsia" w:hAnsi="Cambria Math" w:cstheme="minorBidi"/>
                      <w:i/>
                      <w:kern w:val="2"/>
                      <w14:ligatures w14:val="standardContextual"/>
                    </w:rPr>
                  </m:ctrlPr>
                </m:sSubPr>
                <m:e>
                  <m:r>
                    <w:rPr>
                      <w:rFonts w:ascii="Cambria Math" w:hAnsi="Cambria Math"/>
                    </w:rPr>
                    <m:t>x</m:t>
                  </m:r>
                </m:e>
                <m:sub>
                  <m:r>
                    <w:rPr>
                      <w:rFonts w:ascii="Cambria Math" w:hAnsi="Cambria Math"/>
                    </w:rPr>
                    <m:t>i</m:t>
                  </m:r>
                </m:sub>
              </m:sSub>
            </m:e>
            <m:sup>
              <m:r>
                <w:rPr>
                  <w:rFonts w:ascii="Cambria Math" w:hAnsi="Cambria Math"/>
                </w:rPr>
                <m:t>trt</m:t>
              </m:r>
            </m:sup>
          </m:sSup>
          <m:r>
            <w:rPr>
              <w:rFonts w:ascii="Cambria Math" w:hAnsi="Cambria Math"/>
            </w:rPr>
            <m:t>+</m:t>
          </m:r>
          <m:sSub>
            <m:sSubPr>
              <m:ctrlPr>
                <w:rPr>
                  <w:rFonts w:ascii="Cambria Math" w:eastAsiaTheme="minorEastAsia" w:hAnsi="Cambria Math" w:cstheme="minorBidi"/>
                  <w:i/>
                  <w:kern w:val="2"/>
                  <w14:ligatures w14:val="standardContextual"/>
                </w:rPr>
              </m:ctrlPr>
            </m:sSubPr>
            <m:e>
              <m:r>
                <w:rPr>
                  <w:rFonts w:ascii="Cambria Math" w:hAnsi="Cambria Math"/>
                </w:rPr>
                <m:t>γ</m:t>
              </m:r>
            </m:e>
            <m:sub>
              <m:r>
                <w:rPr>
                  <w:rFonts w:ascii="Cambria Math" w:hAnsi="Cambria Math"/>
                </w:rPr>
                <m:t>w[i]</m:t>
              </m:r>
            </m:sub>
          </m:sSub>
        </m:oMath>
      </m:oMathPara>
    </w:p>
    <w:p w14:paraId="7B6E4E76" w14:textId="70CFA7B7" w:rsidR="00D375DA" w:rsidRPr="00D375DA" w:rsidRDefault="00D375DA" w:rsidP="00E37F7F">
      <w:pPr>
        <w:spacing w:line="360" w:lineRule="auto"/>
        <w:jc w:val="both"/>
      </w:pPr>
      <w:r w:rsidRPr="00D375DA">
        <w:t>where </w:t>
      </w:r>
      <m:oMath>
        <m:sSup>
          <m:sSupPr>
            <m:ctrlPr>
              <w:rPr>
                <w:rFonts w:ascii="Cambria Math" w:eastAsiaTheme="minorEastAsia" w:hAnsi="Cambria Math" w:cstheme="minorBidi"/>
                <w:i/>
                <w:kern w:val="2"/>
                <w14:ligatures w14:val="standardContextual"/>
              </w:rPr>
            </m:ctrlPr>
          </m:sSupPr>
          <m:e>
            <m:sSub>
              <m:sSubPr>
                <m:ctrlPr>
                  <w:rPr>
                    <w:rFonts w:ascii="Cambria Math" w:eastAsiaTheme="minorEastAsia" w:hAnsi="Cambria Math" w:cstheme="minorBidi"/>
                    <w:i/>
                    <w:kern w:val="2"/>
                    <w14:ligatures w14:val="standardContextual"/>
                  </w:rPr>
                </m:ctrlPr>
              </m:sSubPr>
              <m:e>
                <m:r>
                  <w:rPr>
                    <w:rFonts w:ascii="Cambria Math" w:hAnsi="Cambria Math"/>
                  </w:rPr>
                  <m:t>x</m:t>
                </m:r>
              </m:e>
              <m:sub>
                <m:r>
                  <w:rPr>
                    <w:rFonts w:ascii="Cambria Math" w:hAnsi="Cambria Math"/>
                  </w:rPr>
                  <m:t>i</m:t>
                </m:r>
              </m:sub>
            </m:sSub>
          </m:e>
          <m:sup>
            <m:r>
              <w:rPr>
                <w:rFonts w:ascii="Cambria Math" w:hAnsi="Cambria Math"/>
              </w:rPr>
              <m:t>trt</m:t>
            </m:r>
          </m:sup>
        </m:sSup>
      </m:oMath>
      <w:r w:rsidRPr="00D375DA">
        <w:t> is the binary treatment indicator (1 = intervention, 0 = control), </w:t>
      </w:r>
      <m:oMath>
        <m:sSub>
          <m:sSubPr>
            <m:ctrlPr>
              <w:rPr>
                <w:rFonts w:ascii="Cambria Math" w:eastAsiaTheme="minorEastAsia" w:hAnsi="Cambria Math" w:cstheme="minorBidi"/>
                <w:i/>
                <w:kern w:val="2"/>
                <w14:ligatures w14:val="standardContextual"/>
              </w:rPr>
            </m:ctrlPr>
          </m:sSubPr>
          <m:e>
            <m:r>
              <w:rPr>
                <w:rFonts w:ascii="Cambria Math" w:hAnsi="Cambria Math"/>
              </w:rPr>
              <m:t>α</m:t>
            </m:r>
          </m:e>
          <m:sub>
            <m:r>
              <w:rPr>
                <w:rFonts w:ascii="Cambria Math" w:hAnsi="Cambria Math"/>
              </w:rPr>
              <m:t>j[i]</m:t>
            </m:r>
          </m:sub>
        </m:sSub>
      </m:oMath>
      <w:r w:rsidRPr="00D375DA">
        <w:t> is the random intercept for kebele </w:t>
      </w:r>
      <w:r w:rsidR="000B3C9E" w:rsidRPr="000B3C9E">
        <w:rPr>
          <w:i/>
          <w:iCs/>
        </w:rPr>
        <w:t>j</w:t>
      </w:r>
      <w:r w:rsidR="000B3C9E">
        <w:t>[</w:t>
      </w:r>
      <w:proofErr w:type="spellStart"/>
      <w:r w:rsidR="000B3C9E">
        <w:rPr>
          <w:i/>
          <w:iCs/>
        </w:rPr>
        <w:t>i</w:t>
      </w:r>
      <w:proofErr w:type="spellEnd"/>
      <w:r w:rsidR="000B3C9E">
        <w:t>]</w:t>
      </w:r>
      <w:r w:rsidRPr="00D375DA">
        <w:t>, and </w:t>
      </w:r>
      <m:oMath>
        <m:sSub>
          <m:sSubPr>
            <m:ctrlPr>
              <w:rPr>
                <w:rFonts w:ascii="Cambria Math" w:eastAsiaTheme="minorEastAsia" w:hAnsi="Cambria Math" w:cstheme="minorBidi"/>
                <w:i/>
                <w:kern w:val="2"/>
                <w14:ligatures w14:val="standardContextual"/>
              </w:rPr>
            </m:ctrlPr>
          </m:sSubPr>
          <m:e>
            <m:r>
              <w:rPr>
                <w:rFonts w:ascii="Cambria Math" w:hAnsi="Cambria Math"/>
              </w:rPr>
              <m:t>γ</m:t>
            </m:r>
          </m:e>
          <m:sub>
            <m:r>
              <w:rPr>
                <w:rFonts w:ascii="Cambria Math" w:hAnsi="Cambria Math"/>
              </w:rPr>
              <m:t>w[i]</m:t>
            </m:r>
          </m:sub>
        </m:sSub>
      </m:oMath>
      <w:r w:rsidRPr="00D375DA">
        <w:t> is the fixed woreda effect. Farta is the reference category, enforced by the constraint </w:t>
      </w:r>
      <m:oMath>
        <m:sSub>
          <m:sSubPr>
            <m:ctrlPr>
              <w:rPr>
                <w:rFonts w:ascii="Cambria Math" w:eastAsiaTheme="minorEastAsia" w:hAnsi="Cambria Math" w:cstheme="minorBidi"/>
                <w:i/>
                <w:kern w:val="2"/>
                <w14:ligatures w14:val="standardContextual"/>
              </w:rPr>
            </m:ctrlPr>
          </m:sSubPr>
          <m:e>
            <m:r>
              <w:rPr>
                <w:rFonts w:ascii="Cambria Math" w:hAnsi="Cambria Math"/>
              </w:rPr>
              <m:t>γ</m:t>
            </m:r>
          </m:e>
          <m:sub>
            <m:r>
              <w:rPr>
                <w:rFonts w:ascii="Cambria Math" w:hAnsi="Cambria Math"/>
              </w:rPr>
              <m:t>1</m:t>
            </m:r>
          </m:sub>
        </m:sSub>
        <m:r>
          <w:rPr>
            <w:rFonts w:ascii="Cambria Math" w:hAnsi="Cambria Math"/>
          </w:rPr>
          <m:t>=0</m:t>
        </m:r>
      </m:oMath>
      <w:r w:rsidRPr="00D375DA">
        <w:t>.</w:t>
      </w:r>
    </w:p>
    <w:p w14:paraId="4193FAD1" w14:textId="49CF4B98" w:rsidR="00FF60AD" w:rsidRDefault="00D375DA" w:rsidP="00E37F7F">
      <w:pPr>
        <w:spacing w:line="360" w:lineRule="auto"/>
        <w:jc w:val="both"/>
      </w:pPr>
      <w:r w:rsidRPr="00D375DA">
        <w:rPr>
          <w:rFonts w:eastAsiaTheme="majorEastAsia"/>
          <w:b/>
          <w:bCs/>
        </w:rPr>
        <w:t>Cluster-level random intercepts</w:t>
      </w:r>
      <w:r w:rsidRPr="00D375DA">
        <w:t> </w:t>
      </w:r>
    </w:p>
    <w:p w14:paraId="51C4FABB" w14:textId="6509F37F" w:rsidR="00D375DA" w:rsidRDefault="00FF60AD" w:rsidP="00E37F7F">
      <w:pPr>
        <w:spacing w:line="360" w:lineRule="auto"/>
        <w:jc w:val="both"/>
      </w:pPr>
      <w:r>
        <w:tab/>
      </w:r>
      <w:r w:rsidR="00D375DA" w:rsidRPr="00D375DA">
        <w:t>Kebele intercepts are modeled as exchangeable draws from a common Normal distribution:</w:t>
      </w:r>
    </w:p>
    <w:p w14:paraId="702B493D" w14:textId="4E9EAE9B" w:rsidR="000B3C9E" w:rsidRPr="00D375DA" w:rsidRDefault="000B3C9E" w:rsidP="00E37F7F">
      <w:pPr>
        <w:spacing w:line="360" w:lineRule="auto"/>
        <w:jc w:val="both"/>
      </w:pPr>
      <m:oMathPara>
        <m:oMath>
          <m:sSub>
            <m:sSubPr>
              <m:ctrlPr>
                <w:rPr>
                  <w:rFonts w:ascii="Cambria Math" w:eastAsiaTheme="minorEastAsia" w:hAnsi="Cambria Math" w:cstheme="minorBidi"/>
                  <w:i/>
                  <w:kern w:val="2"/>
                  <w14:ligatures w14:val="standardContextual"/>
                </w:rPr>
              </m:ctrlPr>
            </m:sSubPr>
            <m:e>
              <m:r>
                <w:rPr>
                  <w:rFonts w:ascii="Cambria Math" w:hAnsi="Cambria Math"/>
                </w:rPr>
                <m:t>α</m:t>
              </m:r>
            </m:e>
            <m:sub>
              <m:r>
                <w:rPr>
                  <w:rFonts w:ascii="Cambria Math" w:hAnsi="Cambria Math"/>
                </w:rPr>
                <m:t>j</m:t>
              </m:r>
            </m:sub>
          </m:sSub>
          <m:r>
            <w:rPr>
              <w:rFonts w:ascii="Cambria Math" w:hAnsi="Cambria Math"/>
            </w:rPr>
            <m:t>|</m:t>
          </m:r>
          <m:sSub>
            <m:sSubPr>
              <m:ctrlPr>
                <w:rPr>
                  <w:rFonts w:ascii="Cambria Math" w:eastAsiaTheme="minorEastAsia" w:hAnsi="Cambria Math" w:cstheme="minorBidi"/>
                  <w:i/>
                  <w:kern w:val="2"/>
                  <w14:ligatures w14:val="standardContextual"/>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eastAsiaTheme="minorEastAsia" w:hAnsi="Cambria Math" w:cstheme="minorBidi"/>
                  <w:i/>
                  <w:kern w:val="2"/>
                  <w14:ligatures w14:val="standardContextual"/>
                </w:rPr>
              </m:ctrlPr>
            </m:sSubPr>
            <m:e>
              <m:r>
                <w:rPr>
                  <w:rFonts w:ascii="Cambria Math" w:hAnsi="Cambria Math"/>
                </w:rPr>
                <m:t>σ</m:t>
              </m:r>
            </m:e>
            <m:sub>
              <m:r>
                <w:rPr>
                  <w:rFonts w:ascii="Cambria Math" w:hAnsi="Cambria Math"/>
                </w:rPr>
                <m:t>cluster</m:t>
              </m:r>
            </m:sub>
          </m:sSub>
          <m:r>
            <w:rPr>
              <w:rFonts w:ascii="Cambria Math" w:hAnsi="Cambria Math"/>
            </w:rPr>
            <m:t>~Normal</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r>
                <w:rPr>
                  <w:rFonts w:ascii="Cambria Math" w:hAnsi="Cambria Math"/>
                </w:rPr>
                <m:t xml:space="preserve"> </m:t>
              </m:r>
              <m:sSub>
                <m:sSubPr>
                  <m:ctrlPr>
                    <w:rPr>
                      <w:rFonts w:ascii="Cambria Math" w:hAnsi="Cambria Math"/>
                      <w:i/>
                    </w:rPr>
                  </m:ctrlPr>
                </m:sSubPr>
                <m:e>
                  <m:sSup>
                    <m:sSupPr>
                      <m:ctrlPr>
                        <w:rPr>
                          <w:rFonts w:ascii="Cambria Math" w:eastAsiaTheme="minorEastAsia" w:hAnsi="Cambria Math" w:cstheme="minorBidi"/>
                          <w:i/>
                          <w:kern w:val="2"/>
                          <w14:ligatures w14:val="standardContextual"/>
                        </w:rPr>
                      </m:ctrlPr>
                    </m:sSupPr>
                    <m:e>
                      <m:r>
                        <w:rPr>
                          <w:rFonts w:ascii="Cambria Math" w:hAnsi="Cambria Math"/>
                        </w:rPr>
                        <m:t>σ</m:t>
                      </m:r>
                    </m:e>
                    <m:sup>
                      <m:r>
                        <w:rPr>
                          <w:rFonts w:ascii="Cambria Math" w:hAnsi="Cambria Math"/>
                        </w:rPr>
                        <m:t>2</m:t>
                      </m:r>
                    </m:sup>
                  </m:sSup>
                </m:e>
                <m:sub>
                  <m:r>
                    <w:rPr>
                      <w:rFonts w:ascii="Cambria Math" w:hAnsi="Cambria Math"/>
                    </w:rPr>
                    <m:t>cluster</m:t>
                  </m:r>
                </m:sub>
              </m:sSub>
            </m:e>
          </m:d>
          <m:r>
            <w:rPr>
              <w:rFonts w:ascii="Cambria Math" w:hAnsi="Cambria Math"/>
            </w:rPr>
            <m:t>,  j=1,…, 50</m:t>
          </m:r>
        </m:oMath>
      </m:oMathPara>
    </w:p>
    <w:p w14:paraId="0CD3A723" w14:textId="558D5D4A" w:rsidR="00D375DA" w:rsidRPr="00D375DA" w:rsidRDefault="00927CBA" w:rsidP="00E37F7F">
      <w:pPr>
        <w:spacing w:line="360" w:lineRule="auto"/>
        <w:jc w:val="both"/>
      </w:pPr>
      <w:r>
        <w:tab/>
      </w:r>
      <w:r w:rsidR="00D375DA" w:rsidRPr="00D375DA">
        <w:t xml:space="preserve">This partial-pooling structure allows each cluster to have its own baseline log-odds while borrowing information across clusters. Exchangeability is justified by the study design: kebeles were randomly selected and randomly assigned, and there is no a priori reason to expect any </w:t>
      </w:r>
      <w:proofErr w:type="gramStart"/>
      <w:r w:rsidR="00D375DA" w:rsidRPr="00D375DA">
        <w:t>particular kebele</w:t>
      </w:r>
      <w:proofErr w:type="gramEnd"/>
      <w:r w:rsidR="00D375DA" w:rsidRPr="00D375DA">
        <w:t xml:space="preserve"> to differ from the others in ways not already captured by the woreda fixed effects.</w:t>
      </w:r>
    </w:p>
    <w:p w14:paraId="2EBF9CF8" w14:textId="1F4F153A" w:rsidR="00D375DA" w:rsidRDefault="00D375DA" w:rsidP="00E37F7F">
      <w:pPr>
        <w:spacing w:line="360" w:lineRule="auto"/>
        <w:jc w:val="both"/>
        <w:rPr>
          <w:b/>
          <w:bCs/>
        </w:rPr>
      </w:pPr>
      <w:r w:rsidRPr="00D375DA">
        <w:rPr>
          <w:rFonts w:eastAsiaTheme="majorEastAsia"/>
          <w:b/>
          <w:bCs/>
        </w:rPr>
        <w:t>Prior distributions</w:t>
      </w:r>
    </w:p>
    <w:p w14:paraId="0E4D33C9" w14:textId="2EAC92AA" w:rsidR="00EE7F5C" w:rsidRDefault="00D203E6" w:rsidP="00E37F7F">
      <w:pPr>
        <w:spacing w:line="360" w:lineRule="auto"/>
        <w:jc w:val="both"/>
      </w:pPr>
      <m:oMathPara>
        <m:oMath>
          <m:sSub>
            <m:sSubPr>
              <m:ctrlPr>
                <w:rPr>
                  <w:rFonts w:ascii="Cambria Math" w:hAnsi="Cambria Math"/>
                  <w:i/>
                </w:rPr>
              </m:ctrlPr>
            </m:sSubPr>
            <m:e>
              <m:r>
                <w:rPr>
                  <w:rFonts w:ascii="Cambria Math" w:hAnsi="Cambria Math"/>
                </w:rPr>
                <m:t>β</m:t>
              </m:r>
            </m:e>
            <m:sub>
              <m:r>
                <w:rPr>
                  <w:rFonts w:ascii="Cambria Math" w:hAnsi="Cambria Math"/>
                </w:rPr>
                <m:t>trt</m:t>
              </m:r>
            </m:sub>
          </m:sSub>
          <m:r>
            <w:rPr>
              <w:rFonts w:ascii="Cambria Math" w:hAnsi="Cambria Math"/>
            </w:rPr>
            <m:t>~Normal</m:t>
          </m:r>
          <m:d>
            <m:dPr>
              <m:ctrlPr>
                <w:rPr>
                  <w:rFonts w:ascii="Cambria Math" w:hAnsi="Cambria Math"/>
                  <w:i/>
                </w:rPr>
              </m:ctrlPr>
            </m:dPr>
            <m:e>
              <m:r>
                <w:rPr>
                  <w:rFonts w:ascii="Cambria Math" w:hAnsi="Cambria Math"/>
                </w:rPr>
                <m:t>0, 1</m:t>
              </m:r>
            </m:e>
          </m:d>
          <m:r>
            <w:rPr>
              <w:rFonts w:ascii="Cambria Math" w:hAnsi="Cambria Math"/>
            </w:rPr>
            <w:br/>
          </m:r>
        </m:oMath>
        <m:oMath>
          <m:sSub>
            <m:sSubPr>
              <m:ctrlPr>
                <w:rPr>
                  <w:rFonts w:ascii="Cambria Math" w:hAnsi="Cambria Math"/>
                  <w:i/>
                </w:rPr>
              </m:ctrlPr>
            </m:sSubPr>
            <m:e>
              <m:r>
                <w:rPr>
                  <w:rFonts w:ascii="Cambria Math" w:hAnsi="Cambria Math"/>
                </w:rPr>
                <m:t>γ</m:t>
              </m:r>
            </m:e>
            <m:sub>
              <m:r>
                <w:rPr>
                  <w:rFonts w:ascii="Cambria Math" w:hAnsi="Cambria Math"/>
                </w:rPr>
                <m:t>1</m:t>
              </m:r>
            </m:sub>
          </m:sSub>
          <m:r>
            <w:rPr>
              <w:rFonts w:ascii="Cambria Math" w:hAnsi="Cambria Math"/>
            </w:rPr>
            <m:t>=0</m:t>
          </m:r>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3</m:t>
              </m:r>
            </m:sub>
          </m:sSub>
          <m:r>
            <w:rPr>
              <w:rFonts w:ascii="Cambria Math" w:hAnsi="Cambria Math"/>
            </w:rPr>
            <m:t>~Normal</m:t>
          </m:r>
          <m:d>
            <m:dPr>
              <m:ctrlPr>
                <w:rPr>
                  <w:rFonts w:ascii="Cambria Math" w:hAnsi="Cambria Math"/>
                  <w:i/>
                </w:rPr>
              </m:ctrlPr>
            </m:dPr>
            <m:e>
              <m:r>
                <w:rPr>
                  <w:rFonts w:ascii="Cambria Math" w:hAnsi="Cambria Math"/>
                </w:rPr>
                <m:t>0, 1</m:t>
              </m:r>
            </m:e>
          </m:d>
          <m:r>
            <w:rPr>
              <w:rFonts w:ascii="Cambria Math" w:hAnsi="Cambria Math"/>
            </w:rPr>
            <w:br/>
          </m:r>
        </m:oMath>
        <m:oMath>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 xml:space="preserve">~ Normal(-1.1, </m:t>
          </m:r>
          <m:sSup>
            <m:sSupPr>
              <m:ctrlPr>
                <w:rPr>
                  <w:rFonts w:ascii="Cambria Math" w:hAnsi="Cambria Math"/>
                </w:rPr>
              </m:ctrlPr>
            </m:sSupPr>
            <m:e>
              <m:r>
                <w:rPr>
                  <w:rFonts w:ascii="Cambria Math" w:hAnsi="Cambria Math"/>
                </w:rPr>
                <m:t>0.5</m:t>
              </m:r>
            </m:e>
            <m:sup>
              <m:r>
                <w:rPr>
                  <w:rFonts w:ascii="Cambria Math" w:hAnsi="Cambria Math"/>
                </w:rPr>
                <m:t>2</m:t>
              </m:r>
            </m:sup>
          </m:sSup>
          <m:r>
            <w:rPr>
              <w:rFonts w:ascii="Cambria Math" w:hAnsi="Cambria Math"/>
            </w:rPr>
            <m:t>)</m:t>
          </m:r>
          <m:r>
            <w:rPr>
              <w:rFonts w:ascii="Cambria Math" w:hAnsi="Cambria Math"/>
            </w:rPr>
            <w:br/>
          </m:r>
        </m:oMath>
      </m:oMathPara>
      <m:oMath>
        <m:sSub>
          <m:sSubPr>
            <m:ctrlPr>
              <w:rPr>
                <w:rFonts w:ascii="Cambria Math" w:hAnsi="Cambria Math"/>
                <w:i/>
              </w:rPr>
            </m:ctrlPr>
          </m:sSubPr>
          <m:e>
            <m:r>
              <w:rPr>
                <w:rFonts w:ascii="Cambria Math" w:hAnsi="Cambria Math"/>
              </w:rPr>
              <m:t>σ</m:t>
            </m:r>
          </m:e>
          <m:sub>
            <m:r>
              <w:rPr>
                <w:rFonts w:ascii="Cambria Math" w:hAnsi="Cambria Math"/>
              </w:rPr>
              <m:t>cluster</m:t>
            </m:r>
          </m:sub>
        </m:sSub>
        <m:r>
          <w:rPr>
            <w:rFonts w:ascii="Cambria Math" w:hAnsi="Cambria Math"/>
          </w:rPr>
          <m:t>~</m:t>
        </m:r>
        <m:r>
          <w:rPr>
            <w:rFonts w:ascii="Cambria Math" w:hAnsi="Cambria Math"/>
          </w:rPr>
          <m:t xml:space="preserve"> </m:t>
        </m:r>
        <m:r>
          <m:rPr>
            <m:nor/>
          </m:rPr>
          <m:t>Half</m:t>
        </m:r>
        <m:r>
          <m:rPr>
            <m:nor/>
          </m:rPr>
          <m:t>-</m:t>
        </m:r>
        <m:r>
          <w:rPr>
            <w:rFonts w:ascii="Cambria Math" w:hAnsi="Cambria Math"/>
          </w:rPr>
          <m:t xml:space="preserve">Normal(0, </m:t>
        </m:r>
        <m:sSup>
          <m:sSupPr>
            <m:ctrlPr>
              <w:rPr>
                <w:rFonts w:ascii="Cambria Math" w:hAnsi="Cambria Math"/>
              </w:rPr>
            </m:ctrlPr>
          </m:sSupPr>
          <m:e>
            <m:r>
              <w:rPr>
                <w:rFonts w:ascii="Cambria Math" w:hAnsi="Cambria Math"/>
              </w:rPr>
              <m:t>0.5</m:t>
            </m:r>
          </m:e>
          <m:sup>
            <m:r>
              <w:rPr>
                <w:rFonts w:ascii="Cambria Math" w:hAnsi="Cambria Math"/>
              </w:rPr>
              <m:t>2</m:t>
            </m:r>
          </m:sup>
        </m:sSup>
        <m:r>
          <w:rPr>
            <w:rFonts w:ascii="Cambria Math" w:hAnsi="Cambria Math"/>
          </w:rPr>
          <m:t>)</m:t>
        </m:r>
      </m:oMath>
      <w:r w:rsidR="00EE7F5C">
        <w:tab/>
      </w:r>
    </w:p>
    <w:p w14:paraId="1B25E8FF" w14:textId="0CF70D8E" w:rsidR="00EE7F5C" w:rsidRDefault="00EE7F5C" w:rsidP="00E37F7F">
      <w:pPr>
        <w:spacing w:line="360" w:lineRule="auto"/>
        <w:jc w:val="both"/>
      </w:pPr>
      <w:r>
        <w:tab/>
      </w:r>
      <w:r w:rsidR="00D203E6">
        <w:t xml:space="preserve">The prior on </w:t>
      </w:r>
      <m:oMath>
        <m:sSub>
          <m:sSubPr>
            <m:ctrlPr>
              <w:rPr>
                <w:rFonts w:ascii="Cambria Math" w:hAnsi="Cambria Math"/>
                <w:i/>
              </w:rPr>
            </m:ctrlPr>
          </m:sSubPr>
          <m:e>
            <m:r>
              <w:rPr>
                <w:rFonts w:ascii="Cambria Math" w:hAnsi="Cambria Math"/>
              </w:rPr>
              <m:t>β</m:t>
            </m:r>
          </m:e>
          <m:sub>
            <m:r>
              <w:rPr>
                <w:rFonts w:ascii="Cambria Math" w:hAnsi="Cambria Math"/>
              </w:rPr>
              <m:t>trt</m:t>
            </m:r>
          </m:sub>
        </m:sSub>
      </m:oMath>
      <w:r w:rsidR="00D203E6">
        <w:t xml:space="preserve"> </w:t>
      </w:r>
      <w:r w:rsidR="00D203E6">
        <w:t xml:space="preserve">is weakly informative and centered at zero, placing 95% of its mass between log-ORs of approximately </w:t>
      </w:r>
      <m:oMath>
        <m:r>
          <w:rPr>
            <w:rFonts w:ascii="Cambria Math" w:hAnsi="Cambria Math"/>
          </w:rPr>
          <m:t>-</m:t>
        </m:r>
        <m:r>
          <w:rPr>
            <w:rFonts w:ascii="Cambria Math" w:hAnsi="Cambria Math"/>
          </w:rPr>
          <m:t>2</m:t>
        </m:r>
      </m:oMath>
      <w:r w:rsidR="00D203E6">
        <w:t xml:space="preserve">and </w:t>
      </w:r>
      <m:oMath>
        <m:r>
          <w:rPr>
            <w:rFonts w:ascii="Cambria Math" w:hAnsi="Cambria Math"/>
          </w:rPr>
          <m:t>+2</m:t>
        </m:r>
      </m:oMath>
      <w:r w:rsidR="00D203E6">
        <w:t xml:space="preserve">(odds ratios 0.14 to 7.4), reflecting genuine equipoise about the direction and magnitude of any treatment effect. For the grand-mean log-odds </w:t>
      </w:r>
      <m:oMath>
        <m:sSub>
          <m:sSubPr>
            <m:ctrlPr>
              <w:rPr>
                <w:rFonts w:ascii="Cambria Math" w:hAnsi="Cambria Math"/>
              </w:rPr>
            </m:ctrlPr>
          </m:sSubPr>
          <m:e>
            <m:r>
              <w:rPr>
                <w:rFonts w:ascii="Cambria Math" w:hAnsi="Cambria Math"/>
              </w:rPr>
              <m:t>μ</m:t>
            </m:r>
          </m:e>
          <m:sub>
            <m:r>
              <w:rPr>
                <w:rFonts w:ascii="Cambria Math" w:hAnsi="Cambria Math"/>
              </w:rPr>
              <m:t>0</m:t>
            </m:r>
          </m:sub>
        </m:sSub>
      </m:oMath>
      <w:r w:rsidR="00D203E6">
        <w:t>, we use</w:t>
      </w:r>
      <w:r>
        <w:t>d</w:t>
      </w:r>
      <w:r w:rsidR="00D203E6">
        <w:t xml:space="preserve"> a substantively informed prior </w:t>
      </w:r>
      <m:oMath>
        <m:r>
          <w:rPr>
            <w:rFonts w:ascii="Cambria Math" w:hAnsi="Cambria Math"/>
          </w:rPr>
          <m:t>Normal</m:t>
        </m:r>
        <m:r>
          <w:rPr>
            <w:rFonts w:ascii="Cambria Math" w:hAnsi="Cambria Math"/>
          </w:rPr>
          <m:t>(-1.1,</m:t>
        </m:r>
        <m:r>
          <m:rPr>
            <m:nor/>
          </m:rPr>
          <m:t> </m:t>
        </m:r>
        <m:sSup>
          <m:sSupPr>
            <m:ctrlPr>
              <w:rPr>
                <w:rFonts w:ascii="Cambria Math" w:hAnsi="Cambria Math"/>
              </w:rPr>
            </m:ctrlPr>
          </m:sSupPr>
          <m:e>
            <m:r>
              <w:rPr>
                <w:rFonts w:ascii="Cambria Math" w:hAnsi="Cambria Math"/>
              </w:rPr>
              <m:t>0.5</m:t>
            </m:r>
          </m:e>
          <m:sup>
            <m:r>
              <w:rPr>
                <w:rFonts w:ascii="Cambria Math" w:hAnsi="Cambria Math"/>
              </w:rPr>
              <m:t>2</m:t>
            </m:r>
          </m:sup>
        </m:sSup>
        <m:r>
          <w:rPr>
            <w:rFonts w:ascii="Cambria Math" w:hAnsi="Cambria Math"/>
          </w:rPr>
          <m:t>)</m:t>
        </m:r>
      </m:oMath>
      <w:r w:rsidR="00D203E6">
        <w:t>, which encodes the observed baseline caseness prevalence of approximately 25% (</w:t>
      </w:r>
      <m:oMath>
        <m:sSup>
          <m:sSupPr>
            <m:ctrlPr>
              <w:rPr>
                <w:rFonts w:ascii="Cambria Math" w:hAnsi="Cambria Math"/>
              </w:rPr>
            </m:ctrlPr>
          </m:sSupPr>
          <m:e>
            <m:r>
              <m:rPr>
                <m:nor/>
              </m:rPr>
              <m:t>logit</m:t>
            </m:r>
          </m:e>
          <m:sup>
            <m:r>
              <w:rPr>
                <w:rFonts w:ascii="Cambria Math" w:hAnsi="Cambria Math"/>
              </w:rPr>
              <m:t>-1</m:t>
            </m:r>
          </m:sup>
        </m:sSup>
        <m:r>
          <w:rPr>
            <w:rFonts w:ascii="Cambria Math" w:hAnsi="Cambria Math"/>
          </w:rPr>
          <m:t>(-1.1)≈0.25</m:t>
        </m:r>
      </m:oMath>
      <w:r w:rsidR="00D203E6">
        <w:t xml:space="preserve">) while remaining permissive across the range of roughly 11% to 47%. For the between-kebele standard deviation </w:t>
      </w:r>
      <m:oMath>
        <m:sSub>
          <m:sSubPr>
            <m:ctrlPr>
              <w:rPr>
                <w:rFonts w:ascii="Cambria Math" w:hAnsi="Cambria Math"/>
              </w:rPr>
            </m:ctrlPr>
          </m:sSubPr>
          <m:e>
            <m:r>
              <w:rPr>
                <w:rFonts w:ascii="Cambria Math" w:hAnsi="Cambria Math"/>
              </w:rPr>
              <m:t>σ</m:t>
            </m:r>
          </m:e>
          <m:sub>
            <m:r>
              <m:rPr>
                <m:nor/>
              </m:rPr>
              <m:t>cluster</m:t>
            </m:r>
          </m:sub>
        </m:sSub>
      </m:oMath>
      <w:r w:rsidR="00D203E6">
        <w:t>, we use</w:t>
      </w:r>
      <w:r>
        <w:t>d</w:t>
      </w:r>
      <w:r w:rsidR="00D203E6">
        <w:t xml:space="preserve"> a Half-</w:t>
      </w:r>
      <m:oMath>
        <m:r>
          <w:rPr>
            <w:rFonts w:ascii="Cambria Math" w:hAnsi="Cambria Math"/>
          </w:rPr>
          <m:t>Normal</m:t>
        </m:r>
        <m:r>
          <w:rPr>
            <w:rFonts w:ascii="Cambria Math" w:hAnsi="Cambria Math"/>
          </w:rPr>
          <m:t>(0,</m:t>
        </m:r>
        <m:r>
          <m:rPr>
            <m:nor/>
          </m:rPr>
          <m:t> </m:t>
        </m:r>
        <m:sSup>
          <m:sSupPr>
            <m:ctrlPr>
              <w:rPr>
                <w:rFonts w:ascii="Cambria Math" w:hAnsi="Cambria Math"/>
              </w:rPr>
            </m:ctrlPr>
          </m:sSupPr>
          <m:e>
            <m:r>
              <w:rPr>
                <w:rFonts w:ascii="Cambria Math" w:hAnsi="Cambria Math"/>
              </w:rPr>
              <m:t>0.5</m:t>
            </m:r>
          </m:e>
          <m:sup>
            <m:r>
              <w:rPr>
                <w:rFonts w:ascii="Cambria Math" w:hAnsi="Cambria Math"/>
              </w:rPr>
              <m:t>2</m:t>
            </m:r>
          </m:sup>
        </m:sSup>
        <m:r>
          <w:rPr>
            <w:rFonts w:ascii="Cambria Math" w:hAnsi="Cambria Math"/>
          </w:rPr>
          <m:t>)</m:t>
        </m:r>
      </m:oMath>
      <w:r w:rsidR="00D203E6">
        <w:t xml:space="preserve"> prior rather than the heavier-tailed Half-</w:t>
      </w:r>
      <m:oMath>
        <m:r>
          <w:rPr>
            <w:rFonts w:ascii="Cambria Math" w:hAnsi="Cambria Math"/>
          </w:rPr>
          <m:t>t(3,</m:t>
        </m:r>
        <m:r>
          <m:rPr>
            <m:nor/>
          </m:rPr>
          <m:t> </m:t>
        </m:r>
        <m:r>
          <w:rPr>
            <w:rFonts w:ascii="Cambria Math" w:hAnsi="Cambria Math"/>
          </w:rPr>
          <m:t>0,</m:t>
        </m:r>
        <m:r>
          <m:rPr>
            <m:nor/>
          </m:rPr>
          <m:t> </m:t>
        </m:r>
        <m:r>
          <w:rPr>
            <w:rFonts w:ascii="Cambria Math" w:hAnsi="Cambria Math"/>
          </w:rPr>
          <m:t>2.5)</m:t>
        </m:r>
      </m:oMath>
      <w:r w:rsidR="00D203E6">
        <w:t xml:space="preserve"> </w:t>
      </w:r>
      <w:r w:rsidR="00D203E6">
        <w:lastRenderedPageBreak/>
        <w:t>recommended by Gelman</w:t>
      </w:r>
      <w:r>
        <w:t xml:space="preserve"> </w:t>
      </w:r>
      <w:r>
        <w:fldChar w:fldCharType="begin"/>
      </w:r>
      <w:r>
        <w:instrText xml:space="preserve"> ADDIN ZOTERO_ITEM CSL_CITATION {"citationID":"Y4AyV3qU","properties":{"unsorted":false,"formattedCitation":"(2006)","plainCitation":"(2006)","noteIndex":0},"citationItems":[{"id":18325,"uris":["http://zotero.org/users/6769882/items/BLWE8Y67"],"itemData":{"id":18325,"type":"article-journal","abstract":"Various noninformative prior distributions have been suggested for scale parameters in hierarchical models. We construct a new folded-noncentral-$t$ family of conditionally conjugate priors for hierarchical standard deviation parameters, and then consider noninformative and weakly informative priors in this family. We use an example to illustrate serious problems with the inverse-gamma family of \"noninformative\" prior distributions. We suggest instead to use a uniform prior on the hierarchical standard deviation, using the half-$t$ family when the number of groups is small and in other settings where a weakly informative prior is desired. We also illustrate the use of the half-$t$ family for hierarchical modeling of multiple variance parameters such as arise in the analysis of variance.","container-title":"Bayesian Analysis","DOI":"10.1214/06-BA117A","ISSN":"1936-0975, 1931-6690","issue":"3","language":"en","page":"515-534","publisher":"International Society for Bayesian Analysis","source":"Project Euclid","title":"Prior distributions for variance parameters in hierarchical models (comment on article by Browne and Draper)","volume":"1","author":[{"family":"Gelman","given":"Andrew"}],"issued":{"date-parts":[["2006",9]]}},"suppress-author":true}],"schema":"https://github.com/citation-style-language/schema/raw/master/csl-citation.json"} </w:instrText>
      </w:r>
      <w:r>
        <w:fldChar w:fldCharType="separate"/>
      </w:r>
      <w:r>
        <w:rPr>
          <w:noProof/>
        </w:rPr>
        <w:t>(2006)</w:t>
      </w:r>
      <w:r>
        <w:fldChar w:fldCharType="end"/>
      </w:r>
      <w:r w:rsidR="00D203E6">
        <w:t xml:space="preserve">, anchoring the implied </w:t>
      </w:r>
      <w:r>
        <w:t>intraclass correlation coefficient (ICC)</w:t>
      </w:r>
      <w:r w:rsidR="00D203E6">
        <w:t xml:space="preserve"> </w:t>
      </w:r>
      <w:r w:rsidRPr="00EE7F5C">
        <w:t xml:space="preserve">near the range consistent with mental health outcomes in cluster-randomized trials more broadly: a meta-analysis of cluster-randomized controlled trials in major depression reported a pooled ICC of 0.07 (95% CI: 0.05, 0.09) </w:t>
      </w:r>
      <w:r>
        <w:fldChar w:fldCharType="begin"/>
      </w:r>
      <w:r>
        <w:instrText xml:space="preserve"> ADDIN ZOTERO_ITEM CSL_CITATION {"citationID":"wDPPmubp","properties":{"unsorted":false,"formattedCitation":"(Bhaskarapillai et al., 2025)","plainCitation":"(Bhaskarapillai et al., 2025)","noteIndex":0},"citationItems":[{"id":18327,"uris":["http://zotero.org/users/6769882/items/HLMGPDCF"],"itemData":{"id":18327,"type":"article-journal","abstract":"Purpose of the Review:Though cluster randomized trials (CRTs) provide robust evidence for intervention by controlling contamination of interventions, there could be some loss of statistical efficiency. The Consolidated Standards of Reporting Trials (CONSORT) recommends reporting intraclass correlation coefficients (ICC) to understand this phenomenon, though not many studies follow this. This meta-analysis explored the compliance of CRTs in major depression for reporting ICC besides deriving the pooled ICC and pooled mean differences of intervention outcomes.Collection and Analysis of Data:Thirty-four articles on CRTs in major depression were identified from PubMed, Cochrane Library, PsychINFO, and Embase, and relevant data were extracted. Only 20 studies were eligible for meta-analysis of intervention, among which 8 reported ICC. We used DerSimonian and Laird’s inverse variance method to calculate the pooled estimates. Only eight (40%) of the CRTs reported using ICC both for designing the study and examining intervention outcomes. The pooled ICC was 0.07 (95% confidence interval [CI]: 0.05, 0.09) with a low heterogeneity (I2 = 28%). Among the 20 studies, 65% used different psychosocial methods alone as intervention, with substantial heterogeneity. The pooled standardized mean difference of depression scores (–0.46; 95% CI: –0.79, –0.13) indicated the effectiveness of psychosocial interventions irrespective of combined pharmacotherapy (z = 2.71, p value = 0.01). Further, a subgroup analysis of intervention effects revealed that the results were significant only for the CRTs with ICC conformity.Conclusions:The ICCs can affect the intervention outcomes. Therefore, as indicated by this meta-analysis, CRTs must adhere to the CONSORT guidelines on reporting ICC. Future CRTs on major depression can utilize the pooled ICC estimate from this study, especially for sample size estimations.","container-title":"Indian Journal of Psychological Medicine","DOI":"10.1177/02537176241293194","ISSN":"0253-7176","issue":"6","language":"EN","page":"549-556","publisher":"SAGE Publications India","source":"SAGE Journals","title":"Intraclass Correlation in Cluster Randomized Controlled Trials: A Meta-Analysis of Studies on Major Depression","title-short":"Intraclass Correlation in Cluster Randomized Controlled Trials","volume":"47","author":[{"family":"Bhaskarapillai","given":"Binukumar"},{"family":"Malo","given":"Palash Kumar"},{"family":"Kishore","given":"M. Thomas"},{"family":"Joseph","given":"Anoop"},{"family":"Majhi","given":"Gobinda"},{"family":"Jaisoorya","given":"T S"},{"family":"Kandavel","given":"Thennarasu"}],"issued":{"date-parts":[["2025",11,1]]}}}],"schema":"https://github.com/citation-style-language/schema/raw/master/csl-citation.json"} </w:instrText>
      </w:r>
      <w:r>
        <w:fldChar w:fldCharType="separate"/>
      </w:r>
      <w:r>
        <w:rPr>
          <w:noProof/>
        </w:rPr>
        <w:t>(Bhaskarapillai et al., 2025)</w:t>
      </w:r>
      <w:r>
        <w:fldChar w:fldCharType="end"/>
      </w:r>
      <w:r w:rsidRPr="00EE7F5C">
        <w:t xml:space="preserve">, and a compendium of multilevel implementation trials in mental health reported similarly modest clustering </w:t>
      </w:r>
      <w:r>
        <w:fldChar w:fldCharType="begin"/>
      </w:r>
      <w:r>
        <w:instrText xml:space="preserve"> ADDIN ZOTERO_ITEM CSL_CITATION {"citationID":"y1NS3Izz","properties":{"unsorted":false,"formattedCitation":"(Williams et al., 2024)","plainCitation":"(Williams et al., 2024)","noteIndex":0},"citationItems":[{"id":18329,"uris":["http://zotero.org/users/6769882/items/RWFFSP6W"],"itemData":{"id":18329,"type":"article-journal","abstract":"BackgroundDespite the ubiquity of multilevel sampling, design, and analysis in mental health implementation trials, few resources are available that provide reference values of design parameters (e.g., effect size, intraclass correlation coefficient [ICC], and proportion of variance explained by covariates [covariate R2]) needed to accurately determine sample size. The aim of this study was to provide empirical reference values for these parameters by aggregating data on implementation and clinical outcomes from multilevel implementation trials, including cluster randomized trials and individually randomized repeated measures trials, in mental health. The compendium of design parameters presented here represents plausible values that implementation scientists can use to guide sample size calculations for future trials.MethodWe searched NIH RePORTER for all federally funded, multilevel implementation trials addressing mental health populations and settings from 2010 to 2020. For all continuous and binary implementation and clinical outcomes included in eligible trials, we generated values of effect size, ICC, and covariate R2 at each level via secondary analysis of trial data or via extraction of estimates from analyses in published research reports. Effect sizes were calculated as Cohen d; ICCs were generated via one-way random effects ANOVAs; covariate R2 estimates were calculated using the reduction in variance approach.ResultsSeventeen trials were eligible, reporting on 53 implementation and clinical outcomes and 81 contrasts between implementation conditions. Tables of effect size, ICC, and covariate R2 are provided to guide implementation researchers in power analyses for designing multilevel implementation trials in mental health settings, including two- and three-level cluster randomized designs and unit-randomized repeated-measures designs.ConclusionsResearchers can use the empirical reference values reported in this study to develop meaningful sample size determinations for multilevel implementation trials in mental health. Discussion focuses on the application of the reference values reported in this study.","container-title":"Implementation Research and Practice","DOI":"10.1177/26334895241279153","ISSN":"2633-4895","language":"EN","page":"26334895241279153","publisher":"SAGE Publications","source":"SAGE Journals","title":"Calculating power for multilevel implementation trials in mental health: Meaningful effect sizes, intraclass correlation coefficients, and proportions of variance explained by covariates","title-short":"Calculating power for multilevel implementation trials in mental health","volume":"5","author":[{"family":"Williams","given":"Nathaniel J."},{"family":"Cardamone","given":"Nicholas C."},{"family":"Beidas","given":"Rinad S."},{"family":"Marcus","given":"Steven C."}],"issued":{"date-parts":[["2024",5,1]]}}}],"schema":"https://github.com/citation-style-language/schema/raw/master/csl-citation.json"} </w:instrText>
      </w:r>
      <w:r>
        <w:fldChar w:fldCharType="separate"/>
      </w:r>
      <w:r>
        <w:rPr>
          <w:noProof/>
        </w:rPr>
        <w:t>(Williams et al., 2024)</w:t>
      </w:r>
      <w:r>
        <w:fldChar w:fldCharType="end"/>
      </w:r>
      <w:r w:rsidRPr="00EE7F5C">
        <w:t>.</w:t>
      </w:r>
    </w:p>
    <w:p w14:paraId="61307467" w14:textId="5D991B50" w:rsidR="00D203E6" w:rsidRDefault="00EE7F5C" w:rsidP="00E37F7F">
      <w:pPr>
        <w:spacing w:line="360" w:lineRule="auto"/>
        <w:jc w:val="both"/>
      </w:pPr>
      <w:r>
        <w:tab/>
      </w:r>
      <w:r w:rsidR="00171124" w:rsidRPr="00171124">
        <w:t xml:space="preserve">These two structural priors import information that is directly available from the trial itself and the published clustering literature, and the prior predictive check in Section 3 confirms they generate </w:t>
      </w:r>
      <w:bookmarkStart w:id="0" w:name="_Hlk231212437"/>
      <w:r w:rsidR="00171124">
        <w:t xml:space="preserve">outcome </w:t>
      </w:r>
      <w:bookmarkEnd w:id="0"/>
      <w:r w:rsidR="00171124" w:rsidRPr="00171124">
        <w:t xml:space="preserve">prevalences consistent with the observed data before any endline outcomes are conditioned upon. The ROPE bounds of </w:t>
      </w:r>
      <m:oMath>
        <m:d>
          <m:dPr>
            <m:begChr m:val="["/>
            <m:endChr m:val="]"/>
            <m:ctrlPr>
              <w:rPr>
                <w:rFonts w:ascii="Cambria Math" w:hAnsi="Cambria Math"/>
              </w:rPr>
            </m:ctrlPr>
          </m:dPr>
          <m:e>
            <m:r>
              <w:rPr>
                <w:rFonts w:ascii="Cambria Math" w:hAnsi="Cambria Math"/>
              </w:rPr>
              <m:t>-0.05,+0.05</m:t>
            </m:r>
          </m:e>
        </m:d>
      </m:oMath>
      <w:r w:rsidR="009516CD">
        <w:t xml:space="preserve"> </w:t>
      </w:r>
      <w:r w:rsidR="00171124" w:rsidRPr="00171124">
        <w:t xml:space="preserve">on the </w:t>
      </w:r>
      <w:r w:rsidR="00171124">
        <w:t>APD</w:t>
      </w:r>
      <w:r w:rsidR="00171124" w:rsidRPr="00171124">
        <w:t xml:space="preserve"> scale are chosen to represent the threshold of practical equivalence for a community-level demand-side behavioral intervention: a difference of less than 5 percentage points in probable case probability between intervention and control households is unlikely to be detectable at the program level, to motivate reallocation of resources, or to be meaningful to implementers or policymakers in this context. This threshold is adapted from Kruschke</w:t>
      </w:r>
      <w:r w:rsidR="00171124">
        <w:t>’</w:t>
      </w:r>
      <w:r w:rsidR="00171124" w:rsidRPr="00171124">
        <w:t xml:space="preserve">s </w:t>
      </w:r>
      <w:r w:rsidR="00171124">
        <w:fldChar w:fldCharType="begin"/>
      </w:r>
      <w:r w:rsidR="00171124">
        <w:instrText xml:space="preserve"> ADDIN ZOTERO_ITEM CSL_CITATION {"citationID":"wGtaqVIj","properties":{"unsorted":false,"formattedCitation":"(2018)","plainCitation":"(2018)","noteIndex":0},"citationItems":[{"id":18331,"uris":["http://zotero.org/users/6769882/items/QDGISEVI"],"itemData":{"id":18331,"type":"article-journal","abstract":"This article explains a decision rule that uses Bayesian posterior distributions as the basis for accepting or rejecting null values of parameters. This decision rule focuses on the range of plausible values indicated by the highest density interval of the posterior distribution and the relation between this range and a region of practical equivalence (ROPE) around the null value. The article also discusses considerations for setting the limits of a ROPE and emphasizes that analogous considerations apply to setting the decision thresholds for p values and Bayes factors.","container-title":"Advances in Methods and Practices in Psychological Science","DOI":"10.1177/2515245918771304","ISSN":"2515-2459","issue":"2","language":"EN","page":"270-280","publisher":"SAGE Publications Inc","source":"SAGE Journals","title":"Rejecting or Accepting Parameter Values in Bayesian Estimation","volume":"1","author":[{"family":"Kruschke","given":"John K."}],"issued":{"date-parts":[["2018",6,1]]}},"suppress-author":true}],"schema":"https://github.com/citation-style-language/schema/raw/master/csl-citation.json"} </w:instrText>
      </w:r>
      <w:r w:rsidR="00171124">
        <w:fldChar w:fldCharType="separate"/>
      </w:r>
      <w:r w:rsidR="00171124">
        <w:rPr>
          <w:noProof/>
        </w:rPr>
        <w:t>(2018)</w:t>
      </w:r>
      <w:r w:rsidR="00171124">
        <w:fldChar w:fldCharType="end"/>
      </w:r>
      <w:r w:rsidR="00171124" w:rsidRPr="00171124">
        <w:t xml:space="preserve"> ROPE framework, which defines a </w:t>
      </w:r>
      <w:r w:rsidR="00171124">
        <w:t>ROPE</w:t>
      </w:r>
      <w:r w:rsidR="00171124" w:rsidRPr="00171124">
        <w:t xml:space="preserve"> around a null value within which parameter values are considered negligible for decision-making purposes. The ROPE analysis is not predetermined by the choice of structural priors: because </w:t>
      </w:r>
      <m:oMath>
        <m:sSub>
          <m:sSubPr>
            <m:ctrlPr>
              <w:rPr>
                <w:rFonts w:ascii="Cambria Math" w:hAnsi="Cambria Math"/>
                <w:i/>
              </w:rPr>
            </m:ctrlPr>
          </m:sSubPr>
          <m:e>
            <m:r>
              <w:rPr>
                <w:rFonts w:ascii="Cambria Math" w:hAnsi="Cambria Math"/>
              </w:rPr>
              <m:t>β</m:t>
            </m:r>
          </m:e>
          <m:sub>
            <m:r>
              <w:rPr>
                <w:rFonts w:ascii="Cambria Math" w:hAnsi="Cambria Math"/>
              </w:rPr>
              <m:t>trt</m:t>
            </m:r>
          </m:sub>
        </m:sSub>
      </m:oMath>
      <w:r w:rsidR="00171124">
        <w:t xml:space="preserve"> </w:t>
      </w:r>
      <w:r w:rsidR="00171124" w:rsidRPr="00171124">
        <w:t>remains centered at zero and unchanged</w:t>
      </w:r>
      <w:r w:rsidR="00171124">
        <w:t xml:space="preserve"> across models</w:t>
      </w:r>
      <w:r w:rsidR="00171124" w:rsidRPr="00171124">
        <w:t>, the prior predictive distribution of the APD is also centered at zero with substantial mass both inside and outside the ROPE, meaning the posterior probability inside the ROPE is determined by the data rather than by the prior on the baseline prevalence or clustering structure. A sensitivity analysis replacing the informed structural priors with weakly informative alternatives (</w:t>
      </w:r>
      <m:oMath>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m:t>
        </m:r>
        <m:r>
          <w:rPr>
            <w:rFonts w:ascii="Cambria Math" w:hAnsi="Cambria Math"/>
          </w:rPr>
          <m:t>Normal</m:t>
        </m:r>
        <m:r>
          <w:rPr>
            <w:rFonts w:ascii="Cambria Math" w:hAnsi="Cambria Math"/>
          </w:rPr>
          <m:t>(0,</m:t>
        </m:r>
        <m:r>
          <m:rPr>
            <m:nor/>
          </m:rPr>
          <m:t> </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m:t>
        </m:r>
      </m:oMath>
      <w:r w:rsidR="00171124" w:rsidRPr="00171124">
        <w:t xml:space="preserve">, </w:t>
      </w:r>
      <w:bookmarkStart w:id="1" w:name="_Hlk231216467"/>
      <m:oMath>
        <m:sSub>
          <m:sSubPr>
            <m:ctrlPr>
              <w:rPr>
                <w:rFonts w:ascii="Cambria Math" w:hAnsi="Cambria Math"/>
              </w:rPr>
            </m:ctrlPr>
          </m:sSubPr>
          <m:e>
            <m:r>
              <w:rPr>
                <w:rFonts w:ascii="Cambria Math" w:hAnsi="Cambria Math"/>
              </w:rPr>
              <m:t>σ</m:t>
            </m:r>
          </m:e>
          <m:sub>
            <m:r>
              <m:rPr>
                <m:nor/>
              </m:rPr>
              <w:rPr>
                <w:i/>
                <w:iCs/>
              </w:rPr>
              <m:t>clus</m:t>
            </m:r>
            <m:r>
              <m:rPr>
                <m:nor/>
              </m:rPr>
              <w:rPr>
                <w:i/>
                <w:iCs/>
              </w:rPr>
              <m:t>ter</m:t>
            </m:r>
          </m:sub>
        </m:sSub>
        <w:bookmarkEnd w:id="1"/>
        <m:r>
          <w:rPr>
            <w:rFonts w:ascii="Cambria Math" w:hAnsi="Cambria Math"/>
          </w:rPr>
          <m:t>∼</m:t>
        </m:r>
        <m:r>
          <m:rPr>
            <m:nor/>
          </m:rPr>
          <m:t>Half-</m:t>
        </m:r>
        <m:r>
          <w:rPr>
            <w:rFonts w:ascii="Cambria Math" w:hAnsi="Cambria Math"/>
          </w:rPr>
          <m:t>t(3,</m:t>
        </m:r>
        <m:r>
          <m:rPr>
            <m:nor/>
          </m:rPr>
          <m:t> </m:t>
        </m:r>
        <m:r>
          <w:rPr>
            <w:rFonts w:ascii="Cambria Math" w:hAnsi="Cambria Math"/>
          </w:rPr>
          <m:t>0,</m:t>
        </m:r>
        <m:r>
          <m:rPr>
            <m:nor/>
          </m:rPr>
          <m:t> </m:t>
        </m:r>
        <m:r>
          <w:rPr>
            <w:rFonts w:ascii="Cambria Math" w:hAnsi="Cambria Math"/>
          </w:rPr>
          <m:t>2.5)</m:t>
        </m:r>
      </m:oMath>
      <w:r w:rsidR="00171124" w:rsidRPr="00171124">
        <w:t>) is reported in the Appendix; the conclusions remain unchanged across all three outcomes.</w:t>
      </w:r>
    </w:p>
    <w:p w14:paraId="184E11AB" w14:textId="1314C826" w:rsidR="00171124" w:rsidRDefault="00D375DA" w:rsidP="00E37F7F">
      <w:pPr>
        <w:spacing w:line="360" w:lineRule="auto"/>
        <w:jc w:val="both"/>
      </w:pPr>
      <w:r w:rsidRPr="00D375DA">
        <w:rPr>
          <w:rFonts w:eastAsiaTheme="majorEastAsia"/>
          <w:b/>
          <w:bCs/>
        </w:rPr>
        <w:t xml:space="preserve">Primary </w:t>
      </w:r>
      <w:proofErr w:type="spellStart"/>
      <w:r w:rsidRPr="00D375DA">
        <w:rPr>
          <w:rFonts w:eastAsiaTheme="majorEastAsia"/>
          <w:b/>
          <w:bCs/>
        </w:rPr>
        <w:t>estimand</w:t>
      </w:r>
      <w:proofErr w:type="spellEnd"/>
      <w:r w:rsidRPr="00D375DA">
        <w:rPr>
          <w:rFonts w:eastAsiaTheme="majorEastAsia"/>
          <w:b/>
          <w:bCs/>
        </w:rPr>
        <w:t>: Average Predictive Difference (APD)</w:t>
      </w:r>
    </w:p>
    <w:p w14:paraId="730FE7AC" w14:textId="7A701E75" w:rsidR="00D375DA" w:rsidRDefault="00171124" w:rsidP="00E37F7F">
      <w:pPr>
        <w:spacing w:line="360" w:lineRule="auto"/>
        <w:jc w:val="both"/>
      </w:pPr>
      <w:r>
        <w:tab/>
      </w:r>
      <w:r w:rsidR="00D375DA" w:rsidRPr="00D375DA">
        <w:t>The structural parameter </w:t>
      </w:r>
      <m:oMath>
        <m:sSub>
          <m:sSubPr>
            <m:ctrlPr>
              <w:rPr>
                <w:rFonts w:ascii="Cambria Math" w:hAnsi="Cambria Math"/>
                <w:i/>
              </w:rPr>
            </m:ctrlPr>
          </m:sSubPr>
          <m:e>
            <m:r>
              <w:rPr>
                <w:rFonts w:ascii="Cambria Math" w:hAnsi="Cambria Math"/>
              </w:rPr>
              <m:t>β</m:t>
            </m:r>
          </m:e>
          <m:sub>
            <m:r>
              <w:rPr>
                <w:rFonts w:ascii="Cambria Math" w:hAnsi="Cambria Math"/>
              </w:rPr>
              <m:t>trt</m:t>
            </m:r>
          </m:sub>
        </m:sSub>
      </m:oMath>
      <w:r w:rsidR="00D375DA" w:rsidRPr="00D375DA">
        <w:t> operates on the log-odds scale and is not directly interpretable. The quantity that directly answers the research question is the APD</w:t>
      </w:r>
      <w:r>
        <w:t>, which is</w:t>
      </w:r>
      <w:r w:rsidR="00D375DA" w:rsidRPr="00D375DA">
        <w:t xml:space="preserve"> the average difference in predicted probability </w:t>
      </w:r>
      <w:r>
        <w:t xml:space="preserve">of screening positive </w:t>
      </w:r>
      <w:r w:rsidR="00D375DA" w:rsidRPr="00D375DA">
        <w:t>between intervention and control, integrating over the full posterior uncertainty in all model parameters. For each posterior draw </w:t>
      </w:r>
      <w:r>
        <w:rPr>
          <w:i/>
          <w:iCs/>
        </w:rPr>
        <w:t>s</w:t>
      </w:r>
      <w:r w:rsidR="00D375DA" w:rsidRPr="00D375DA">
        <w:t>:</w:t>
      </w:r>
    </w:p>
    <w:p w14:paraId="04E15C30" w14:textId="6EDB0F41" w:rsidR="009467E7" w:rsidRPr="009467E7" w:rsidRDefault="009A1857" w:rsidP="00E37F7F">
      <w:pPr>
        <w:spacing w:line="360" w:lineRule="auto"/>
        <w:jc w:val="both"/>
        <w:rPr>
          <w:rFonts w:eastAsiaTheme="minorEastAsia" w:cstheme="minorBidi"/>
        </w:rPr>
      </w:pPr>
      <m:oMathPara>
        <m:oMath>
          <m:acc>
            <m:accPr>
              <m:ctrlPr>
                <w:rPr>
                  <w:rFonts w:ascii="Cambria Math" w:hAnsi="Cambria Math"/>
                </w:rPr>
              </m:ctrlPr>
            </m:accPr>
            <m:e>
              <m:r>
                <m:rPr>
                  <m:sty m:val="p"/>
                </m:rPr>
                <w:rPr>
                  <w:rFonts w:ascii="Cambria Math" w:hAnsi="Cambria Math"/>
                </w:rPr>
                <m:t>AP</m:t>
              </m:r>
              <m:sSup>
                <m:sSupPr>
                  <m:ctrlPr>
                    <w:rPr>
                      <w:rFonts w:ascii="Cambria Math" w:hAnsi="Cambria Math"/>
                      <w:i/>
                    </w:rPr>
                  </m:ctrlPr>
                </m:sSupPr>
                <m:e>
                  <m:r>
                    <m:rPr>
                      <m:sty m:val="p"/>
                    </m:rPr>
                    <w:rPr>
                      <w:rFonts w:ascii="Cambria Math" w:hAnsi="Cambria Math"/>
                    </w:rPr>
                    <m:t>D</m:t>
                  </m:r>
                  <m:ctrlPr>
                    <w:rPr>
                      <w:rFonts w:ascii="Cambria Math" w:hAnsi="Cambria Math"/>
                    </w:rPr>
                  </m:ctrlPr>
                </m:e>
                <m:sup>
                  <m:d>
                    <m:dPr>
                      <m:ctrlPr>
                        <w:rPr>
                          <w:rFonts w:ascii="Cambria Math" w:hAnsi="Cambria Math"/>
                          <w:i/>
                        </w:rPr>
                      </m:ctrlPr>
                    </m:dPr>
                    <m:e>
                      <m:r>
                        <m:rPr>
                          <m:sty m:val="p"/>
                        </m:rPr>
                        <w:rPr>
                          <w:rFonts w:ascii="Cambria Math" w:hAnsi="Cambria Math"/>
                        </w:rPr>
                        <m:t>s</m:t>
                      </m:r>
                    </m:e>
                  </m:d>
                </m:sup>
              </m:sSup>
            </m:e>
          </m:acc>
          <m:r>
            <w:rPr>
              <w:rFonts w:ascii="Cambria Math" w:hAnsi="Cambria Math"/>
            </w:rPr>
            <m:t> = </m:t>
          </m:r>
          <m:f>
            <m:fPr>
              <m:ctrlPr>
                <w:rPr>
                  <w:rFonts w:ascii="Cambria Math" w:hAnsi="Cambria Math"/>
                </w:rPr>
              </m:ctrlPr>
            </m:fPr>
            <m:num>
              <m:r>
                <w:rPr>
                  <w:rFonts w:ascii="Cambria Math" w:hAnsi="Cambria Math"/>
                </w:rPr>
                <m:t>1</m:t>
              </m:r>
              <m:ctrlPr>
                <w:rPr>
                  <w:rFonts w:ascii="Cambria Math" w:hAnsi="Cambria Math"/>
                  <w:i/>
                </w:rPr>
              </m:ctrlPr>
            </m:num>
            <m:den>
              <m:r>
                <m:rPr>
                  <m:sty m:val="p"/>
                </m:rPr>
                <w:rPr>
                  <w:rFonts w:ascii="Cambria Math" w:hAnsi="Cambria Math"/>
                </w:rPr>
                <m:t>N</m:t>
              </m:r>
              <m:ctrlPr>
                <w:rPr>
                  <w:rFonts w:ascii="Cambria Math" w:hAnsi="Cambria Math"/>
                  <w:i/>
                </w:rPr>
              </m:ctrlPr>
            </m:den>
          </m:f>
          <m:r>
            <w:rPr>
              <w:rFonts w:ascii="Cambria Math" w:hAnsi="Cambria Math"/>
            </w:rPr>
            <m:t> </m:t>
          </m:r>
          <m:nary>
            <m:naryPr>
              <m:chr m:val="∑"/>
              <m:ctrlPr>
                <w:rPr>
                  <w:rFonts w:ascii="Cambria Math" w:hAnsi="Cambria Math"/>
                </w:rPr>
              </m:ctrlPr>
            </m:naryPr>
            <m:sub>
              <m:r>
                <m:rPr>
                  <m:sty m:val="p"/>
                </m:rPr>
                <w:rPr>
                  <w:rFonts w:ascii="Cambria Math" w:hAnsi="Cambria Math"/>
                </w:rPr>
                <m:t>i</m:t>
              </m:r>
              <m:r>
                <w:rPr>
                  <w:rFonts w:ascii="Cambria Math" w:hAnsi="Cambria Math"/>
                </w:rPr>
                <m:t>=1</m:t>
              </m:r>
              <m:ctrlPr>
                <w:rPr>
                  <w:rFonts w:ascii="Cambria Math" w:hAnsi="Cambria Math"/>
                  <w:i/>
                </w:rPr>
              </m:ctrlPr>
            </m:sub>
            <m:sup>
              <m:r>
                <m:rPr>
                  <m:sty m:val="p"/>
                </m:rPr>
                <w:rPr>
                  <w:rFonts w:ascii="Cambria Math" w:hAnsi="Cambria Math"/>
                </w:rPr>
                <m:t>N</m:t>
              </m:r>
              <m:ctrlPr>
                <w:rPr>
                  <w:rFonts w:ascii="Cambria Math" w:hAnsi="Cambria Math"/>
                  <w:i/>
                </w:rPr>
              </m:ctrlPr>
            </m:sup>
            <m:e>
              <m:d>
                <m:dPr>
                  <m:begChr m:val="["/>
                  <m:endChr m:val="]"/>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rPr>
                              </m:ctrlPr>
                            </m:dPr>
                            <m:e>
                              <m:sSubSup>
                                <m:sSubSupPr>
                                  <m:ctrlPr>
                                    <w:rPr>
                                      <w:rFonts w:ascii="Cambria Math" w:hAnsi="Cambria Math"/>
                                      <w:i/>
                                    </w:rPr>
                                  </m:ctrlPr>
                                </m:sSubSupPr>
                                <m:e>
                                  <m:r>
                                    <m:rPr>
                                      <m:sty m:val="p"/>
                                    </m:rPr>
                                    <w:rPr>
                                      <w:rFonts w:ascii="Cambria Math" w:hAnsi="Cambria Math"/>
                                    </w:rPr>
                                    <m:t>α</m:t>
                                  </m:r>
                                  <m:ctrlPr>
                                    <w:rPr>
                                      <w:rFonts w:ascii="Cambria Math" w:hAnsi="Cambria Math"/>
                                    </w:rPr>
                                  </m:ctrlPr>
                                </m:e>
                                <m:sub>
                                  <m:r>
                                    <w:rPr>
                                      <w:rFonts w:ascii="Cambria Math" w:hAnsi="Cambria Math"/>
                                    </w:rPr>
                                    <m:t>j</m:t>
                                  </m:r>
                                  <m:d>
                                    <m:dPr>
                                      <m:begChr m:val="["/>
                                      <m:endChr m:val="]"/>
                                      <m:ctrlPr>
                                        <w:rPr>
                                          <w:rFonts w:ascii="Cambria Math" w:hAnsi="Cambria Math"/>
                                        </w:rPr>
                                      </m:ctrlPr>
                                    </m:dPr>
                                    <m:e>
                                      <m:r>
                                        <w:rPr>
                                          <w:rFonts w:ascii="Cambria Math" w:hAnsi="Cambria Math"/>
                                        </w:rPr>
                                        <m:t>i</m:t>
                                      </m:r>
                                      <m:ctrlPr>
                                        <w:rPr>
                                          <w:rFonts w:ascii="Cambria Math" w:hAnsi="Cambria Math"/>
                                          <w:i/>
                                        </w:rPr>
                                      </m:ctrlPr>
                                    </m:e>
                                  </m:d>
                                </m:sub>
                                <m:sup>
                                  <m:d>
                                    <m:dPr>
                                      <m:ctrlPr>
                                        <w:rPr>
                                          <w:rFonts w:ascii="Cambria Math" w:hAnsi="Cambria Math"/>
                                        </w:rPr>
                                      </m:ctrlPr>
                                    </m:dPr>
                                    <m:e>
                                      <m:r>
                                        <w:rPr>
                                          <w:rFonts w:ascii="Cambria Math" w:hAnsi="Cambria Math"/>
                                        </w:rPr>
                                        <m:t>s</m:t>
                                      </m:r>
                                      <m:ctrlPr>
                                        <w:rPr>
                                          <w:rFonts w:ascii="Cambria Math" w:hAnsi="Cambria Math"/>
                                          <w:i/>
                                        </w:rPr>
                                      </m:ctrlPr>
                                    </m:e>
                                  </m:d>
                                </m:sup>
                              </m:sSubSup>
                              <m:r>
                                <w:rPr>
                                  <w:rFonts w:ascii="Cambria Math" w:hAnsi="Cambria Math"/>
                                </w:rPr>
                                <m:t>+</m:t>
                              </m:r>
                              <m:sSubSup>
                                <m:sSubSupPr>
                                  <m:ctrlPr>
                                    <w:rPr>
                                      <w:rFonts w:ascii="Cambria Math" w:hAnsi="Cambria Math"/>
                                      <w:i/>
                                    </w:rPr>
                                  </m:ctrlPr>
                                </m:sSubSupPr>
                                <m:e>
                                  <m:r>
                                    <m:rPr>
                                      <m:sty m:val="p"/>
                                    </m:rPr>
                                    <w:rPr>
                                      <w:rFonts w:ascii="Cambria Math" w:hAnsi="Cambria Math"/>
                                    </w:rPr>
                                    <m:t>β</m:t>
                                  </m:r>
                                </m:e>
                                <m:sub>
                                  <m:r>
                                    <w:rPr>
                                      <w:rFonts w:ascii="Cambria Math" w:hAnsi="Cambria Math"/>
                                    </w:rPr>
                                    <m:t>trt</m:t>
                                  </m:r>
                                </m:sub>
                                <m:sup>
                                  <m:d>
                                    <m:dPr>
                                      <m:ctrlPr>
                                        <w:rPr>
                                          <w:rFonts w:ascii="Cambria Math" w:hAnsi="Cambria Math"/>
                                        </w:rPr>
                                      </m:ctrlPr>
                                    </m:dPr>
                                    <m:e>
                                      <m:r>
                                        <w:rPr>
                                          <w:rFonts w:ascii="Cambria Math" w:hAnsi="Cambria Math"/>
                                        </w:rPr>
                                        <m:t>s</m:t>
                                      </m:r>
                                      <m:ctrlPr>
                                        <w:rPr>
                                          <w:rFonts w:ascii="Cambria Math" w:hAnsi="Cambria Math"/>
                                          <w:i/>
                                        </w:rPr>
                                      </m:ctrlPr>
                                    </m:e>
                                  </m:d>
                                </m:sup>
                              </m:sSubSup>
                              <m:r>
                                <w:rPr>
                                  <w:rFonts w:ascii="Cambria Math" w:hAnsi="Cambria Math"/>
                                </w:rPr>
                                <m:t>+</m:t>
                              </m:r>
                              <m:sSubSup>
                                <m:sSubSupPr>
                                  <m:ctrlPr>
                                    <w:rPr>
                                      <w:rFonts w:ascii="Cambria Math" w:hAnsi="Cambria Math"/>
                                      <w:i/>
                                    </w:rPr>
                                  </m:ctrlPr>
                                </m:sSubSupPr>
                                <m:e>
                                  <m:r>
                                    <m:rPr>
                                      <m:sty m:val="p"/>
                                    </m:rPr>
                                    <w:rPr>
                                      <w:rFonts w:ascii="Cambria Math" w:hAnsi="Cambria Math"/>
                                    </w:rPr>
                                    <m:t>γ</m:t>
                                  </m:r>
                                </m:e>
                                <m:sub>
                                  <m:r>
                                    <w:rPr>
                                      <w:rFonts w:ascii="Cambria Math" w:hAnsi="Cambria Math"/>
                                    </w:rPr>
                                    <m:t>w</m:t>
                                  </m:r>
                                  <m:d>
                                    <m:dPr>
                                      <m:begChr m:val="["/>
                                      <m:endChr m:val="]"/>
                                      <m:ctrlPr>
                                        <w:rPr>
                                          <w:rFonts w:ascii="Cambria Math" w:hAnsi="Cambria Math"/>
                                        </w:rPr>
                                      </m:ctrlPr>
                                    </m:dPr>
                                    <m:e>
                                      <m:r>
                                        <w:rPr>
                                          <w:rFonts w:ascii="Cambria Math" w:hAnsi="Cambria Math"/>
                                        </w:rPr>
                                        <m:t>i</m:t>
                                      </m:r>
                                      <m:ctrlPr>
                                        <w:rPr>
                                          <w:rFonts w:ascii="Cambria Math" w:hAnsi="Cambria Math"/>
                                          <w:i/>
                                        </w:rPr>
                                      </m:ctrlPr>
                                    </m:e>
                                  </m:d>
                                </m:sub>
                                <m:sup>
                                  <m:d>
                                    <m:dPr>
                                      <m:ctrlPr>
                                        <w:rPr>
                                          <w:rFonts w:ascii="Cambria Math" w:hAnsi="Cambria Math"/>
                                        </w:rPr>
                                      </m:ctrlPr>
                                    </m:dPr>
                                    <m:e>
                                      <m:r>
                                        <w:rPr>
                                          <w:rFonts w:ascii="Cambria Math" w:hAnsi="Cambria Math"/>
                                        </w:rPr>
                                        <m:t>s</m:t>
                                      </m:r>
                                      <m:ctrlPr>
                                        <w:rPr>
                                          <w:rFonts w:ascii="Cambria Math" w:hAnsi="Cambria Math"/>
                                          <w:i/>
                                        </w:rPr>
                                      </m:ctrlPr>
                                    </m:e>
                                  </m:d>
                                </m:sup>
                              </m:sSubSup>
                              <m:ctrlPr>
                                <w:rPr>
                                  <w:rFonts w:ascii="Cambria Math" w:hAnsi="Cambria Math"/>
                                  <w:i/>
                                </w:rPr>
                              </m:ctrlPr>
                            </m:e>
                          </m:d>
                        </m:sup>
                      </m:sSup>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rPr>
                              </m:ctrlPr>
                            </m:dPr>
                            <m:e>
                              <m:sSubSup>
                                <m:sSubSupPr>
                                  <m:ctrlPr>
                                    <w:rPr>
                                      <w:rFonts w:ascii="Cambria Math" w:hAnsi="Cambria Math"/>
                                      <w:i/>
                                    </w:rPr>
                                  </m:ctrlPr>
                                </m:sSubSupPr>
                                <m:e>
                                  <m:r>
                                    <m:rPr>
                                      <m:sty m:val="p"/>
                                    </m:rPr>
                                    <w:rPr>
                                      <w:rFonts w:ascii="Cambria Math" w:hAnsi="Cambria Math"/>
                                    </w:rPr>
                                    <m:t>α</m:t>
                                  </m:r>
                                  <m:ctrlPr>
                                    <w:rPr>
                                      <w:rFonts w:ascii="Cambria Math" w:hAnsi="Cambria Math"/>
                                    </w:rPr>
                                  </m:ctrlPr>
                                </m:e>
                                <m:sub>
                                  <m:r>
                                    <w:rPr>
                                      <w:rFonts w:ascii="Cambria Math" w:hAnsi="Cambria Math"/>
                                    </w:rPr>
                                    <m:t>j</m:t>
                                  </m:r>
                                  <m:d>
                                    <m:dPr>
                                      <m:begChr m:val="["/>
                                      <m:endChr m:val="]"/>
                                      <m:ctrlPr>
                                        <w:rPr>
                                          <w:rFonts w:ascii="Cambria Math" w:hAnsi="Cambria Math"/>
                                        </w:rPr>
                                      </m:ctrlPr>
                                    </m:dPr>
                                    <m:e>
                                      <m:r>
                                        <w:rPr>
                                          <w:rFonts w:ascii="Cambria Math" w:hAnsi="Cambria Math"/>
                                        </w:rPr>
                                        <m:t>i</m:t>
                                      </m:r>
                                      <m:ctrlPr>
                                        <w:rPr>
                                          <w:rFonts w:ascii="Cambria Math" w:hAnsi="Cambria Math"/>
                                          <w:i/>
                                        </w:rPr>
                                      </m:ctrlPr>
                                    </m:e>
                                  </m:d>
                                </m:sub>
                                <m:sup>
                                  <m:d>
                                    <m:dPr>
                                      <m:ctrlPr>
                                        <w:rPr>
                                          <w:rFonts w:ascii="Cambria Math" w:hAnsi="Cambria Math"/>
                                        </w:rPr>
                                      </m:ctrlPr>
                                    </m:dPr>
                                    <m:e>
                                      <m:r>
                                        <w:rPr>
                                          <w:rFonts w:ascii="Cambria Math" w:hAnsi="Cambria Math"/>
                                        </w:rPr>
                                        <m:t>s</m:t>
                                      </m:r>
                                      <m:ctrlPr>
                                        <w:rPr>
                                          <w:rFonts w:ascii="Cambria Math" w:hAnsi="Cambria Math"/>
                                          <w:i/>
                                        </w:rPr>
                                      </m:ctrlPr>
                                    </m:e>
                                  </m:d>
                                </m:sup>
                              </m:sSubSup>
                              <m:r>
                                <w:rPr>
                                  <w:rFonts w:ascii="Cambria Math" w:hAnsi="Cambria Math"/>
                                </w:rPr>
                                <m:t>+</m:t>
                              </m:r>
                              <m:sSubSup>
                                <m:sSubSupPr>
                                  <m:ctrlPr>
                                    <w:rPr>
                                      <w:rFonts w:ascii="Cambria Math" w:hAnsi="Cambria Math"/>
                                      <w:i/>
                                    </w:rPr>
                                  </m:ctrlPr>
                                </m:sSubSupPr>
                                <m:e>
                                  <m:r>
                                    <m:rPr>
                                      <m:sty m:val="p"/>
                                    </m:rPr>
                                    <w:rPr>
                                      <w:rFonts w:ascii="Cambria Math" w:hAnsi="Cambria Math"/>
                                    </w:rPr>
                                    <m:t>γ</m:t>
                                  </m:r>
                                </m:e>
                                <m:sub>
                                  <m:r>
                                    <w:rPr>
                                      <w:rFonts w:ascii="Cambria Math" w:hAnsi="Cambria Math"/>
                                    </w:rPr>
                                    <m:t>w</m:t>
                                  </m:r>
                                  <m:d>
                                    <m:dPr>
                                      <m:begChr m:val="["/>
                                      <m:endChr m:val="]"/>
                                      <m:ctrlPr>
                                        <w:rPr>
                                          <w:rFonts w:ascii="Cambria Math" w:hAnsi="Cambria Math"/>
                                        </w:rPr>
                                      </m:ctrlPr>
                                    </m:dPr>
                                    <m:e>
                                      <m:r>
                                        <w:rPr>
                                          <w:rFonts w:ascii="Cambria Math" w:hAnsi="Cambria Math"/>
                                        </w:rPr>
                                        <m:t>i</m:t>
                                      </m:r>
                                      <m:ctrlPr>
                                        <w:rPr>
                                          <w:rFonts w:ascii="Cambria Math" w:hAnsi="Cambria Math"/>
                                          <w:i/>
                                        </w:rPr>
                                      </m:ctrlPr>
                                    </m:e>
                                  </m:d>
                                </m:sub>
                                <m:sup>
                                  <m:d>
                                    <m:dPr>
                                      <m:ctrlPr>
                                        <w:rPr>
                                          <w:rFonts w:ascii="Cambria Math" w:hAnsi="Cambria Math"/>
                                        </w:rPr>
                                      </m:ctrlPr>
                                    </m:dPr>
                                    <m:e>
                                      <m:r>
                                        <w:rPr>
                                          <w:rFonts w:ascii="Cambria Math" w:hAnsi="Cambria Math"/>
                                        </w:rPr>
                                        <m:t>s</m:t>
                                      </m:r>
                                      <m:ctrlPr>
                                        <w:rPr>
                                          <w:rFonts w:ascii="Cambria Math" w:hAnsi="Cambria Math"/>
                                          <w:i/>
                                        </w:rPr>
                                      </m:ctrlPr>
                                    </m:e>
                                  </m:d>
                                </m:sup>
                              </m:sSubSup>
                              <m:ctrlPr>
                                <w:rPr>
                                  <w:rFonts w:ascii="Cambria Math" w:hAnsi="Cambria Math"/>
                                  <w:i/>
                                </w:rPr>
                              </m:ctrlPr>
                            </m:e>
                          </m:d>
                        </m:sup>
                      </m:sSup>
                      <m:ctrlPr>
                        <w:rPr>
                          <w:rFonts w:ascii="Cambria Math" w:hAnsi="Cambria Math"/>
                          <w:i/>
                        </w:rPr>
                      </m:ctrlPr>
                    </m:den>
                  </m:f>
                  <m:ctrlPr>
                    <w:rPr>
                      <w:rFonts w:ascii="Cambria Math" w:hAnsi="Cambria Math"/>
                      <w:i/>
                    </w:rPr>
                  </m:ctrlPr>
                </m:e>
              </m:d>
              <m:ctrlPr>
                <w:rPr>
                  <w:rFonts w:ascii="Cambria Math" w:hAnsi="Cambria Math"/>
                  <w:i/>
                </w:rPr>
              </m:ctrlPr>
            </m:e>
          </m:nary>
        </m:oMath>
      </m:oMathPara>
    </w:p>
    <w:p w14:paraId="4437A4F3" w14:textId="7AAD4954" w:rsidR="00D375DA" w:rsidRPr="00D375DA" w:rsidRDefault="00D375DA" w:rsidP="00E37F7F">
      <w:pPr>
        <w:spacing w:line="360" w:lineRule="auto"/>
        <w:jc w:val="both"/>
        <w:rPr>
          <w:rFonts w:eastAsiaTheme="minorEastAsia" w:cstheme="minorBidi"/>
        </w:rPr>
      </w:pPr>
      <w:r w:rsidRPr="00D375DA">
        <w:t xml:space="preserve">We report the posterior mean, 95% </w:t>
      </w:r>
      <w:r w:rsidR="009A1857">
        <w:t>high density interval (HDI)</w:t>
      </w:r>
      <w:r w:rsidRPr="00D375DA">
        <w:t xml:space="preserve">, the posterior probability </w:t>
      </w:r>
      <w:proofErr w:type="gramStart"/>
      <w:r w:rsidRPr="00D375DA">
        <w:t>that  </w:t>
      </w:r>
      <w:r w:rsidR="009A1857">
        <w:t>locate</w:t>
      </w:r>
      <w:proofErr w:type="gramEnd"/>
      <w:r w:rsidR="009A1857">
        <w:t xml:space="preserve"> </w:t>
      </w:r>
      <w:r w:rsidRPr="00D375DA">
        <w:t>inside the ROPE, and the reciprocal </w:t>
      </w:r>
      <w:r w:rsidR="009A1857">
        <w:t xml:space="preserve">of APD </w:t>
      </w:r>
      <w:r w:rsidRPr="00D375DA">
        <w:t>as the Number Needed to Treat</w:t>
      </w:r>
      <w:r w:rsidR="009A1857">
        <w:t xml:space="preserve"> (NNT)</w:t>
      </w:r>
      <w:r w:rsidRPr="00D375DA">
        <w:t xml:space="preserve">. </w:t>
      </w:r>
      <w:r w:rsidRPr="00D375DA">
        <w:lastRenderedPageBreak/>
        <w:t>We also report the posterior distribution of </w:t>
      </w:r>
      <m:oMath>
        <m:sSub>
          <m:sSubPr>
            <m:ctrlPr>
              <w:rPr>
                <w:rFonts w:ascii="Cambria Math" w:hAnsi="Cambria Math"/>
              </w:rPr>
            </m:ctrlPr>
          </m:sSubPr>
          <m:e>
            <m:r>
              <w:rPr>
                <w:rFonts w:ascii="Cambria Math" w:hAnsi="Cambria Math"/>
              </w:rPr>
              <m:t>σ</m:t>
            </m:r>
          </m:e>
          <m:sub>
            <m:r>
              <m:rPr>
                <m:nor/>
              </m:rPr>
              <w:rPr>
                <w:i/>
                <w:iCs/>
              </w:rPr>
              <m:t>clus</m:t>
            </m:r>
            <m:r>
              <m:rPr>
                <m:nor/>
              </m:rPr>
              <w:rPr>
                <w:i/>
                <w:iCs/>
              </w:rPr>
              <m:t>ter</m:t>
            </m:r>
          </m:sub>
        </m:sSub>
      </m:oMath>
      <w:r w:rsidRPr="00D375DA">
        <w:t> and the implied ICC computed draw-by-draw as </w:t>
      </w:r>
      <m:oMath>
        <m:f>
          <m:fPr>
            <m:ctrlPr>
              <w:rPr>
                <w:rStyle w:val="mord"/>
                <w:rFonts w:ascii="Cambria Math" w:eastAsiaTheme="minorEastAsia" w:hAnsi="Cambria Math" w:cstheme="minorBidi"/>
                <w:kern w:val="2"/>
                <w14:ligatures w14:val="standardContextual"/>
              </w:rPr>
            </m:ctrlPr>
          </m:fPr>
          <m:num>
            <m:sSubSup>
              <m:sSubSupPr>
                <m:ctrlPr>
                  <w:rPr>
                    <w:rStyle w:val="mord"/>
                    <w:rFonts w:ascii="Cambria Math" w:eastAsiaTheme="minorEastAsia" w:hAnsi="Cambria Math" w:cstheme="minorBidi"/>
                    <w:i/>
                    <w:kern w:val="2"/>
                    <w14:ligatures w14:val="standardContextual"/>
                  </w:rPr>
                </m:ctrlPr>
              </m:sSubSupPr>
              <m:e>
                <m:r>
                  <w:rPr>
                    <w:rStyle w:val="mord"/>
                    <w:rFonts w:ascii="Cambria Math" w:hAnsi="Cambria Math"/>
                  </w:rPr>
                  <m:t>σ</m:t>
                </m:r>
              </m:e>
              <m:sub>
                <m:r>
                  <w:rPr>
                    <w:rStyle w:val="mord"/>
                    <w:rFonts w:ascii="Cambria Math" w:hAnsi="Cambria Math"/>
                  </w:rPr>
                  <m:t>cluster</m:t>
                </m:r>
              </m:sub>
              <m:sup>
                <m:d>
                  <m:dPr>
                    <m:ctrlPr>
                      <w:rPr>
                        <w:rStyle w:val="mord"/>
                        <w:rFonts w:ascii="Cambria Math" w:hAnsi="Cambria Math"/>
                        <w:i/>
                      </w:rPr>
                    </m:ctrlPr>
                  </m:dPr>
                  <m:e>
                    <m:r>
                      <w:rPr>
                        <w:rStyle w:val="mord"/>
                        <w:rFonts w:ascii="Cambria Math" w:hAnsi="Cambria Math"/>
                      </w:rPr>
                      <m:t>s</m:t>
                    </m:r>
                  </m:e>
                </m:d>
                <m:r>
                  <w:rPr>
                    <w:rStyle w:val="mord"/>
                    <w:rFonts w:ascii="Cambria Math" w:hAnsi="Cambria Math"/>
                  </w:rPr>
                  <m:t>2</m:t>
                </m:r>
              </m:sup>
            </m:sSubSup>
          </m:num>
          <m:den>
            <m:f>
              <m:fPr>
                <m:ctrlPr>
                  <w:rPr>
                    <w:rStyle w:val="mord"/>
                    <w:rFonts w:ascii="Cambria Math" w:eastAsiaTheme="minorEastAsia" w:hAnsi="Cambria Math" w:cstheme="minorBidi"/>
                    <w:i/>
                    <w:kern w:val="2"/>
                    <w14:ligatures w14:val="standardContextual"/>
                  </w:rPr>
                </m:ctrlPr>
              </m:fPr>
              <m:num>
                <m:sSup>
                  <m:sSupPr>
                    <m:ctrlPr>
                      <w:rPr>
                        <w:rStyle w:val="mord"/>
                        <w:rFonts w:ascii="Cambria Math" w:eastAsiaTheme="minorEastAsia" w:hAnsi="Cambria Math" w:cstheme="minorBidi"/>
                        <w:i/>
                        <w:kern w:val="2"/>
                        <w14:ligatures w14:val="standardContextual"/>
                      </w:rPr>
                    </m:ctrlPr>
                  </m:sSupPr>
                  <m:e>
                    <m:r>
                      <w:rPr>
                        <w:rStyle w:val="mord"/>
                        <w:rFonts w:ascii="Cambria Math" w:hAnsi="Cambria Math"/>
                      </w:rPr>
                      <m:t>π</m:t>
                    </m:r>
                  </m:e>
                  <m:sup>
                    <m:r>
                      <w:rPr>
                        <w:rStyle w:val="mord"/>
                        <w:rFonts w:ascii="Cambria Math" w:hAnsi="Cambria Math"/>
                      </w:rPr>
                      <m:t>2</m:t>
                    </m:r>
                  </m:sup>
                </m:sSup>
              </m:num>
              <m:den>
                <m:r>
                  <w:rPr>
                    <w:rStyle w:val="mord"/>
                    <w:rFonts w:ascii="Cambria Math" w:hAnsi="Cambria Math"/>
                  </w:rPr>
                  <m:t>3</m:t>
                </m:r>
              </m:den>
            </m:f>
            <m:r>
              <w:rPr>
                <w:rStyle w:val="mord"/>
                <w:rFonts w:ascii="Cambria Math" w:hAnsi="Cambria Math"/>
              </w:rPr>
              <m:t xml:space="preserve"> + </m:t>
            </m:r>
            <m:sSubSup>
              <m:sSubSupPr>
                <m:ctrlPr>
                  <w:rPr>
                    <w:rStyle w:val="mord"/>
                    <w:rFonts w:ascii="Cambria Math" w:eastAsiaTheme="minorEastAsia" w:hAnsi="Cambria Math" w:cstheme="minorBidi"/>
                    <w:i/>
                    <w:kern w:val="2"/>
                    <w14:ligatures w14:val="standardContextual"/>
                  </w:rPr>
                </m:ctrlPr>
              </m:sSubSupPr>
              <m:e>
                <m:r>
                  <w:rPr>
                    <w:rStyle w:val="mord"/>
                    <w:rFonts w:ascii="Cambria Math" w:hAnsi="Cambria Math"/>
                  </w:rPr>
                  <m:t>σ</m:t>
                </m:r>
              </m:e>
              <m:sub>
                <m:r>
                  <w:rPr>
                    <w:rStyle w:val="mord"/>
                    <w:rFonts w:ascii="Cambria Math" w:hAnsi="Cambria Math"/>
                  </w:rPr>
                  <m:t>cluster</m:t>
                </m:r>
              </m:sub>
              <m:sup>
                <m:d>
                  <m:dPr>
                    <m:ctrlPr>
                      <w:rPr>
                        <w:rStyle w:val="mord"/>
                        <w:rFonts w:ascii="Cambria Math" w:hAnsi="Cambria Math"/>
                        <w:i/>
                      </w:rPr>
                    </m:ctrlPr>
                  </m:dPr>
                  <m:e>
                    <m:r>
                      <w:rPr>
                        <w:rStyle w:val="mord"/>
                        <w:rFonts w:ascii="Cambria Math" w:hAnsi="Cambria Math"/>
                      </w:rPr>
                      <m:t>s</m:t>
                    </m:r>
                  </m:e>
                </m:d>
                <m:r>
                  <w:rPr>
                    <w:rStyle w:val="mord"/>
                    <w:rFonts w:ascii="Cambria Math" w:hAnsi="Cambria Math"/>
                  </w:rPr>
                  <m:t>2</m:t>
                </m:r>
              </m:sup>
            </m:sSubSup>
          </m:den>
        </m:f>
      </m:oMath>
      <w:r w:rsidR="009A1857">
        <w:rPr>
          <w:rStyle w:val="mord"/>
        </w:rPr>
        <w:t>.</w:t>
      </w:r>
    </w:p>
    <w:p w14:paraId="45D58646" w14:textId="6F55E0CE" w:rsidR="009A1857" w:rsidRPr="004073A8" w:rsidRDefault="008B0733" w:rsidP="00E37F7F">
      <w:pPr>
        <w:spacing w:line="360" w:lineRule="auto"/>
        <w:jc w:val="both"/>
        <w:rPr>
          <w:b/>
          <w:bCs/>
        </w:rPr>
      </w:pPr>
      <w:r>
        <w:rPr>
          <w:rFonts w:hint="eastAsia"/>
          <w:b/>
          <w:bCs/>
        </w:rPr>
        <w:t>M</w:t>
      </w:r>
      <w:r w:rsidR="009A1857" w:rsidRPr="009A1857">
        <w:rPr>
          <w:rFonts w:eastAsiaTheme="majorEastAsia"/>
          <w:b/>
          <w:bCs/>
        </w:rPr>
        <w:t xml:space="preserve">odel </w:t>
      </w:r>
      <w:r>
        <w:rPr>
          <w:b/>
          <w:bCs/>
        </w:rPr>
        <w:t xml:space="preserve">with </w:t>
      </w:r>
      <w:r w:rsidR="004073A8">
        <w:rPr>
          <w:b/>
          <w:bCs/>
        </w:rPr>
        <w:t>O</w:t>
      </w:r>
      <w:r>
        <w:rPr>
          <w:b/>
          <w:bCs/>
        </w:rPr>
        <w:t xml:space="preserve">ne </w:t>
      </w:r>
      <w:r w:rsidR="004073A8">
        <w:rPr>
          <w:b/>
          <w:bCs/>
        </w:rPr>
        <w:t>Pre-Randomization C</w:t>
      </w:r>
      <w:r>
        <w:rPr>
          <w:b/>
          <w:bCs/>
        </w:rPr>
        <w:t>ovariate</w:t>
      </w:r>
      <w:r w:rsidR="004073A8" w:rsidRPr="004073A8">
        <w:rPr>
          <w:b/>
          <w:bCs/>
        </w:rPr>
        <w:t xml:space="preserve">: ANCOVA </w:t>
      </w:r>
    </w:p>
    <w:p w14:paraId="0CD9ADF9" w14:textId="1CDB3502" w:rsidR="009A1857" w:rsidRPr="009A1857" w:rsidRDefault="009A1857" w:rsidP="00E37F7F">
      <w:pPr>
        <w:spacing w:line="360" w:lineRule="auto"/>
        <w:jc w:val="both"/>
      </w:pPr>
      <w:r>
        <w:tab/>
      </w:r>
      <w:r w:rsidRPr="009A1857">
        <w:t>A second model augments the linear predictor with each household</w:t>
      </w:r>
      <w:r>
        <w:t>’s</w:t>
      </w:r>
      <w:r w:rsidRPr="009A1857">
        <w:t xml:space="preserve"> baseline screening status </w:t>
      </w:r>
      <m:oMath>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bl</m:t>
            </m:r>
          </m:sup>
        </m:sSubSup>
        <m:r>
          <w:rPr>
            <w:rFonts w:ascii="Cambria Math" w:hAnsi="Cambria Math"/>
          </w:rPr>
          <m:t>∈{0,1}</m:t>
        </m:r>
      </m:oMath>
      <w:r w:rsidRPr="009A1857">
        <w:t>, measured at the time of enrollment before randomization:</w:t>
      </w:r>
    </w:p>
    <w:p w14:paraId="22917DD0" w14:textId="52DDC263" w:rsidR="00D375DA" w:rsidRPr="00D375DA" w:rsidRDefault="009A1857" w:rsidP="00E37F7F">
      <w:pPr>
        <w:spacing w:line="360" w:lineRule="auto"/>
        <w:jc w:val="both"/>
      </w:pPr>
      <m:oMathPara>
        <m:oMath>
          <m:r>
            <m:rPr>
              <m:nor/>
            </m:rPr>
            <m:t>logit</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j[i]</m:t>
              </m:r>
            </m:sub>
          </m:sSub>
          <m:r>
            <w:rPr>
              <w:rFonts w:ascii="Cambria Math" w:hAnsi="Cambria Math"/>
            </w:rPr>
            <m:t>+</m:t>
          </m:r>
          <m:sSub>
            <m:sSubPr>
              <m:ctrlPr>
                <w:rPr>
                  <w:rFonts w:ascii="Cambria Math" w:hAnsi="Cambria Math"/>
                  <w:i/>
                </w:rPr>
              </m:ctrlPr>
            </m:sSubPr>
            <m:e>
              <m:r>
                <w:rPr>
                  <w:rFonts w:ascii="Cambria Math" w:hAnsi="Cambria Math"/>
                </w:rPr>
                <m:t>β</m:t>
              </m:r>
            </m:e>
            <m:sub>
              <m:r>
                <m:rPr>
                  <m:nor/>
                </m:rPr>
                <w:rPr>
                  <w:i/>
                </w:rPr>
                <m:t>trt</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m:rPr>
                  <m:nor/>
                </m:rPr>
                <w:rPr>
                  <w:i/>
                </w:rPr>
                <m:t>trt</m:t>
              </m:r>
            </m:sup>
          </m:sSub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w[i]</m:t>
              </m:r>
            </m:sub>
          </m:sSub>
          <m:r>
            <w:rPr>
              <w:rFonts w:ascii="Cambria Math" w:hAnsi="Cambria Math"/>
            </w:rPr>
            <m:t>+δ⋅</m:t>
          </m:r>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bl</m:t>
              </m:r>
            </m:sup>
          </m:sSubSup>
          <m:r>
            <w:rPr>
              <w:rFonts w:ascii="Cambria Math" w:hAnsi="Cambria Math"/>
            </w:rPr>
            <m:t>,δ∼</m:t>
          </m:r>
          <m:r>
            <w:rPr>
              <w:rFonts w:ascii="Cambria Math" w:hAnsi="Cambria Math"/>
            </w:rPr>
            <m:t>Normal</m:t>
          </m:r>
          <m:r>
            <w:rPr>
              <w:rFonts w:ascii="Cambria Math" w:hAnsi="Cambria Math"/>
            </w:rPr>
            <m:t>(0,</m:t>
          </m:r>
          <m:r>
            <m:rPr>
              <m:nor/>
            </m:rPr>
            <m:t> </m:t>
          </m:r>
          <m:r>
            <w:rPr>
              <w:rFonts w:ascii="Cambria Math" w:hAnsi="Cambria Math"/>
            </w:rPr>
            <m:t>1)</m:t>
          </m:r>
          <m:r>
            <w:rPr>
              <w:i/>
            </w:rPr>
            <w:br/>
          </m:r>
        </m:oMath>
      </m:oMathPara>
      <w:r w:rsidR="00FF60AD">
        <w:tab/>
      </w:r>
      <w:r w:rsidRPr="009A1857">
        <w:t xml:space="preserve">Conditioning on the baseline outcome is causally justified because it was measured prior to randomization and therefore cannot be affected by treatment assignment. It is also justified on efficiency grounds: households that screened positive at baseline are more likely to screen positive at endline regardless of treatment, and adjusting for this pre-existing tendency reduces residual variance and sharpens the estimate of </w:t>
      </w:r>
      <m:oMath>
        <m:sSub>
          <m:sSubPr>
            <m:ctrlPr>
              <w:rPr>
                <w:rFonts w:ascii="Cambria Math" w:hAnsi="Cambria Math"/>
                <w:i/>
              </w:rPr>
            </m:ctrlPr>
          </m:sSubPr>
          <m:e>
            <m:r>
              <w:rPr>
                <w:rFonts w:ascii="Cambria Math" w:hAnsi="Cambria Math"/>
              </w:rPr>
              <m:t>β</m:t>
            </m:r>
          </m:e>
          <m:sub>
            <m:r>
              <m:rPr>
                <m:nor/>
              </m:rPr>
              <w:rPr>
                <w:i/>
              </w:rPr>
              <m:t>trt</m:t>
            </m:r>
          </m:sub>
        </m:sSub>
      </m:oMath>
      <w:r w:rsidRPr="009A1857">
        <w:t>. The primary and ANCOVA models are compared using PSIS-LOO on the common subsample of 1,468 households for whom a baseline record is available, with 4 households excluded due to missing baseline data. If the ANCOVA model is favored by more than 2 standard errors in expected log pointwise predictive density, we report APD estimates from both models and discuss any discrepancy; otherwise</w:t>
      </w:r>
      <w:r w:rsidR="00FF60AD">
        <w:t>,</w:t>
      </w:r>
      <w:r w:rsidRPr="009A1857">
        <w:t xml:space="preserve"> the primary model is retained on parsimony grounds, and the 4 households with missing baseline records are kept in the analysis without additional assumptions.</w:t>
      </w:r>
    </w:p>
    <w:p w14:paraId="2371A2C8" w14:textId="77777777" w:rsidR="007149FD" w:rsidRDefault="002024AE" w:rsidP="00E37F7F">
      <w:pPr>
        <w:pStyle w:val="Heading1"/>
        <w:numPr>
          <w:ilvl w:val="0"/>
          <w:numId w:val="1"/>
        </w:numPr>
        <w:spacing w:line="360" w:lineRule="auto"/>
        <w:jc w:val="both"/>
      </w:pPr>
      <w:r>
        <w:lastRenderedPageBreak/>
        <w:t>Prior Predictive Check</w:t>
      </w:r>
    </w:p>
    <w:p w14:paraId="1782CA63" w14:textId="7B17A80D" w:rsidR="00FF60AD" w:rsidRDefault="009516CD" w:rsidP="00E37F7F">
      <w:pPr>
        <w:pStyle w:val="Heading1"/>
        <w:spacing w:line="360" w:lineRule="auto"/>
        <w:jc w:val="both"/>
      </w:pPr>
      <w:r w:rsidRPr="009516CD">
        <w:drawing>
          <wp:inline distT="0" distB="0" distL="0" distR="0" wp14:anchorId="5597008B" wp14:editId="64E4C5B1">
            <wp:extent cx="6120977" cy="4320000"/>
            <wp:effectExtent l="0" t="0" r="635" b="0"/>
            <wp:docPr id="182408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8434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977" cy="4320000"/>
                    </a:xfrm>
                    <a:prstGeom prst="rect">
                      <a:avLst/>
                    </a:prstGeom>
                  </pic:spPr>
                </pic:pic>
              </a:graphicData>
            </a:graphic>
          </wp:inline>
        </w:drawing>
      </w:r>
    </w:p>
    <w:p w14:paraId="4067EE5F" w14:textId="38D6C918" w:rsidR="009516CD" w:rsidRPr="009516CD" w:rsidRDefault="009516CD" w:rsidP="00E37F7F">
      <w:pPr>
        <w:spacing w:line="360" w:lineRule="auto"/>
        <w:jc w:val="both"/>
      </w:pPr>
      <w:r>
        <w:tab/>
      </w:r>
      <w:r w:rsidRPr="009516CD">
        <w:t xml:space="preserve">Figure 1 displays prior predictive distributions of four quantities derived from 1,000 draws from the informed priors alone, before conditioning on any endline outcome data. Panel A confirms the grand-mean prior </w:t>
      </w:r>
      <m:oMath>
        <m:sSub>
          <m:sSubPr>
            <m:ctrlPr>
              <w:rPr>
                <w:rFonts w:ascii="Cambria Math" w:eastAsiaTheme="minorEastAsia" w:hAnsi="Cambria Math" w:cstheme="minorBidi"/>
                <w:i/>
                <w:kern w:val="2"/>
                <w14:ligatures w14:val="standardContextual"/>
              </w:rPr>
            </m:ctrlPr>
          </m:sSubPr>
          <m:e>
            <m:r>
              <w:rPr>
                <w:rFonts w:ascii="Cambria Math" w:hAnsi="Cambria Math"/>
              </w:rPr>
              <m:t>μ</m:t>
            </m:r>
          </m:e>
          <m:sub>
            <m:r>
              <w:rPr>
                <w:rFonts w:ascii="Cambria Math" w:hAnsi="Cambria Math"/>
              </w:rPr>
              <m:t>0</m:t>
            </m:r>
          </m:sub>
        </m:sSub>
        <m:r>
          <w:rPr>
            <w:rFonts w:ascii="Cambria Math" w:hAnsi="Cambria Math"/>
          </w:rPr>
          <m:t xml:space="preserve">~ </m:t>
        </m:r>
        <m:r>
          <w:rPr>
            <w:rFonts w:ascii="Cambria Math" w:hAnsi="Cambria Math"/>
          </w:rPr>
          <m:t xml:space="preserve">Normal(-1.1, </m:t>
        </m:r>
        <m:sSup>
          <m:sSupPr>
            <m:ctrlPr>
              <w:rPr>
                <w:rFonts w:ascii="Cambria Math" w:hAnsi="Cambria Math"/>
              </w:rPr>
            </m:ctrlPr>
          </m:sSupPr>
          <m:e>
            <m:r>
              <w:rPr>
                <w:rFonts w:ascii="Cambria Math" w:hAnsi="Cambria Math"/>
              </w:rPr>
              <m:t>0.5</m:t>
            </m:r>
          </m:e>
          <m:sup>
            <m:r>
              <w:rPr>
                <w:rFonts w:ascii="Cambria Math" w:hAnsi="Cambria Math"/>
              </w:rPr>
              <m:t>2</m:t>
            </m:r>
          </m:sup>
        </m:sSup>
        <m:r>
          <w:rPr>
            <w:rFonts w:ascii="Cambria Math" w:hAnsi="Cambria Math"/>
          </w:rPr>
          <m:t>)</m:t>
        </m:r>
      </m:oMath>
      <w:r w:rsidR="008B0733">
        <w:t xml:space="preserve"> </w:t>
      </w:r>
      <w:r w:rsidRPr="009516CD">
        <w:t>generates plausible prevalences</w:t>
      </w:r>
      <w:r w:rsidR="008B0733">
        <w:t xml:space="preserve"> of screening positive</w:t>
      </w:r>
      <w:r w:rsidRPr="009516CD">
        <w:t xml:space="preserve">: the distribution is concentrated between 10% and 50%, and all three observed endline prevalences (depression 15.6%, emotional distress 18.5%, anxiety 23.5%) fall comfortably within its bulk. Panel B shows the prior APD is centered at zero with only 27% of draws inside the ROPE [-0.05, +0.05], confirming the ROPE analysis is not predetermined by the prior. Panels C and D characterize the prior clustering structure: </w:t>
      </w:r>
      <m:oMath>
        <m:sSub>
          <m:sSubPr>
            <m:ctrlPr>
              <w:rPr>
                <w:rFonts w:ascii="Cambria Math" w:hAnsi="Cambria Math"/>
              </w:rPr>
            </m:ctrlPr>
          </m:sSubPr>
          <m:e>
            <m:r>
              <w:rPr>
                <w:rFonts w:ascii="Cambria Math" w:hAnsi="Cambria Math"/>
              </w:rPr>
              <m:t>σ</m:t>
            </m:r>
          </m:e>
          <m:sub>
            <m:r>
              <m:rPr>
                <m:nor/>
              </m:rPr>
              <w:rPr>
                <w:i/>
                <w:iCs/>
              </w:rPr>
              <m:t>clus</m:t>
            </m:r>
            <m:r>
              <m:rPr>
                <m:nor/>
              </m:rPr>
              <w:rPr>
                <w:i/>
                <w:iCs/>
              </w:rPr>
              <m:t>ter</m:t>
            </m:r>
          </m:sub>
        </m:sSub>
      </m:oMath>
      <w:r w:rsidR="008B0733">
        <w:t xml:space="preserve"> </w:t>
      </w:r>
      <w:r w:rsidRPr="009516CD">
        <w:t xml:space="preserve">has a prior median of 0.34 on the log-odds scale, implying a prior ICC median of 0.034, which sits at the lower boundary of the 0.03 to 0.09 range reported for mental health outcomes in cluster-randomized trials </w:t>
      </w:r>
      <w:r w:rsidR="008B0733">
        <w:t xml:space="preserve"> </w:t>
      </w:r>
      <w:r w:rsidR="008B0733">
        <w:fldChar w:fldCharType="begin"/>
      </w:r>
      <w:r w:rsidR="008B0733">
        <w:instrText xml:space="preserve"> ADDIN ZOTERO_ITEM CSL_CITATION {"citationID":"lMnL0Lih","properties":{"unsorted":false,"formattedCitation":"(Bhaskarapillai et al., 2025; Williams et al., 2024)","plainCitation":"(Bhaskarapillai et al., 2025; Williams et al., 2024)","noteIndex":0},"citationItems":[{"id":18327,"uris":["http://zotero.org/users/6769882/items/HLMGPDCF"],"itemData":{"id":18327,"type":"article-journal","abstract":"Purpose of the Review:Though cluster randomized trials (CRTs) provide robust evidence for intervention by controlling contamination of interventions, there could be some loss of statistical efficiency. The Consolidated Standards of Reporting Trials (CONSORT) recommends reporting intraclass correlation coefficients (ICC) to understand this phenomenon, though not many studies follow this. This meta-analysis explored the compliance of CRTs in major depression for reporting ICC besides deriving the pooled ICC and pooled mean differences of intervention outcomes.Collection and Analysis of Data:Thirty-four articles on CRTs in major depression were identified from PubMed, Cochrane Library, PsychINFO, and Embase, and relevant data were extracted. Only 20 studies were eligible for meta-analysis of intervention, among which 8 reported ICC. We used DerSimonian and Laird’s inverse variance method to calculate the pooled estimates. Only eight (40%) of the CRTs reported using ICC both for designing the study and examining intervention outcomes. The pooled ICC was 0.07 (95% confidence interval [CI]: 0.05, 0.09) with a low heterogeneity (I2 = 28%). Among the 20 studies, 65% used different psychosocial methods alone as intervention, with substantial heterogeneity. The pooled standardized mean difference of depression scores (–0.46; 95% CI: –0.79, –0.13) indicated the effectiveness of psychosocial interventions irrespective of combined pharmacotherapy (z = 2.71, p value = 0.01). Further, a subgroup analysis of intervention effects revealed that the results were significant only for the CRTs with ICC conformity.Conclusions:The ICCs can affect the intervention outcomes. Therefore, as indicated by this meta-analysis, CRTs must adhere to the CONSORT guidelines on reporting ICC. Future CRTs on major depression can utilize the pooled ICC estimate from this study, especially for sample size estimations.","container-title":"Indian Journal of Psychological Medicine","DOI":"10.1177/02537176241293194","ISSN":"0253-7176","issue":"6","language":"EN","page":"549-556","publisher":"SAGE Publications India","source":"SAGE Journals","title":"Intraclass Correlation in Cluster Randomized Controlled Trials: A Meta-Analysis of Studies on Major Depression","title-short":"Intraclass Correlation in Cluster Randomized Controlled Trials","volume":"47","author":[{"family":"Bhaskarapillai","given":"Binukumar"},{"family":"Malo","given":"Palash Kumar"},{"family":"Kishore","given":"M. Thomas"},{"family":"Joseph","given":"Anoop"},{"family":"Majhi","given":"Gobinda"},{"family":"Jaisoorya","given":"T S"},{"family":"Kandavel","given":"Thennarasu"}],"issued":{"date-parts":[["2025",11,1]]}}},{"id":18329,"uris":["http://zotero.org/users/6769882/items/RWFFSP6W"],"itemData":{"id":18329,"type":"article-journal","abstract":"BackgroundDespite the ubiquity of multilevel sampling, design, and analysis in mental health implementation trials, few resources are available that provide reference values of design parameters (e.g., effect size, intraclass correlation coefficient [ICC], and proportion of variance explained by covariates [covariate R2]) needed to accurately determine sample size. The aim of this study was to provide empirical reference values for these parameters by aggregating data on implementation and clinical outcomes from multilevel implementation trials, including cluster randomized trials and individually randomized repeated measures trials, in mental health. The compendium of design parameters presented here represents plausible values that implementation scientists can use to guide sample size calculations for future trials.MethodWe searched NIH RePORTER for all federally funded, multilevel implementation trials addressing mental health populations and settings from 2010 to 2020. For all continuous and binary implementation and clinical outcomes included in eligible trials, we generated values of effect size, ICC, and covariate R2 at each level via secondary analysis of trial data or via extraction of estimates from analyses in published research reports. Effect sizes were calculated as Cohen d; ICCs were generated via one-way random effects ANOVAs; covariate R2 estimates were calculated using the reduction in variance approach.ResultsSeventeen trials were eligible, reporting on 53 implementation and clinical outcomes and 81 contrasts between implementation conditions. Tables of effect size, ICC, and covariate R2 are provided to guide implementation researchers in power analyses for designing multilevel implementation trials in mental health settings, including two- and three-level cluster randomized designs and unit-randomized repeated-measures designs.ConclusionsResearchers can use the empirical reference values reported in this study to develop meaningful sample size determinations for multilevel implementation trials in mental health. Discussion focuses on the application of the reference values reported in this study.","container-title":"Implementation Research and Practice","DOI":"10.1177/26334895241279153","ISSN":"2633-4895","language":"EN","page":"26334895241279153","publisher":"SAGE Publications","source":"SAGE Journals","title":"Calculating power for multilevel implementation trials in mental health: Meaningful effect sizes, intraclass correlation coefficients, and proportions of variance explained by covariates","title-short":"Calculating power for multilevel implementation trials in mental health","volume":"5","author":[{"family":"Williams","given":"Nathaniel J."},{"family":"Cardamone","given":"Nicholas C."},{"family":"Beidas","given":"Rinad S."},{"family":"Marcus","given":"Steven C."}],"issued":{"date-parts":[["2024",5,1]]}}}],"schema":"https://github.com/citation-style-language/schema/raw/master/csl-citation.json"} </w:instrText>
      </w:r>
      <w:r w:rsidR="008B0733">
        <w:fldChar w:fldCharType="separate"/>
      </w:r>
      <w:r w:rsidR="008B0733">
        <w:rPr>
          <w:noProof/>
        </w:rPr>
        <w:t>(Bhaskarapillai et al., 2025; Williams et al., 2024)</w:t>
      </w:r>
      <w:r w:rsidR="008B0733">
        <w:fldChar w:fldCharType="end"/>
      </w:r>
      <w:r w:rsidRPr="009516CD">
        <w:t>. Taken together, the four panels confirm the informed priors are consistent with substantive knowledge about this trial and this literature while remaining genuinely open to the data.</w:t>
      </w:r>
      <w:r w:rsidR="008B0733">
        <w:t xml:space="preserve"> </w:t>
      </w:r>
    </w:p>
    <w:p w14:paraId="106C1C4F" w14:textId="1A0C2FEC" w:rsidR="002024AE" w:rsidRDefault="002024AE" w:rsidP="00E37F7F">
      <w:pPr>
        <w:pStyle w:val="Heading1"/>
        <w:numPr>
          <w:ilvl w:val="0"/>
          <w:numId w:val="1"/>
        </w:numPr>
        <w:spacing w:line="360" w:lineRule="auto"/>
        <w:jc w:val="both"/>
      </w:pPr>
      <w:r>
        <w:lastRenderedPageBreak/>
        <w:t>Fitting</w:t>
      </w:r>
      <w:r w:rsidR="000D2393">
        <w:t xml:space="preserve"> &amp; Model Comparison</w:t>
      </w:r>
    </w:p>
    <w:p w14:paraId="1A20962A" w14:textId="32B93BF0" w:rsidR="002A1DB5" w:rsidRDefault="008B0733" w:rsidP="00E37F7F">
      <w:pPr>
        <w:spacing w:line="360" w:lineRule="auto"/>
        <w:jc w:val="both"/>
      </w:pPr>
      <w:r>
        <w:tab/>
      </w:r>
      <w:r>
        <w:t xml:space="preserve">All models were fit in R using JAGS via the </w:t>
      </w:r>
      <w:proofErr w:type="spellStart"/>
      <w:r>
        <w:rPr>
          <w:rStyle w:val="HTMLCode"/>
        </w:rPr>
        <w:t>rjags</w:t>
      </w:r>
      <w:proofErr w:type="spellEnd"/>
      <w:r>
        <w:t xml:space="preserve"> interface, which implements Gibbs sampling. </w:t>
      </w:r>
      <w:r w:rsidR="002A1DB5">
        <w:t xml:space="preserve">Nine models were fit in total: three outcomes (anxiety, depression, emotional distress) across three specifications (primary, ANCOVA, and weakly informative priors, with the latter reported in the Appendix). Each model was run on 4 independent chains rather than the conventional 3, to improve the reliability of the Gelman-Rubin </w:t>
      </w:r>
      <m:oMath>
        <m:acc>
          <m:accPr>
            <m:ctrlPr>
              <w:rPr>
                <w:rFonts w:ascii="Cambria Math" w:eastAsiaTheme="minorEastAsia" w:hAnsi="Cambria Math" w:cstheme="minorBidi"/>
                <w:i/>
                <w:kern w:val="2"/>
                <w14:ligatures w14:val="standardContextual"/>
              </w:rPr>
            </m:ctrlPr>
          </m:accPr>
          <m:e>
            <m:r>
              <w:rPr>
                <w:rFonts w:ascii="Cambria Math" w:hAnsi="Cambria Math"/>
              </w:rPr>
              <m:t>R</m:t>
            </m:r>
          </m:e>
        </m:acc>
      </m:oMath>
      <w:r w:rsidR="002A1DB5">
        <w:t xml:space="preserve"> </w:t>
      </w:r>
      <w:r w:rsidR="002A1DB5">
        <w:t xml:space="preserve">convergence diagnostic and increase effective sample size </w:t>
      </w:r>
      <w:r w:rsidR="002A1DB5">
        <w:t xml:space="preserve">(ESS) </w:t>
      </w:r>
      <w:r w:rsidR="002A1DB5">
        <w:t xml:space="preserve">for the hierarchical variance parameter </w:t>
      </w:r>
      <m:oMath>
        <m:sSub>
          <m:sSubPr>
            <m:ctrlPr>
              <w:rPr>
                <w:rFonts w:ascii="Cambria Math" w:hAnsi="Cambria Math"/>
              </w:rPr>
            </m:ctrlPr>
          </m:sSubPr>
          <m:e>
            <m:r>
              <w:rPr>
                <w:rFonts w:ascii="Cambria Math" w:hAnsi="Cambria Math"/>
              </w:rPr>
              <m:t>σ</m:t>
            </m:r>
          </m:e>
          <m:sub>
            <m:r>
              <m:rPr>
                <m:nor/>
              </m:rPr>
              <w:rPr>
                <w:i/>
                <w:iCs/>
              </w:rPr>
              <m:t>clus</m:t>
            </m:r>
            <m:r>
              <m:rPr>
                <m:nor/>
              </m:rPr>
              <w:rPr>
                <w:i/>
                <w:iCs/>
              </w:rPr>
              <m:t>ter</m:t>
            </m:r>
          </m:sub>
        </m:sSub>
      </m:oMath>
      <w:r w:rsidR="002A1DB5">
        <w:t xml:space="preserve">, </w:t>
      </w:r>
      <w:r w:rsidR="002A1DB5">
        <w:t>which is known to mix</w:t>
      </w:r>
      <w:proofErr w:type="spellStart"/>
      <w:r w:rsidR="002A1DB5">
        <w:t xml:space="preserve"> sl</w:t>
      </w:r>
      <w:proofErr w:type="spellEnd"/>
      <w:r w:rsidR="002A1DB5">
        <w:t xml:space="preserve">owly in logistic models with moderate cluster sizes. Each chain ran for 10,000 burn-in iterations that were discarded, followed by 20,000 post-burn-in iterations thinned by a factor of 2, yielding 10,000 draws per chain and 40,000 total posterior draws per model. The extended burn-in and larger number of post-burn-in iterations were chosen specifically to allow </w:t>
      </w:r>
      <m:oMath>
        <m:sSub>
          <m:sSubPr>
            <m:ctrlPr>
              <w:rPr>
                <w:rFonts w:ascii="Cambria Math" w:hAnsi="Cambria Math"/>
              </w:rPr>
            </m:ctrlPr>
          </m:sSubPr>
          <m:e>
            <m:r>
              <w:rPr>
                <w:rFonts w:ascii="Cambria Math" w:hAnsi="Cambria Math"/>
              </w:rPr>
              <m:t>σ</m:t>
            </m:r>
          </m:e>
          <m:sub>
            <m:r>
              <m:rPr>
                <m:nor/>
              </m:rPr>
              <w:rPr>
                <w:i/>
                <w:iCs/>
              </w:rPr>
              <m:t>clus</m:t>
            </m:r>
            <m:r>
              <m:rPr>
                <m:nor/>
              </m:rPr>
              <w:rPr>
                <w:i/>
                <w:iCs/>
              </w:rPr>
              <m:t>ter</m:t>
            </m:r>
          </m:sub>
        </m:sSub>
      </m:oMath>
      <w:r w:rsidR="002A1DB5">
        <w:t xml:space="preserve"> </w:t>
      </w:r>
      <w:r w:rsidR="002A1DB5">
        <w:t xml:space="preserve">and </w:t>
      </w:r>
      <m:oMath>
        <m:sSub>
          <m:sSubPr>
            <m:ctrlPr>
              <w:rPr>
                <w:rFonts w:ascii="Cambria Math" w:eastAsiaTheme="minorEastAsia" w:hAnsi="Cambria Math" w:cstheme="minorBidi"/>
                <w:i/>
                <w:kern w:val="2"/>
                <w14:ligatures w14:val="standardContextual"/>
              </w:rPr>
            </m:ctrlPr>
          </m:sSubPr>
          <m:e>
            <m:r>
              <w:rPr>
                <w:rFonts w:ascii="Cambria Math" w:hAnsi="Cambria Math"/>
              </w:rPr>
              <m:t>μ</m:t>
            </m:r>
          </m:e>
          <m:sub>
            <m:r>
              <w:rPr>
                <w:rFonts w:ascii="Cambria Math" w:hAnsi="Cambria Math"/>
              </w:rPr>
              <m:t>0</m:t>
            </m:r>
          </m:sub>
        </m:sSub>
        <m:r>
          <w:rPr>
            <w:rFonts w:ascii="Cambria Math" w:hAnsi="Cambria Math"/>
          </w:rPr>
          <m:t xml:space="preserve"> </m:t>
        </m:r>
      </m:oMath>
      <w:r w:rsidR="002A1DB5">
        <w:t xml:space="preserve">sufficient time to reach stationarity and accumulate </w:t>
      </w:r>
      <w:r w:rsidR="002A1DB5">
        <w:t xml:space="preserve">an </w:t>
      </w:r>
      <w:r w:rsidR="002A1DB5">
        <w:t xml:space="preserve">adequate </w:t>
      </w:r>
      <w:r w:rsidR="002A1DB5">
        <w:t>ESS</w:t>
      </w:r>
      <w:r w:rsidR="002A1DB5">
        <w:t xml:space="preserve">, as preliminary runs with shorter chains showed marginal effective sample sizes for these parameters. Chain-specific RNG seeds were passed directly to JAGS </w:t>
      </w:r>
      <w:proofErr w:type="gramStart"/>
      <w:r w:rsidR="002A1DB5">
        <w:t xml:space="preserve">via </w:t>
      </w:r>
      <w:r w:rsidR="002A1DB5">
        <w:rPr>
          <w:rStyle w:val="HTMLCode"/>
        </w:rPr>
        <w:t>.</w:t>
      </w:r>
      <w:proofErr w:type="gramEnd"/>
      <w:r w:rsidR="002A1DB5">
        <w:rPr>
          <w:rStyle w:val="HTMLCode"/>
        </w:rPr>
        <w:t>RNG.name</w:t>
      </w:r>
      <w:r w:rsidR="002A1DB5">
        <w:t xml:space="preserve"> </w:t>
      </w:r>
      <w:proofErr w:type="spellStart"/>
      <w:r w:rsidR="002A1DB5">
        <w:t>and</w:t>
      </w:r>
      <w:r w:rsidR="002A1DB5">
        <w:rPr>
          <w:rStyle w:val="HTMLCode"/>
        </w:rPr>
        <w:t>.RNG.seed</w:t>
      </w:r>
      <w:proofErr w:type="spellEnd"/>
      <w:r w:rsidR="002A1DB5">
        <w:t xml:space="preserve"> arguments in the </w:t>
      </w:r>
      <w:proofErr w:type="spellStart"/>
      <w:r w:rsidR="002A1DB5">
        <w:rPr>
          <w:rStyle w:val="HTMLCode"/>
        </w:rPr>
        <w:t>inits</w:t>
      </w:r>
      <w:proofErr w:type="spellEnd"/>
      <w:r w:rsidR="002A1DB5">
        <w:t xml:space="preserve"> list, ensuring exact reproducibility across machines and sessions. </w:t>
      </w:r>
    </w:p>
    <w:p w14:paraId="39DD4C8C" w14:textId="5D23DDE4" w:rsidR="000D2393" w:rsidRDefault="000D2393" w:rsidP="00E37F7F">
      <w:pPr>
        <w:spacing w:line="360" w:lineRule="auto"/>
        <w:jc w:val="both"/>
      </w:pPr>
      <w:r>
        <w:tab/>
      </w:r>
      <w:r>
        <w:t>Following model fitting, the primary and ANCOVA models were compared using PSIS-LOO on the common subsample of 1,468 households for whom baseline screening status was available. The ANCOVA model was favored for all three outcomes, with differences in expected log pointwise predictive density exceeding the pre-specified threshold of 2 standard errors in all cases (</w:t>
      </w:r>
      <m:oMath>
        <m:r>
          <m:rPr>
            <m:sty m:val="p"/>
          </m:rPr>
          <w:rPr>
            <w:rFonts w:ascii="Cambria Math" w:hAnsi="Cambria Math"/>
          </w:rPr>
          <m:t>Δ</m:t>
        </m:r>
      </m:oMath>
      <w:r>
        <w:t xml:space="preserve">ELPD = </w:t>
      </w:r>
      <m:oMath>
        <m:r>
          <w:rPr>
            <w:rFonts w:ascii="Cambria Math" w:hAnsi="Cambria Math"/>
          </w:rPr>
          <m:t>-19.08</m:t>
        </m:r>
      </m:oMath>
      <w:r>
        <w:t xml:space="preserve">, </w:t>
      </w:r>
      <m:oMath>
        <m:r>
          <w:rPr>
            <w:rFonts w:ascii="Cambria Math" w:hAnsi="Cambria Math"/>
          </w:rPr>
          <m:t>-12.75</m:t>
        </m:r>
      </m:oMath>
      <w:r>
        <w:t xml:space="preserve">, and </w:t>
      </w:r>
      <m:oMath>
        <m:r>
          <w:rPr>
            <w:rFonts w:ascii="Cambria Math" w:hAnsi="Cambria Math"/>
          </w:rPr>
          <m:t>-12.17</m:t>
        </m:r>
      </m:oMath>
      <w:r>
        <w:t>for anxiety, depression, and emotional distress</w:t>
      </w:r>
      <w:r w:rsidR="00721653">
        <w:t>,</w:t>
      </w:r>
      <w:r>
        <w:t xml:space="preserve"> respectively). Per the decision rule stated in Section 2, all posterior inference reported in Sections 5 through 7 is therefore based on the ANCOVA model</w:t>
      </w:r>
      <w:r w:rsidR="006927F6">
        <w:t>s</w:t>
      </w:r>
      <w:r>
        <w:t>. Primary model results are retained in the LOO comparison table for transparency and show no meaningful difference in substantive conclusions regarding the treatment effect</w:t>
      </w:r>
      <w:r w:rsidR="006927F6">
        <w:t xml:space="preserve"> (see Appendix)</w:t>
      </w:r>
      <w:r>
        <w:t>.</w:t>
      </w:r>
    </w:p>
    <w:p w14:paraId="602B85CA" w14:textId="0346E33B" w:rsidR="000D2393" w:rsidRPr="000D2393" w:rsidRDefault="000D2393" w:rsidP="000903D1">
      <w:pPr>
        <w:spacing w:line="360" w:lineRule="auto"/>
        <w:jc w:val="center"/>
        <w:rPr>
          <w:b/>
          <w:bCs/>
        </w:rPr>
      </w:pPr>
      <w:r w:rsidRPr="000D2393">
        <w:rPr>
          <w:b/>
          <w:bCs/>
        </w:rPr>
        <w:t xml:space="preserve">Table 2. PSIS-LOO </w:t>
      </w:r>
      <w:r w:rsidR="00721653" w:rsidRPr="000D2393">
        <w:rPr>
          <w:b/>
          <w:bCs/>
        </w:rPr>
        <w:t xml:space="preserve">Comparison </w:t>
      </w:r>
      <w:r w:rsidR="00721653">
        <w:rPr>
          <w:b/>
          <w:bCs/>
        </w:rPr>
        <w:t>o</w:t>
      </w:r>
      <w:r w:rsidR="00721653" w:rsidRPr="000D2393">
        <w:rPr>
          <w:b/>
          <w:bCs/>
        </w:rPr>
        <w:t xml:space="preserve">n </w:t>
      </w:r>
      <w:r w:rsidR="00721653">
        <w:rPr>
          <w:b/>
          <w:bCs/>
        </w:rPr>
        <w:t>t</w:t>
      </w:r>
      <w:r w:rsidR="00721653" w:rsidRPr="000D2393">
        <w:rPr>
          <w:b/>
          <w:bCs/>
        </w:rPr>
        <w:t>he Common 1,468-Household Subsample</w:t>
      </w:r>
    </w:p>
    <w:tbl>
      <w:tblPr>
        <w:tblStyle w:val="GridTable1Light"/>
        <w:tblW w:w="0" w:type="auto"/>
        <w:jc w:val="center"/>
        <w:tblLook w:val="04A0" w:firstRow="1" w:lastRow="0" w:firstColumn="1" w:lastColumn="0" w:noHBand="0" w:noVBand="1"/>
      </w:tblPr>
      <w:tblGrid>
        <w:gridCol w:w="1350"/>
        <w:gridCol w:w="1770"/>
        <w:gridCol w:w="1970"/>
        <w:gridCol w:w="1007"/>
        <w:gridCol w:w="820"/>
        <w:gridCol w:w="1243"/>
      </w:tblGrid>
      <w:tr w:rsidR="000D2393" w:rsidRPr="000D2393" w14:paraId="095A1BB5" w14:textId="77777777" w:rsidTr="000903D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179470" w14:textId="77777777" w:rsidR="000D2393" w:rsidRPr="000D2393" w:rsidRDefault="000D2393" w:rsidP="000903D1">
            <w:pPr>
              <w:spacing w:line="360" w:lineRule="auto"/>
              <w:jc w:val="center"/>
              <w:rPr>
                <w:rFonts w:eastAsia="Toppan Bunkyu Gothic Regular"/>
                <w:color w:val="000000"/>
              </w:rPr>
            </w:pPr>
            <w:r w:rsidRPr="000D2393">
              <w:rPr>
                <w:rFonts w:eastAsia="Toppan Bunkyu Gothic Regular"/>
                <w:color w:val="000000"/>
              </w:rPr>
              <w:t>Outcome</w:t>
            </w:r>
          </w:p>
        </w:tc>
        <w:tc>
          <w:tcPr>
            <w:tcW w:w="0" w:type="auto"/>
            <w:vAlign w:val="center"/>
            <w:hideMark/>
          </w:tcPr>
          <w:p w14:paraId="37A659F0" w14:textId="77777777" w:rsidR="000D2393" w:rsidRPr="000D2393" w:rsidRDefault="000D2393" w:rsidP="000903D1">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oppan Bunkyu Gothic Regular"/>
                <w:color w:val="000000"/>
              </w:rPr>
            </w:pPr>
            <w:r w:rsidRPr="000D2393">
              <w:rPr>
                <w:rFonts w:eastAsia="Toppan Bunkyu Gothic Regular"/>
                <w:color w:val="000000"/>
              </w:rPr>
              <w:t>ELPD primary</w:t>
            </w:r>
          </w:p>
        </w:tc>
        <w:tc>
          <w:tcPr>
            <w:tcW w:w="0" w:type="auto"/>
            <w:vAlign w:val="center"/>
            <w:hideMark/>
          </w:tcPr>
          <w:p w14:paraId="03D53072" w14:textId="77777777" w:rsidR="000D2393" w:rsidRPr="000D2393" w:rsidRDefault="000D2393" w:rsidP="000903D1">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oppan Bunkyu Gothic Regular"/>
                <w:color w:val="000000"/>
              </w:rPr>
            </w:pPr>
            <w:r w:rsidRPr="000D2393">
              <w:rPr>
                <w:rFonts w:eastAsia="Toppan Bunkyu Gothic Regular"/>
                <w:color w:val="000000"/>
              </w:rPr>
              <w:t>ELPD ANCOVA</w:t>
            </w:r>
          </w:p>
        </w:tc>
        <w:tc>
          <w:tcPr>
            <w:tcW w:w="0" w:type="auto"/>
            <w:vAlign w:val="center"/>
            <w:hideMark/>
          </w:tcPr>
          <w:p w14:paraId="24B03A3E" w14:textId="77777777" w:rsidR="000D2393" w:rsidRPr="000D2393" w:rsidRDefault="000D2393" w:rsidP="000903D1">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oppan Bunkyu Gothic Regular"/>
                <w:color w:val="000000"/>
              </w:rPr>
            </w:pPr>
            <w:r w:rsidRPr="000D2393">
              <w:rPr>
                <w:rFonts w:eastAsia="Toppan Bunkyu Gothic Regular"/>
                <w:color w:val="000000"/>
              </w:rPr>
              <w:t>ΔELPD</w:t>
            </w:r>
          </w:p>
        </w:tc>
        <w:tc>
          <w:tcPr>
            <w:tcW w:w="0" w:type="auto"/>
            <w:vAlign w:val="center"/>
            <w:hideMark/>
          </w:tcPr>
          <w:p w14:paraId="17B7122D" w14:textId="77777777" w:rsidR="000D2393" w:rsidRPr="000D2393" w:rsidRDefault="000D2393" w:rsidP="000903D1">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oppan Bunkyu Gothic Regular"/>
                <w:color w:val="000000"/>
              </w:rPr>
            </w:pPr>
            <w:r w:rsidRPr="000D2393">
              <w:rPr>
                <w:rFonts w:eastAsia="Toppan Bunkyu Gothic Regular"/>
                <w:color w:val="000000"/>
              </w:rPr>
              <w:t>SE(Δ)</w:t>
            </w:r>
          </w:p>
        </w:tc>
        <w:tc>
          <w:tcPr>
            <w:tcW w:w="0" w:type="auto"/>
            <w:vAlign w:val="center"/>
            <w:hideMark/>
          </w:tcPr>
          <w:p w14:paraId="6540FDEB" w14:textId="77777777" w:rsidR="000D2393" w:rsidRPr="000D2393" w:rsidRDefault="000D2393" w:rsidP="000903D1">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oppan Bunkyu Gothic Regular"/>
                <w:color w:val="000000"/>
              </w:rPr>
            </w:pPr>
            <w:r w:rsidRPr="000D2393">
              <w:rPr>
                <w:rFonts w:eastAsia="Toppan Bunkyu Gothic Regular"/>
                <w:color w:val="000000"/>
              </w:rPr>
              <w:t>Favors</w:t>
            </w:r>
          </w:p>
        </w:tc>
      </w:tr>
      <w:tr w:rsidR="000D2393" w:rsidRPr="000D2393" w14:paraId="33EA2E56" w14:textId="77777777" w:rsidTr="000903D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E5A17B" w14:textId="77777777" w:rsidR="000D2393" w:rsidRPr="000D2393" w:rsidRDefault="000D2393" w:rsidP="000903D1">
            <w:pPr>
              <w:spacing w:line="360" w:lineRule="auto"/>
              <w:jc w:val="center"/>
              <w:rPr>
                <w:rFonts w:eastAsia="Toppan Bunkyu Gothic Regular"/>
                <w:b w:val="0"/>
                <w:bCs w:val="0"/>
                <w:color w:val="000000"/>
              </w:rPr>
            </w:pPr>
            <w:r w:rsidRPr="000D2393">
              <w:rPr>
                <w:rFonts w:eastAsia="Toppan Bunkyu Gothic Regular"/>
                <w:color w:val="000000"/>
              </w:rPr>
              <w:t>Anxiety</w:t>
            </w:r>
          </w:p>
        </w:tc>
        <w:tc>
          <w:tcPr>
            <w:tcW w:w="0" w:type="auto"/>
            <w:vAlign w:val="center"/>
            <w:hideMark/>
          </w:tcPr>
          <w:p w14:paraId="6470C466" w14:textId="77777777" w:rsidR="000D2393" w:rsidRPr="000D2393" w:rsidRDefault="000D2393" w:rsidP="000903D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oppan Bunkyu Gothic Regular"/>
                <w:color w:val="000000"/>
              </w:rPr>
            </w:pPr>
            <w:r w:rsidRPr="000D2393">
              <w:rPr>
                <w:rFonts w:eastAsia="Toppan Bunkyu Gothic Regular"/>
                <w:color w:val="000000"/>
              </w:rPr>
              <w:t>-801.7</w:t>
            </w:r>
          </w:p>
        </w:tc>
        <w:tc>
          <w:tcPr>
            <w:tcW w:w="0" w:type="auto"/>
            <w:vAlign w:val="center"/>
            <w:hideMark/>
          </w:tcPr>
          <w:p w14:paraId="552B594A" w14:textId="77777777" w:rsidR="000D2393" w:rsidRPr="000D2393" w:rsidRDefault="000D2393" w:rsidP="000903D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oppan Bunkyu Gothic Regular"/>
                <w:color w:val="000000"/>
              </w:rPr>
            </w:pPr>
            <w:r w:rsidRPr="000D2393">
              <w:rPr>
                <w:rFonts w:eastAsia="Toppan Bunkyu Gothic Regular"/>
                <w:color w:val="000000"/>
              </w:rPr>
              <w:t>-782.6</w:t>
            </w:r>
          </w:p>
        </w:tc>
        <w:tc>
          <w:tcPr>
            <w:tcW w:w="0" w:type="auto"/>
            <w:vAlign w:val="center"/>
            <w:hideMark/>
          </w:tcPr>
          <w:p w14:paraId="7B0D5CB9" w14:textId="77777777" w:rsidR="000D2393" w:rsidRPr="000D2393" w:rsidRDefault="000D2393" w:rsidP="000903D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oppan Bunkyu Gothic Regular"/>
                <w:color w:val="000000"/>
              </w:rPr>
            </w:pPr>
            <w:r w:rsidRPr="000D2393">
              <w:rPr>
                <w:rFonts w:eastAsia="Toppan Bunkyu Gothic Regular"/>
                <w:color w:val="000000"/>
              </w:rPr>
              <w:t>-19.08</w:t>
            </w:r>
          </w:p>
        </w:tc>
        <w:tc>
          <w:tcPr>
            <w:tcW w:w="0" w:type="auto"/>
            <w:vAlign w:val="center"/>
            <w:hideMark/>
          </w:tcPr>
          <w:p w14:paraId="4AAB142D" w14:textId="77777777" w:rsidR="000D2393" w:rsidRPr="000D2393" w:rsidRDefault="000D2393" w:rsidP="000903D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oppan Bunkyu Gothic Regular"/>
                <w:color w:val="000000"/>
              </w:rPr>
            </w:pPr>
            <w:r w:rsidRPr="000D2393">
              <w:rPr>
                <w:rFonts w:eastAsia="Toppan Bunkyu Gothic Regular"/>
                <w:color w:val="000000"/>
              </w:rPr>
              <w:t>6.27</w:t>
            </w:r>
          </w:p>
        </w:tc>
        <w:tc>
          <w:tcPr>
            <w:tcW w:w="0" w:type="auto"/>
            <w:vAlign w:val="center"/>
            <w:hideMark/>
          </w:tcPr>
          <w:p w14:paraId="2031DCA3" w14:textId="77777777" w:rsidR="000D2393" w:rsidRPr="000D2393" w:rsidRDefault="000D2393" w:rsidP="000903D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oppan Bunkyu Gothic Regular"/>
                <w:color w:val="000000"/>
              </w:rPr>
            </w:pPr>
            <w:r w:rsidRPr="000D2393">
              <w:rPr>
                <w:rFonts w:eastAsia="Toppan Bunkyu Gothic Regular"/>
                <w:color w:val="000000"/>
              </w:rPr>
              <w:t>ANCOVA</w:t>
            </w:r>
          </w:p>
        </w:tc>
      </w:tr>
      <w:tr w:rsidR="000D2393" w:rsidRPr="000D2393" w14:paraId="2E0C2166" w14:textId="77777777" w:rsidTr="000903D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0059E8" w14:textId="77777777" w:rsidR="000D2393" w:rsidRPr="000D2393" w:rsidRDefault="000D2393" w:rsidP="000903D1">
            <w:pPr>
              <w:spacing w:line="360" w:lineRule="auto"/>
              <w:jc w:val="center"/>
              <w:rPr>
                <w:rFonts w:eastAsia="Toppan Bunkyu Gothic Regular"/>
                <w:color w:val="000000"/>
              </w:rPr>
            </w:pPr>
            <w:r w:rsidRPr="000D2393">
              <w:rPr>
                <w:rFonts w:eastAsia="Toppan Bunkyu Gothic Regular"/>
                <w:color w:val="000000"/>
              </w:rPr>
              <w:t>Depression</w:t>
            </w:r>
          </w:p>
        </w:tc>
        <w:tc>
          <w:tcPr>
            <w:tcW w:w="0" w:type="auto"/>
            <w:vAlign w:val="center"/>
            <w:hideMark/>
          </w:tcPr>
          <w:p w14:paraId="3A85E9C1" w14:textId="77777777" w:rsidR="000D2393" w:rsidRPr="000D2393" w:rsidRDefault="000D2393" w:rsidP="000903D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oppan Bunkyu Gothic Regular"/>
                <w:color w:val="000000"/>
              </w:rPr>
            </w:pPr>
            <w:r w:rsidRPr="000D2393">
              <w:rPr>
                <w:rFonts w:eastAsia="Toppan Bunkyu Gothic Regular"/>
                <w:color w:val="000000"/>
              </w:rPr>
              <w:t>-629.2</w:t>
            </w:r>
          </w:p>
        </w:tc>
        <w:tc>
          <w:tcPr>
            <w:tcW w:w="0" w:type="auto"/>
            <w:vAlign w:val="center"/>
            <w:hideMark/>
          </w:tcPr>
          <w:p w14:paraId="3E656E1A" w14:textId="77777777" w:rsidR="000D2393" w:rsidRPr="000D2393" w:rsidRDefault="000D2393" w:rsidP="000903D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oppan Bunkyu Gothic Regular"/>
                <w:color w:val="000000"/>
              </w:rPr>
            </w:pPr>
            <w:r w:rsidRPr="000D2393">
              <w:rPr>
                <w:rFonts w:eastAsia="Toppan Bunkyu Gothic Regular"/>
                <w:color w:val="000000"/>
              </w:rPr>
              <w:t>-616.5</w:t>
            </w:r>
          </w:p>
        </w:tc>
        <w:tc>
          <w:tcPr>
            <w:tcW w:w="0" w:type="auto"/>
            <w:vAlign w:val="center"/>
            <w:hideMark/>
          </w:tcPr>
          <w:p w14:paraId="543D9EE1" w14:textId="77777777" w:rsidR="000D2393" w:rsidRPr="000D2393" w:rsidRDefault="000D2393" w:rsidP="000903D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oppan Bunkyu Gothic Regular"/>
                <w:color w:val="000000"/>
              </w:rPr>
            </w:pPr>
            <w:r w:rsidRPr="000D2393">
              <w:rPr>
                <w:rFonts w:eastAsia="Toppan Bunkyu Gothic Regular"/>
                <w:color w:val="000000"/>
              </w:rPr>
              <w:t>-12.75</w:t>
            </w:r>
          </w:p>
        </w:tc>
        <w:tc>
          <w:tcPr>
            <w:tcW w:w="0" w:type="auto"/>
            <w:vAlign w:val="center"/>
            <w:hideMark/>
          </w:tcPr>
          <w:p w14:paraId="5B0509DC" w14:textId="77777777" w:rsidR="000D2393" w:rsidRPr="000D2393" w:rsidRDefault="000D2393" w:rsidP="000903D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oppan Bunkyu Gothic Regular"/>
                <w:color w:val="000000"/>
              </w:rPr>
            </w:pPr>
            <w:r w:rsidRPr="000D2393">
              <w:rPr>
                <w:rFonts w:eastAsia="Toppan Bunkyu Gothic Regular"/>
                <w:color w:val="000000"/>
              </w:rPr>
              <w:t>5.22</w:t>
            </w:r>
          </w:p>
        </w:tc>
        <w:tc>
          <w:tcPr>
            <w:tcW w:w="0" w:type="auto"/>
            <w:vAlign w:val="center"/>
            <w:hideMark/>
          </w:tcPr>
          <w:p w14:paraId="6B581AE1" w14:textId="77777777" w:rsidR="000D2393" w:rsidRPr="000D2393" w:rsidRDefault="000D2393" w:rsidP="000903D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oppan Bunkyu Gothic Regular"/>
                <w:color w:val="000000"/>
              </w:rPr>
            </w:pPr>
            <w:r w:rsidRPr="000D2393">
              <w:rPr>
                <w:rFonts w:eastAsia="Toppan Bunkyu Gothic Regular"/>
                <w:color w:val="000000"/>
              </w:rPr>
              <w:t>ANCOVA</w:t>
            </w:r>
          </w:p>
        </w:tc>
      </w:tr>
      <w:tr w:rsidR="000D2393" w:rsidRPr="000D2393" w14:paraId="017D9BF9" w14:textId="77777777" w:rsidTr="000903D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6A230B" w14:textId="77777777" w:rsidR="000D2393" w:rsidRPr="000D2393" w:rsidRDefault="000D2393" w:rsidP="000903D1">
            <w:pPr>
              <w:spacing w:line="360" w:lineRule="auto"/>
              <w:jc w:val="center"/>
              <w:rPr>
                <w:rFonts w:eastAsia="Toppan Bunkyu Gothic Regular"/>
                <w:color w:val="000000"/>
              </w:rPr>
            </w:pPr>
            <w:r w:rsidRPr="000D2393">
              <w:rPr>
                <w:rFonts w:eastAsia="Toppan Bunkyu Gothic Regular"/>
                <w:color w:val="000000"/>
              </w:rPr>
              <w:t>Emotion</w:t>
            </w:r>
          </w:p>
        </w:tc>
        <w:tc>
          <w:tcPr>
            <w:tcW w:w="0" w:type="auto"/>
            <w:vAlign w:val="center"/>
            <w:hideMark/>
          </w:tcPr>
          <w:p w14:paraId="5CCF206E" w14:textId="77777777" w:rsidR="000D2393" w:rsidRPr="000D2393" w:rsidRDefault="000D2393" w:rsidP="000903D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oppan Bunkyu Gothic Regular"/>
                <w:color w:val="000000"/>
              </w:rPr>
            </w:pPr>
            <w:r w:rsidRPr="000D2393">
              <w:rPr>
                <w:rFonts w:eastAsia="Toppan Bunkyu Gothic Regular"/>
                <w:color w:val="000000"/>
              </w:rPr>
              <w:t>-704.2</w:t>
            </w:r>
          </w:p>
        </w:tc>
        <w:tc>
          <w:tcPr>
            <w:tcW w:w="0" w:type="auto"/>
            <w:vAlign w:val="center"/>
            <w:hideMark/>
          </w:tcPr>
          <w:p w14:paraId="111C0816" w14:textId="77777777" w:rsidR="000D2393" w:rsidRPr="000D2393" w:rsidRDefault="000D2393" w:rsidP="000903D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oppan Bunkyu Gothic Regular"/>
                <w:color w:val="000000"/>
              </w:rPr>
            </w:pPr>
            <w:r w:rsidRPr="000D2393">
              <w:rPr>
                <w:rFonts w:eastAsia="Toppan Bunkyu Gothic Regular"/>
                <w:color w:val="000000"/>
              </w:rPr>
              <w:t>-692.0</w:t>
            </w:r>
          </w:p>
        </w:tc>
        <w:tc>
          <w:tcPr>
            <w:tcW w:w="0" w:type="auto"/>
            <w:vAlign w:val="center"/>
            <w:hideMark/>
          </w:tcPr>
          <w:p w14:paraId="7B6EEB96" w14:textId="77777777" w:rsidR="000D2393" w:rsidRPr="000D2393" w:rsidRDefault="000D2393" w:rsidP="000903D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oppan Bunkyu Gothic Regular"/>
                <w:color w:val="000000"/>
              </w:rPr>
            </w:pPr>
            <w:r w:rsidRPr="000D2393">
              <w:rPr>
                <w:rFonts w:eastAsia="Toppan Bunkyu Gothic Regular"/>
                <w:color w:val="000000"/>
              </w:rPr>
              <w:t>-12.17</w:t>
            </w:r>
          </w:p>
        </w:tc>
        <w:tc>
          <w:tcPr>
            <w:tcW w:w="0" w:type="auto"/>
            <w:vAlign w:val="center"/>
            <w:hideMark/>
          </w:tcPr>
          <w:p w14:paraId="6950D127" w14:textId="77777777" w:rsidR="000D2393" w:rsidRPr="000D2393" w:rsidRDefault="000D2393" w:rsidP="000903D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oppan Bunkyu Gothic Regular"/>
                <w:color w:val="000000"/>
              </w:rPr>
            </w:pPr>
            <w:r w:rsidRPr="000D2393">
              <w:rPr>
                <w:rFonts w:eastAsia="Toppan Bunkyu Gothic Regular"/>
                <w:color w:val="000000"/>
              </w:rPr>
              <w:t>5.15</w:t>
            </w:r>
          </w:p>
        </w:tc>
        <w:tc>
          <w:tcPr>
            <w:tcW w:w="0" w:type="auto"/>
            <w:vAlign w:val="center"/>
            <w:hideMark/>
          </w:tcPr>
          <w:p w14:paraId="5C74A227" w14:textId="77777777" w:rsidR="000D2393" w:rsidRPr="000D2393" w:rsidRDefault="000D2393" w:rsidP="000903D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oppan Bunkyu Gothic Regular"/>
                <w:color w:val="000000"/>
              </w:rPr>
            </w:pPr>
            <w:r w:rsidRPr="000D2393">
              <w:rPr>
                <w:rFonts w:eastAsia="Toppan Bunkyu Gothic Regular"/>
                <w:color w:val="000000"/>
              </w:rPr>
              <w:t>ANCOVA</w:t>
            </w:r>
          </w:p>
        </w:tc>
      </w:tr>
    </w:tbl>
    <w:p w14:paraId="1E86B7C0" w14:textId="41B2671D" w:rsidR="002024AE" w:rsidRDefault="002024AE" w:rsidP="00E37F7F">
      <w:pPr>
        <w:pStyle w:val="Heading1"/>
        <w:numPr>
          <w:ilvl w:val="0"/>
          <w:numId w:val="1"/>
        </w:numPr>
        <w:spacing w:line="360" w:lineRule="auto"/>
        <w:jc w:val="both"/>
      </w:pPr>
      <w:r>
        <w:lastRenderedPageBreak/>
        <w:t>MCMC Diagnostics</w:t>
      </w:r>
      <w:r>
        <w:tab/>
      </w:r>
    </w:p>
    <w:p w14:paraId="7B172637" w14:textId="01B097A1" w:rsidR="00E37F7F" w:rsidRPr="000903D1" w:rsidRDefault="000903D1" w:rsidP="000903D1">
      <w:pPr>
        <w:spacing w:line="360" w:lineRule="auto"/>
        <w:jc w:val="both"/>
      </w:pPr>
      <w:r w:rsidRPr="000903D1">
        <w:drawing>
          <wp:inline distT="0" distB="0" distL="0" distR="0" wp14:anchorId="06B06376" wp14:editId="32D071F5">
            <wp:extent cx="5943600" cy="3110865"/>
            <wp:effectExtent l="0" t="0" r="0" b="635"/>
            <wp:docPr id="82113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32907" name=""/>
                    <pic:cNvPicPr/>
                  </pic:nvPicPr>
                  <pic:blipFill>
                    <a:blip r:embed="rId8"/>
                    <a:stretch>
                      <a:fillRect/>
                    </a:stretch>
                  </pic:blipFill>
                  <pic:spPr>
                    <a:xfrm>
                      <a:off x="0" y="0"/>
                      <a:ext cx="5943600" cy="3110865"/>
                    </a:xfrm>
                    <a:prstGeom prst="rect">
                      <a:avLst/>
                    </a:prstGeom>
                  </pic:spPr>
                </pic:pic>
              </a:graphicData>
            </a:graphic>
          </wp:inline>
        </w:drawing>
      </w:r>
    </w:p>
    <w:p w14:paraId="31270159" w14:textId="55F88B90" w:rsidR="00E37F7F" w:rsidRPr="00E37F7F" w:rsidRDefault="002A1DB5" w:rsidP="00E37F7F">
      <w:pPr>
        <w:spacing w:line="276" w:lineRule="auto"/>
        <w:jc w:val="center"/>
        <w:rPr>
          <w:b/>
          <w:bCs/>
        </w:rPr>
      </w:pPr>
      <w:r w:rsidRPr="00E37F7F">
        <w:rPr>
          <w:b/>
          <w:bCs/>
        </w:rPr>
        <w:t xml:space="preserve">Table </w:t>
      </w:r>
      <w:r w:rsidR="00D17843">
        <w:rPr>
          <w:b/>
          <w:bCs/>
        </w:rPr>
        <w:t>3</w:t>
      </w:r>
      <w:r w:rsidRPr="00E37F7F">
        <w:rPr>
          <w:b/>
          <w:bCs/>
        </w:rPr>
        <w:t xml:space="preserve">. MCMC </w:t>
      </w:r>
      <w:r w:rsidR="00721653">
        <w:rPr>
          <w:b/>
          <w:bCs/>
        </w:rPr>
        <w:t>C</w:t>
      </w:r>
      <w:r w:rsidRPr="00E37F7F">
        <w:rPr>
          <w:b/>
          <w:bCs/>
        </w:rPr>
        <w:t xml:space="preserve">onvergence </w:t>
      </w:r>
      <w:r w:rsidR="00721653">
        <w:rPr>
          <w:b/>
          <w:bCs/>
        </w:rPr>
        <w:t>D</w:t>
      </w:r>
      <w:r w:rsidRPr="00E37F7F">
        <w:rPr>
          <w:b/>
          <w:bCs/>
        </w:rPr>
        <w:t>iagnostics</w:t>
      </w:r>
      <w:r w:rsidR="00E37F7F">
        <w:rPr>
          <w:b/>
          <w:bCs/>
        </w:rPr>
        <w:t xml:space="preserve"> – </w:t>
      </w:r>
      <w:r w:rsidR="000903D1">
        <w:rPr>
          <w:b/>
          <w:bCs/>
        </w:rPr>
        <w:t>ANCOVA</w:t>
      </w:r>
      <w:r w:rsidRPr="00E37F7F">
        <w:rPr>
          <w:b/>
          <w:bCs/>
        </w:rPr>
        <w:t xml:space="preserve"> </w:t>
      </w:r>
      <w:r w:rsidR="00721653">
        <w:rPr>
          <w:b/>
          <w:bCs/>
        </w:rPr>
        <w:t>M</w:t>
      </w:r>
      <w:r w:rsidRPr="00E37F7F">
        <w:rPr>
          <w:b/>
          <w:bCs/>
        </w:rPr>
        <w:t>odels.</w:t>
      </w:r>
    </w:p>
    <w:tbl>
      <w:tblPr>
        <w:tblStyle w:val="GridTable1Light"/>
        <w:tblW w:w="0" w:type="auto"/>
        <w:tblLook w:val="04A0" w:firstRow="1" w:lastRow="0" w:firstColumn="1" w:lastColumn="0" w:noHBand="0" w:noVBand="1"/>
      </w:tblPr>
      <w:tblGrid>
        <w:gridCol w:w="2490"/>
        <w:gridCol w:w="2414"/>
        <w:gridCol w:w="1394"/>
        <w:gridCol w:w="1768"/>
        <w:gridCol w:w="1284"/>
      </w:tblGrid>
      <w:tr w:rsidR="000903D1" w:rsidRPr="000903D1" w14:paraId="2E3A2848" w14:textId="77777777" w:rsidTr="000903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4F136" w14:textId="77777777" w:rsidR="002A1DB5" w:rsidRPr="002A1DB5" w:rsidRDefault="002A1DB5" w:rsidP="00E37F7F">
            <w:pPr>
              <w:spacing w:line="276" w:lineRule="auto"/>
              <w:jc w:val="both"/>
              <w:rPr>
                <w:color w:val="000000"/>
              </w:rPr>
            </w:pPr>
            <w:r w:rsidRPr="002A1DB5">
              <w:rPr>
                <w:color w:val="000000"/>
              </w:rPr>
              <w:t>Outcome</w:t>
            </w:r>
          </w:p>
        </w:tc>
        <w:tc>
          <w:tcPr>
            <w:tcW w:w="0" w:type="auto"/>
            <w:hideMark/>
          </w:tcPr>
          <w:p w14:paraId="7B9664E7" w14:textId="77777777" w:rsidR="002A1DB5" w:rsidRPr="002A1DB5" w:rsidRDefault="002A1DB5" w:rsidP="00E37F7F">
            <w:pPr>
              <w:spacing w:line="276" w:lineRule="auto"/>
              <w:jc w:val="both"/>
              <w:cnfStyle w:val="100000000000" w:firstRow="1" w:lastRow="0" w:firstColumn="0" w:lastColumn="0" w:oddVBand="0" w:evenVBand="0" w:oddHBand="0" w:evenHBand="0" w:firstRowFirstColumn="0" w:firstRowLastColumn="0" w:lastRowFirstColumn="0" w:lastRowLastColumn="0"/>
              <w:rPr>
                <w:color w:val="000000"/>
              </w:rPr>
            </w:pPr>
            <w:r w:rsidRPr="002A1DB5">
              <w:rPr>
                <w:color w:val="000000"/>
              </w:rPr>
              <w:t>Parameter</w:t>
            </w:r>
          </w:p>
        </w:tc>
        <w:tc>
          <w:tcPr>
            <w:tcW w:w="0" w:type="auto"/>
            <w:hideMark/>
          </w:tcPr>
          <w:p w14:paraId="53A9EC46" w14:textId="3D1DA419" w:rsidR="002A1DB5" w:rsidRPr="002A1DB5" w:rsidRDefault="003A6F17" w:rsidP="00E37F7F">
            <w:pPr>
              <w:spacing w:line="276" w:lineRule="auto"/>
              <w:jc w:val="both"/>
              <w:cnfStyle w:val="100000000000" w:firstRow="1" w:lastRow="0" w:firstColumn="0" w:lastColumn="0" w:oddVBand="0" w:evenVBand="0" w:oddHBand="0" w:evenHBand="0" w:firstRowFirstColumn="0" w:firstRowLastColumn="0" w:lastRowFirstColumn="0" w:lastRowLastColumn="0"/>
              <w:rPr>
                <w:color w:val="000000"/>
              </w:rPr>
            </w:pPr>
            <m:oMathPara>
              <m:oMathParaPr>
                <m:jc m:val="left"/>
              </m:oMathParaPr>
              <m:oMath>
                <m:acc>
                  <m:accPr>
                    <m:ctrlPr>
                      <w:rPr>
                        <w:rFonts w:ascii="Cambria Math" w:hAnsi="Cambria Math"/>
                      </w:rPr>
                    </m:ctrlPr>
                  </m:accPr>
                  <m:e>
                    <m:r>
                      <m:rPr>
                        <m:sty m:val="bi"/>
                      </m:rPr>
                      <w:rPr>
                        <w:rFonts w:ascii="Cambria Math" w:hAnsi="Cambria Math"/>
                      </w:rPr>
                      <m:t>R</m:t>
                    </m:r>
                  </m:e>
                </m:acc>
              </m:oMath>
            </m:oMathPara>
          </w:p>
        </w:tc>
        <w:tc>
          <w:tcPr>
            <w:tcW w:w="0" w:type="auto"/>
            <w:hideMark/>
          </w:tcPr>
          <w:p w14:paraId="38DA2B19" w14:textId="208BB222" w:rsidR="002A1DB5" w:rsidRPr="002A1DB5" w:rsidRDefault="003A6F17" w:rsidP="00E37F7F">
            <w:pPr>
              <w:spacing w:line="276" w:lineRule="auto"/>
              <w:jc w:val="both"/>
              <w:cnfStyle w:val="100000000000" w:firstRow="1" w:lastRow="0" w:firstColumn="0" w:lastColumn="0" w:oddVBand="0" w:evenVBand="0" w:oddHBand="0" w:evenHBand="0" w:firstRowFirstColumn="0" w:firstRowLastColumn="0" w:lastRowFirstColumn="0" w:lastRowLastColumn="0"/>
              <w:rPr>
                <w:color w:val="000000"/>
              </w:rPr>
            </w:pPr>
            <m:oMath>
              <m:acc>
                <m:accPr>
                  <m:ctrlPr>
                    <w:rPr>
                      <w:rFonts w:ascii="Cambria Math" w:hAnsi="Cambria Math"/>
                    </w:rPr>
                  </m:ctrlPr>
                </m:accPr>
                <m:e>
                  <m:r>
                    <m:rPr>
                      <m:sty m:val="bi"/>
                    </m:rPr>
                    <w:rPr>
                      <w:rFonts w:ascii="Cambria Math" w:hAnsi="Cambria Math"/>
                    </w:rPr>
                    <m:t>R</m:t>
                  </m:r>
                </m:e>
              </m:acc>
            </m:oMath>
            <w:r w:rsidR="002A1DB5" w:rsidRPr="002A1DB5">
              <w:rPr>
                <w:color w:val="000000"/>
              </w:rPr>
              <w:t xml:space="preserve"> (UCI)</w:t>
            </w:r>
          </w:p>
        </w:tc>
        <w:tc>
          <w:tcPr>
            <w:tcW w:w="0" w:type="auto"/>
            <w:hideMark/>
          </w:tcPr>
          <w:p w14:paraId="24B4269D" w14:textId="77777777" w:rsidR="002A1DB5" w:rsidRPr="002A1DB5" w:rsidRDefault="002A1DB5" w:rsidP="00E37F7F">
            <w:pPr>
              <w:spacing w:line="276" w:lineRule="auto"/>
              <w:jc w:val="both"/>
              <w:cnfStyle w:val="100000000000" w:firstRow="1" w:lastRow="0" w:firstColumn="0" w:lastColumn="0" w:oddVBand="0" w:evenVBand="0" w:oddHBand="0" w:evenHBand="0" w:firstRowFirstColumn="0" w:firstRowLastColumn="0" w:lastRowFirstColumn="0" w:lastRowLastColumn="0"/>
              <w:rPr>
                <w:color w:val="000000"/>
              </w:rPr>
            </w:pPr>
            <w:r w:rsidRPr="002A1DB5">
              <w:rPr>
                <w:color w:val="000000"/>
              </w:rPr>
              <w:t>ESS</w:t>
            </w:r>
          </w:p>
        </w:tc>
      </w:tr>
      <w:tr w:rsidR="000903D1" w:rsidRPr="000903D1" w14:paraId="00D58E88" w14:textId="77777777" w:rsidTr="000903D1">
        <w:tc>
          <w:tcPr>
            <w:cnfStyle w:val="001000000000" w:firstRow="0" w:lastRow="0" w:firstColumn="1" w:lastColumn="0" w:oddVBand="0" w:evenVBand="0" w:oddHBand="0" w:evenHBand="0" w:firstRowFirstColumn="0" w:firstRowLastColumn="0" w:lastRowFirstColumn="0" w:lastRowLastColumn="0"/>
            <w:tcW w:w="0" w:type="auto"/>
            <w:hideMark/>
          </w:tcPr>
          <w:p w14:paraId="0828246E" w14:textId="77777777" w:rsidR="000903D1" w:rsidRPr="002A1DB5" w:rsidRDefault="000903D1" w:rsidP="000903D1">
            <w:pPr>
              <w:spacing w:line="276" w:lineRule="auto"/>
              <w:jc w:val="both"/>
              <w:rPr>
                <w:color w:val="000000"/>
              </w:rPr>
            </w:pPr>
            <w:r w:rsidRPr="002A1DB5">
              <w:rPr>
                <w:color w:val="000000"/>
              </w:rPr>
              <w:t>Anxiety</w:t>
            </w:r>
          </w:p>
        </w:tc>
        <w:tc>
          <w:tcPr>
            <w:tcW w:w="0" w:type="auto"/>
            <w:hideMark/>
          </w:tcPr>
          <w:p w14:paraId="070A5460" w14:textId="7877A980"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m:oMathPara>
              <m:oMathParaPr>
                <m:jc m:val="left"/>
              </m:oMathParaPr>
              <m:oMath>
                <m:sSub>
                  <m:sSubPr>
                    <m:ctrlPr>
                      <w:rPr>
                        <w:rFonts w:ascii="Cambria Math" w:hAnsi="Cambria Math"/>
                        <w:i/>
                      </w:rPr>
                    </m:ctrlPr>
                  </m:sSubPr>
                  <m:e>
                    <m:r>
                      <w:rPr>
                        <w:rFonts w:ascii="Cambria Math" w:hAnsi="Cambria Math"/>
                      </w:rPr>
                      <m:t>β</m:t>
                    </m:r>
                  </m:e>
                  <m:sub>
                    <m:r>
                      <m:rPr>
                        <m:nor/>
                      </m:rPr>
                      <w:rPr>
                        <w:i/>
                      </w:rPr>
                      <m:t>trt</m:t>
                    </m:r>
                  </m:sub>
                </m:sSub>
              </m:oMath>
            </m:oMathPara>
          </w:p>
        </w:tc>
        <w:tc>
          <w:tcPr>
            <w:tcW w:w="0" w:type="auto"/>
            <w:hideMark/>
          </w:tcPr>
          <w:p w14:paraId="32539422" w14:textId="5934EBA2"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1.005</w:t>
            </w:r>
          </w:p>
        </w:tc>
        <w:tc>
          <w:tcPr>
            <w:tcW w:w="0" w:type="auto"/>
            <w:hideMark/>
          </w:tcPr>
          <w:p w14:paraId="4B66AB1A" w14:textId="6AFC9725"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1.016</w:t>
            </w:r>
          </w:p>
        </w:tc>
        <w:tc>
          <w:tcPr>
            <w:tcW w:w="0" w:type="auto"/>
            <w:hideMark/>
          </w:tcPr>
          <w:p w14:paraId="3CBEDA9D" w14:textId="56997661"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4547</w:t>
            </w:r>
          </w:p>
        </w:tc>
      </w:tr>
      <w:tr w:rsidR="000903D1" w:rsidRPr="000903D1" w14:paraId="6DF2EE49" w14:textId="77777777" w:rsidTr="000903D1">
        <w:tc>
          <w:tcPr>
            <w:cnfStyle w:val="001000000000" w:firstRow="0" w:lastRow="0" w:firstColumn="1" w:lastColumn="0" w:oddVBand="0" w:evenVBand="0" w:oddHBand="0" w:evenHBand="0" w:firstRowFirstColumn="0" w:firstRowLastColumn="0" w:lastRowFirstColumn="0" w:lastRowLastColumn="0"/>
            <w:tcW w:w="0" w:type="auto"/>
            <w:hideMark/>
          </w:tcPr>
          <w:p w14:paraId="1BC9B48D" w14:textId="77777777" w:rsidR="000903D1" w:rsidRPr="002A1DB5" w:rsidRDefault="000903D1" w:rsidP="000903D1">
            <w:pPr>
              <w:spacing w:line="276" w:lineRule="auto"/>
              <w:jc w:val="both"/>
              <w:rPr>
                <w:color w:val="000000"/>
              </w:rPr>
            </w:pPr>
            <w:r w:rsidRPr="002A1DB5">
              <w:rPr>
                <w:color w:val="000000"/>
              </w:rPr>
              <w:t>Anxiety</w:t>
            </w:r>
          </w:p>
        </w:tc>
        <w:tc>
          <w:tcPr>
            <w:tcW w:w="0" w:type="auto"/>
            <w:hideMark/>
          </w:tcPr>
          <w:p w14:paraId="24204118" w14:textId="1E21E311"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m:oMathPara>
              <m:oMathParaPr>
                <m:jc m:val="left"/>
              </m:oMathParaPr>
              <m:oMath>
                <m:sSub>
                  <m:sSubPr>
                    <m:ctrlPr>
                      <w:rPr>
                        <w:rFonts w:ascii="Cambria Math" w:hAnsi="Cambria Math"/>
                      </w:rPr>
                    </m:ctrlPr>
                  </m:sSubPr>
                  <m:e>
                    <m:r>
                      <w:rPr>
                        <w:rFonts w:ascii="Cambria Math" w:hAnsi="Cambria Math"/>
                      </w:rPr>
                      <m:t>γ</m:t>
                    </m:r>
                  </m:e>
                  <m:sub>
                    <m:r>
                      <w:rPr>
                        <w:rFonts w:ascii="Cambria Math" w:hAnsi="Cambria Math"/>
                      </w:rPr>
                      <m:t>2</m:t>
                    </m:r>
                  </m:sub>
                </m:sSub>
              </m:oMath>
            </m:oMathPara>
          </w:p>
        </w:tc>
        <w:tc>
          <w:tcPr>
            <w:tcW w:w="0" w:type="auto"/>
            <w:hideMark/>
          </w:tcPr>
          <w:p w14:paraId="046DF9B8" w14:textId="5B10D9C3"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1.005</w:t>
            </w:r>
          </w:p>
        </w:tc>
        <w:tc>
          <w:tcPr>
            <w:tcW w:w="0" w:type="auto"/>
            <w:hideMark/>
          </w:tcPr>
          <w:p w14:paraId="0A11C853" w14:textId="10DE00A0"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1.016</w:t>
            </w:r>
          </w:p>
        </w:tc>
        <w:tc>
          <w:tcPr>
            <w:tcW w:w="0" w:type="auto"/>
            <w:hideMark/>
          </w:tcPr>
          <w:p w14:paraId="673EC405" w14:textId="0F3EA9EE"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5330</w:t>
            </w:r>
          </w:p>
        </w:tc>
      </w:tr>
      <w:tr w:rsidR="000903D1" w:rsidRPr="000903D1" w14:paraId="6DE9A25E" w14:textId="77777777" w:rsidTr="000903D1">
        <w:tc>
          <w:tcPr>
            <w:cnfStyle w:val="001000000000" w:firstRow="0" w:lastRow="0" w:firstColumn="1" w:lastColumn="0" w:oddVBand="0" w:evenVBand="0" w:oddHBand="0" w:evenHBand="0" w:firstRowFirstColumn="0" w:firstRowLastColumn="0" w:lastRowFirstColumn="0" w:lastRowLastColumn="0"/>
            <w:tcW w:w="0" w:type="auto"/>
            <w:hideMark/>
          </w:tcPr>
          <w:p w14:paraId="1BAC4F6C" w14:textId="77777777" w:rsidR="000903D1" w:rsidRPr="002A1DB5" w:rsidRDefault="000903D1" w:rsidP="000903D1">
            <w:pPr>
              <w:spacing w:line="276" w:lineRule="auto"/>
              <w:jc w:val="both"/>
              <w:rPr>
                <w:color w:val="000000"/>
              </w:rPr>
            </w:pPr>
            <w:r w:rsidRPr="002A1DB5">
              <w:rPr>
                <w:color w:val="000000"/>
              </w:rPr>
              <w:t>Anxiety</w:t>
            </w:r>
          </w:p>
        </w:tc>
        <w:tc>
          <w:tcPr>
            <w:tcW w:w="0" w:type="auto"/>
            <w:hideMark/>
          </w:tcPr>
          <w:p w14:paraId="3C6FA11A" w14:textId="7CFDA617"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m:oMathPara>
              <m:oMathParaPr>
                <m:jc m:val="left"/>
              </m:oMathParaPr>
              <m:oMath>
                <m:sSub>
                  <m:sSubPr>
                    <m:ctrlPr>
                      <w:rPr>
                        <w:rFonts w:ascii="Cambria Math" w:hAnsi="Cambria Math"/>
                      </w:rPr>
                    </m:ctrlPr>
                  </m:sSubPr>
                  <m:e>
                    <m:r>
                      <w:rPr>
                        <w:rFonts w:ascii="Cambria Math" w:hAnsi="Cambria Math"/>
                      </w:rPr>
                      <m:t>γ</m:t>
                    </m:r>
                  </m:e>
                  <m:sub>
                    <m:r>
                      <w:rPr>
                        <w:rFonts w:ascii="Cambria Math" w:hAnsi="Cambria Math"/>
                      </w:rPr>
                      <m:t>3</m:t>
                    </m:r>
                  </m:sub>
                </m:sSub>
              </m:oMath>
            </m:oMathPara>
          </w:p>
        </w:tc>
        <w:tc>
          <w:tcPr>
            <w:tcW w:w="0" w:type="auto"/>
            <w:hideMark/>
          </w:tcPr>
          <w:p w14:paraId="21842522" w14:textId="7A63100C"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1.009</w:t>
            </w:r>
          </w:p>
        </w:tc>
        <w:tc>
          <w:tcPr>
            <w:tcW w:w="0" w:type="auto"/>
            <w:hideMark/>
          </w:tcPr>
          <w:p w14:paraId="65915627" w14:textId="4C1195AE"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1.026</w:t>
            </w:r>
          </w:p>
        </w:tc>
        <w:tc>
          <w:tcPr>
            <w:tcW w:w="0" w:type="auto"/>
            <w:hideMark/>
          </w:tcPr>
          <w:p w14:paraId="13A2F6FA" w14:textId="20356EA1"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4275</w:t>
            </w:r>
          </w:p>
        </w:tc>
      </w:tr>
      <w:tr w:rsidR="000903D1" w:rsidRPr="000903D1" w14:paraId="56104D6B" w14:textId="77777777" w:rsidTr="000903D1">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3706F047" w14:textId="77777777" w:rsidR="000903D1" w:rsidRPr="002A1DB5" w:rsidRDefault="000903D1" w:rsidP="000903D1">
            <w:pPr>
              <w:spacing w:line="276" w:lineRule="auto"/>
              <w:jc w:val="both"/>
              <w:rPr>
                <w:color w:val="000000"/>
              </w:rPr>
            </w:pPr>
            <w:r w:rsidRPr="002A1DB5">
              <w:rPr>
                <w:color w:val="000000"/>
              </w:rPr>
              <w:t>Anxiety</w:t>
            </w:r>
          </w:p>
        </w:tc>
        <w:tc>
          <w:tcPr>
            <w:tcW w:w="0" w:type="auto"/>
            <w:shd w:val="clear" w:color="auto" w:fill="FAE2D5" w:themeFill="accent2" w:themeFillTint="33"/>
            <w:hideMark/>
          </w:tcPr>
          <w:p w14:paraId="203C9E80" w14:textId="3406A02B"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m:oMathPara>
              <m:oMathParaPr>
                <m:jc m:val="left"/>
              </m:oMathParaPr>
              <m:oMath>
                <m:sSub>
                  <m:sSubPr>
                    <m:ctrlPr>
                      <w:rPr>
                        <w:rFonts w:ascii="Cambria Math" w:hAnsi="Cambria Math"/>
                      </w:rPr>
                    </m:ctrlPr>
                  </m:sSubPr>
                  <m:e>
                    <m:r>
                      <w:rPr>
                        <w:rFonts w:ascii="Cambria Math" w:hAnsi="Cambria Math"/>
                      </w:rPr>
                      <m:t>μ</m:t>
                    </m:r>
                  </m:e>
                  <m:sub>
                    <m:r>
                      <w:rPr>
                        <w:rFonts w:ascii="Cambria Math" w:hAnsi="Cambria Math"/>
                      </w:rPr>
                      <m:t>0</m:t>
                    </m:r>
                  </m:sub>
                </m:sSub>
              </m:oMath>
            </m:oMathPara>
          </w:p>
        </w:tc>
        <w:tc>
          <w:tcPr>
            <w:tcW w:w="0" w:type="auto"/>
            <w:shd w:val="clear" w:color="auto" w:fill="FAE2D5" w:themeFill="accent2" w:themeFillTint="33"/>
            <w:hideMark/>
          </w:tcPr>
          <w:p w14:paraId="50994BA6" w14:textId="3E472C4E"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1.019</w:t>
            </w:r>
          </w:p>
        </w:tc>
        <w:tc>
          <w:tcPr>
            <w:tcW w:w="0" w:type="auto"/>
            <w:shd w:val="clear" w:color="auto" w:fill="FAE2D5" w:themeFill="accent2" w:themeFillTint="33"/>
            <w:hideMark/>
          </w:tcPr>
          <w:p w14:paraId="23F7ED28" w14:textId="5E724B86"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1.055</w:t>
            </w:r>
          </w:p>
        </w:tc>
        <w:tc>
          <w:tcPr>
            <w:tcW w:w="0" w:type="auto"/>
            <w:shd w:val="clear" w:color="auto" w:fill="FAE2D5" w:themeFill="accent2" w:themeFillTint="33"/>
            <w:hideMark/>
          </w:tcPr>
          <w:p w14:paraId="7951E6CD" w14:textId="5B21CF79"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1423</w:t>
            </w:r>
          </w:p>
        </w:tc>
      </w:tr>
      <w:tr w:rsidR="000903D1" w:rsidRPr="000903D1" w14:paraId="6E694FF2" w14:textId="77777777" w:rsidTr="000903D1">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4A76E0F4" w14:textId="77777777" w:rsidR="000903D1" w:rsidRPr="002A1DB5" w:rsidRDefault="000903D1" w:rsidP="000903D1">
            <w:pPr>
              <w:spacing w:line="276" w:lineRule="auto"/>
              <w:jc w:val="both"/>
              <w:rPr>
                <w:color w:val="000000"/>
              </w:rPr>
            </w:pPr>
            <w:r w:rsidRPr="002A1DB5">
              <w:rPr>
                <w:color w:val="000000"/>
              </w:rPr>
              <w:t>Anxiety</w:t>
            </w:r>
          </w:p>
        </w:tc>
        <w:tc>
          <w:tcPr>
            <w:tcW w:w="0" w:type="auto"/>
            <w:shd w:val="clear" w:color="auto" w:fill="FAE2D5" w:themeFill="accent2" w:themeFillTint="33"/>
            <w:hideMark/>
          </w:tcPr>
          <w:p w14:paraId="4DA0DDBC" w14:textId="396DEF08"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m:oMathPara>
              <m:oMathParaPr>
                <m:jc m:val="left"/>
              </m:oMathParaPr>
              <m:oMath>
                <m:sSub>
                  <m:sSubPr>
                    <m:ctrlPr>
                      <w:rPr>
                        <w:rFonts w:ascii="Cambria Math" w:hAnsi="Cambria Math"/>
                      </w:rPr>
                    </m:ctrlPr>
                  </m:sSubPr>
                  <m:e>
                    <m:r>
                      <w:rPr>
                        <w:rFonts w:ascii="Cambria Math" w:hAnsi="Cambria Math"/>
                      </w:rPr>
                      <m:t>σ</m:t>
                    </m:r>
                  </m:e>
                  <m:sub>
                    <m:r>
                      <w:rPr>
                        <w:rFonts w:ascii="Cambria Math" w:hAnsi="Cambria Math"/>
                      </w:rPr>
                      <m:t>cluster</m:t>
                    </m:r>
                  </m:sub>
                </m:sSub>
              </m:oMath>
            </m:oMathPara>
          </w:p>
        </w:tc>
        <w:tc>
          <w:tcPr>
            <w:tcW w:w="0" w:type="auto"/>
            <w:shd w:val="clear" w:color="auto" w:fill="FAE2D5" w:themeFill="accent2" w:themeFillTint="33"/>
            <w:hideMark/>
          </w:tcPr>
          <w:p w14:paraId="2F67611F" w14:textId="05F5984A"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1.017</w:t>
            </w:r>
          </w:p>
        </w:tc>
        <w:tc>
          <w:tcPr>
            <w:tcW w:w="0" w:type="auto"/>
            <w:shd w:val="clear" w:color="auto" w:fill="FAE2D5" w:themeFill="accent2" w:themeFillTint="33"/>
            <w:hideMark/>
          </w:tcPr>
          <w:p w14:paraId="2C05A45A" w14:textId="62BBAA19"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1.043</w:t>
            </w:r>
          </w:p>
        </w:tc>
        <w:tc>
          <w:tcPr>
            <w:tcW w:w="0" w:type="auto"/>
            <w:shd w:val="clear" w:color="auto" w:fill="FAE2D5" w:themeFill="accent2" w:themeFillTint="33"/>
            <w:hideMark/>
          </w:tcPr>
          <w:p w14:paraId="6F7ECC1C" w14:textId="538FC8A2"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481</w:t>
            </w:r>
          </w:p>
        </w:tc>
      </w:tr>
      <w:tr w:rsidR="000903D1" w:rsidRPr="000903D1" w14:paraId="5AFE4A3B" w14:textId="77777777" w:rsidTr="000903D1">
        <w:tc>
          <w:tcPr>
            <w:cnfStyle w:val="001000000000" w:firstRow="0" w:lastRow="0" w:firstColumn="1" w:lastColumn="0" w:oddVBand="0" w:evenVBand="0" w:oddHBand="0" w:evenHBand="0" w:firstRowFirstColumn="0" w:firstRowLastColumn="0" w:lastRowFirstColumn="0" w:lastRowLastColumn="0"/>
            <w:tcW w:w="0" w:type="auto"/>
            <w:hideMark/>
          </w:tcPr>
          <w:p w14:paraId="592CE7D4" w14:textId="77777777" w:rsidR="000903D1" w:rsidRPr="002A1DB5" w:rsidRDefault="000903D1" w:rsidP="000903D1">
            <w:pPr>
              <w:spacing w:line="276" w:lineRule="auto"/>
              <w:jc w:val="both"/>
              <w:rPr>
                <w:color w:val="000000"/>
              </w:rPr>
            </w:pPr>
            <w:r w:rsidRPr="002A1DB5">
              <w:rPr>
                <w:color w:val="000000"/>
              </w:rPr>
              <w:t>Anxiety</w:t>
            </w:r>
          </w:p>
        </w:tc>
        <w:tc>
          <w:tcPr>
            <w:tcW w:w="0" w:type="auto"/>
            <w:hideMark/>
          </w:tcPr>
          <w:p w14:paraId="2AC6A608" w14:textId="42B30E97"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m:oMathPara>
              <m:oMathParaPr>
                <m:jc m:val="left"/>
              </m:oMathParaPr>
              <m:oMath>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[1:50]</m:t>
                    </m:r>
                  </m:sub>
                </m:sSub>
              </m:oMath>
            </m:oMathPara>
          </w:p>
        </w:tc>
        <w:tc>
          <w:tcPr>
            <w:tcW w:w="0" w:type="auto"/>
            <w:hideMark/>
          </w:tcPr>
          <w:p w14:paraId="21DC379B" w14:textId="73F5EB39"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1.006</w:t>
            </w:r>
          </w:p>
        </w:tc>
        <w:tc>
          <w:tcPr>
            <w:tcW w:w="0" w:type="auto"/>
            <w:hideMark/>
          </w:tcPr>
          <w:p w14:paraId="184DFFB7" w14:textId="103F2D6B"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1.019</w:t>
            </w:r>
          </w:p>
        </w:tc>
        <w:tc>
          <w:tcPr>
            <w:tcW w:w="0" w:type="auto"/>
            <w:hideMark/>
          </w:tcPr>
          <w:p w14:paraId="0357D11F" w14:textId="34D50002"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4682</w:t>
            </w:r>
          </w:p>
        </w:tc>
      </w:tr>
      <w:tr w:rsidR="000903D1" w:rsidRPr="000903D1" w14:paraId="575F70F8" w14:textId="77777777" w:rsidTr="000903D1">
        <w:tc>
          <w:tcPr>
            <w:cnfStyle w:val="001000000000" w:firstRow="0" w:lastRow="0" w:firstColumn="1" w:lastColumn="0" w:oddVBand="0" w:evenVBand="0" w:oddHBand="0" w:evenHBand="0" w:firstRowFirstColumn="0" w:firstRowLastColumn="0" w:lastRowFirstColumn="0" w:lastRowLastColumn="0"/>
            <w:tcW w:w="0" w:type="auto"/>
            <w:hideMark/>
          </w:tcPr>
          <w:p w14:paraId="6872AD92" w14:textId="77777777" w:rsidR="000903D1" w:rsidRPr="002A1DB5" w:rsidRDefault="000903D1" w:rsidP="000903D1">
            <w:pPr>
              <w:spacing w:line="276" w:lineRule="auto"/>
              <w:jc w:val="both"/>
              <w:rPr>
                <w:color w:val="000000"/>
              </w:rPr>
            </w:pPr>
            <w:r w:rsidRPr="002A1DB5">
              <w:rPr>
                <w:color w:val="000000"/>
              </w:rPr>
              <w:t>Depression</w:t>
            </w:r>
          </w:p>
        </w:tc>
        <w:tc>
          <w:tcPr>
            <w:tcW w:w="0" w:type="auto"/>
            <w:hideMark/>
          </w:tcPr>
          <w:p w14:paraId="1279A8B6" w14:textId="1F1FFFDB"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m:oMathPara>
              <m:oMathParaPr>
                <m:jc m:val="left"/>
              </m:oMathParaPr>
              <m:oMath>
                <m:sSub>
                  <m:sSubPr>
                    <m:ctrlPr>
                      <w:rPr>
                        <w:rFonts w:ascii="Cambria Math" w:hAnsi="Cambria Math"/>
                        <w:i/>
                      </w:rPr>
                    </m:ctrlPr>
                  </m:sSubPr>
                  <m:e>
                    <m:r>
                      <w:rPr>
                        <w:rFonts w:ascii="Cambria Math" w:hAnsi="Cambria Math"/>
                      </w:rPr>
                      <m:t>β</m:t>
                    </m:r>
                  </m:e>
                  <m:sub>
                    <m:r>
                      <m:rPr>
                        <m:nor/>
                      </m:rPr>
                      <w:rPr>
                        <w:i/>
                      </w:rPr>
                      <m:t>trt</m:t>
                    </m:r>
                  </m:sub>
                </m:sSub>
              </m:oMath>
            </m:oMathPara>
          </w:p>
        </w:tc>
        <w:tc>
          <w:tcPr>
            <w:tcW w:w="0" w:type="auto"/>
            <w:hideMark/>
          </w:tcPr>
          <w:p w14:paraId="604A0C75" w14:textId="1E6B7E9E"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1.001</w:t>
            </w:r>
          </w:p>
        </w:tc>
        <w:tc>
          <w:tcPr>
            <w:tcW w:w="0" w:type="auto"/>
            <w:hideMark/>
          </w:tcPr>
          <w:p w14:paraId="13CCC324" w14:textId="2121EDBE"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1.004</w:t>
            </w:r>
          </w:p>
        </w:tc>
        <w:tc>
          <w:tcPr>
            <w:tcW w:w="0" w:type="auto"/>
            <w:hideMark/>
          </w:tcPr>
          <w:p w14:paraId="3166FF5D" w14:textId="7C078554"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2666</w:t>
            </w:r>
          </w:p>
        </w:tc>
      </w:tr>
      <w:tr w:rsidR="000903D1" w:rsidRPr="000903D1" w14:paraId="0E3A2CD5" w14:textId="77777777" w:rsidTr="000903D1">
        <w:tc>
          <w:tcPr>
            <w:cnfStyle w:val="001000000000" w:firstRow="0" w:lastRow="0" w:firstColumn="1" w:lastColumn="0" w:oddVBand="0" w:evenVBand="0" w:oddHBand="0" w:evenHBand="0" w:firstRowFirstColumn="0" w:firstRowLastColumn="0" w:lastRowFirstColumn="0" w:lastRowLastColumn="0"/>
            <w:tcW w:w="0" w:type="auto"/>
            <w:hideMark/>
          </w:tcPr>
          <w:p w14:paraId="037DC04D" w14:textId="77777777" w:rsidR="000903D1" w:rsidRPr="002A1DB5" w:rsidRDefault="000903D1" w:rsidP="000903D1">
            <w:pPr>
              <w:spacing w:line="276" w:lineRule="auto"/>
              <w:jc w:val="both"/>
              <w:rPr>
                <w:color w:val="000000"/>
              </w:rPr>
            </w:pPr>
            <w:r w:rsidRPr="002A1DB5">
              <w:rPr>
                <w:color w:val="000000"/>
              </w:rPr>
              <w:t>Depression</w:t>
            </w:r>
          </w:p>
        </w:tc>
        <w:tc>
          <w:tcPr>
            <w:tcW w:w="0" w:type="auto"/>
            <w:hideMark/>
          </w:tcPr>
          <w:p w14:paraId="0A46F429" w14:textId="101388C8"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m:oMathPara>
              <m:oMathParaPr>
                <m:jc m:val="left"/>
              </m:oMathParaPr>
              <m:oMath>
                <m:sSub>
                  <m:sSubPr>
                    <m:ctrlPr>
                      <w:rPr>
                        <w:rFonts w:ascii="Cambria Math" w:hAnsi="Cambria Math"/>
                      </w:rPr>
                    </m:ctrlPr>
                  </m:sSubPr>
                  <m:e>
                    <m:r>
                      <w:rPr>
                        <w:rFonts w:ascii="Cambria Math" w:hAnsi="Cambria Math"/>
                      </w:rPr>
                      <m:t>γ</m:t>
                    </m:r>
                  </m:e>
                  <m:sub>
                    <m:r>
                      <w:rPr>
                        <w:rFonts w:ascii="Cambria Math" w:hAnsi="Cambria Math"/>
                      </w:rPr>
                      <m:t>2</m:t>
                    </m:r>
                  </m:sub>
                </m:sSub>
              </m:oMath>
            </m:oMathPara>
          </w:p>
        </w:tc>
        <w:tc>
          <w:tcPr>
            <w:tcW w:w="0" w:type="auto"/>
            <w:hideMark/>
          </w:tcPr>
          <w:p w14:paraId="5F11867C" w14:textId="675ACBD6"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1.001</w:t>
            </w:r>
          </w:p>
        </w:tc>
        <w:tc>
          <w:tcPr>
            <w:tcW w:w="0" w:type="auto"/>
            <w:hideMark/>
          </w:tcPr>
          <w:p w14:paraId="3E6128BA" w14:textId="4B72E5CA"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1.004</w:t>
            </w:r>
          </w:p>
        </w:tc>
        <w:tc>
          <w:tcPr>
            <w:tcW w:w="0" w:type="auto"/>
            <w:hideMark/>
          </w:tcPr>
          <w:p w14:paraId="30642DB4" w14:textId="4A1C5DD6"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3423</w:t>
            </w:r>
          </w:p>
        </w:tc>
      </w:tr>
      <w:tr w:rsidR="000903D1" w:rsidRPr="000903D1" w14:paraId="2ABE4B3F" w14:textId="77777777" w:rsidTr="000903D1">
        <w:tc>
          <w:tcPr>
            <w:cnfStyle w:val="001000000000" w:firstRow="0" w:lastRow="0" w:firstColumn="1" w:lastColumn="0" w:oddVBand="0" w:evenVBand="0" w:oddHBand="0" w:evenHBand="0" w:firstRowFirstColumn="0" w:firstRowLastColumn="0" w:lastRowFirstColumn="0" w:lastRowLastColumn="0"/>
            <w:tcW w:w="0" w:type="auto"/>
            <w:hideMark/>
          </w:tcPr>
          <w:p w14:paraId="68D6A412" w14:textId="77777777" w:rsidR="000903D1" w:rsidRPr="002A1DB5" w:rsidRDefault="000903D1" w:rsidP="000903D1">
            <w:pPr>
              <w:spacing w:line="276" w:lineRule="auto"/>
              <w:jc w:val="both"/>
              <w:rPr>
                <w:color w:val="000000"/>
              </w:rPr>
            </w:pPr>
            <w:r w:rsidRPr="002A1DB5">
              <w:rPr>
                <w:color w:val="000000"/>
              </w:rPr>
              <w:t>Depression</w:t>
            </w:r>
          </w:p>
        </w:tc>
        <w:tc>
          <w:tcPr>
            <w:tcW w:w="0" w:type="auto"/>
            <w:hideMark/>
          </w:tcPr>
          <w:p w14:paraId="0D612554" w14:textId="0702C72C"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m:oMathPara>
              <m:oMathParaPr>
                <m:jc m:val="left"/>
              </m:oMathParaPr>
              <m:oMath>
                <m:sSub>
                  <m:sSubPr>
                    <m:ctrlPr>
                      <w:rPr>
                        <w:rFonts w:ascii="Cambria Math" w:hAnsi="Cambria Math"/>
                      </w:rPr>
                    </m:ctrlPr>
                  </m:sSubPr>
                  <m:e>
                    <m:r>
                      <w:rPr>
                        <w:rFonts w:ascii="Cambria Math" w:hAnsi="Cambria Math"/>
                      </w:rPr>
                      <m:t>γ</m:t>
                    </m:r>
                  </m:e>
                  <m:sub>
                    <m:r>
                      <w:rPr>
                        <w:rFonts w:ascii="Cambria Math" w:hAnsi="Cambria Math"/>
                      </w:rPr>
                      <m:t>3</m:t>
                    </m:r>
                  </m:sub>
                </m:sSub>
              </m:oMath>
            </m:oMathPara>
          </w:p>
        </w:tc>
        <w:tc>
          <w:tcPr>
            <w:tcW w:w="0" w:type="auto"/>
            <w:hideMark/>
          </w:tcPr>
          <w:p w14:paraId="62E1B25F" w14:textId="2C160957"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1.002</w:t>
            </w:r>
          </w:p>
        </w:tc>
        <w:tc>
          <w:tcPr>
            <w:tcW w:w="0" w:type="auto"/>
            <w:hideMark/>
          </w:tcPr>
          <w:p w14:paraId="0784E2D2" w14:textId="644ECD67"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1.005</w:t>
            </w:r>
          </w:p>
        </w:tc>
        <w:tc>
          <w:tcPr>
            <w:tcW w:w="0" w:type="auto"/>
            <w:hideMark/>
          </w:tcPr>
          <w:p w14:paraId="0FFE52E1" w14:textId="0CD22877"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3174</w:t>
            </w:r>
          </w:p>
        </w:tc>
      </w:tr>
      <w:tr w:rsidR="000903D1" w:rsidRPr="000903D1" w14:paraId="370D77E6" w14:textId="77777777" w:rsidTr="000903D1">
        <w:tc>
          <w:tcPr>
            <w:cnfStyle w:val="001000000000" w:firstRow="0" w:lastRow="0" w:firstColumn="1" w:lastColumn="0" w:oddVBand="0" w:evenVBand="0" w:oddHBand="0" w:evenHBand="0" w:firstRowFirstColumn="0" w:firstRowLastColumn="0" w:lastRowFirstColumn="0" w:lastRowLastColumn="0"/>
            <w:tcW w:w="0" w:type="auto"/>
            <w:hideMark/>
          </w:tcPr>
          <w:p w14:paraId="61596AA1" w14:textId="77777777" w:rsidR="000903D1" w:rsidRPr="002A1DB5" w:rsidRDefault="000903D1" w:rsidP="000903D1">
            <w:pPr>
              <w:spacing w:line="276" w:lineRule="auto"/>
              <w:jc w:val="both"/>
              <w:rPr>
                <w:color w:val="000000"/>
              </w:rPr>
            </w:pPr>
            <w:r w:rsidRPr="002A1DB5">
              <w:rPr>
                <w:color w:val="000000"/>
              </w:rPr>
              <w:t>Depression</w:t>
            </w:r>
          </w:p>
        </w:tc>
        <w:tc>
          <w:tcPr>
            <w:tcW w:w="0" w:type="auto"/>
            <w:hideMark/>
          </w:tcPr>
          <w:p w14:paraId="3E5C8BEA" w14:textId="3BAAD087"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m:oMathPara>
              <m:oMathParaPr>
                <m:jc m:val="left"/>
              </m:oMathParaPr>
              <m:oMath>
                <m:sSub>
                  <m:sSubPr>
                    <m:ctrlPr>
                      <w:rPr>
                        <w:rFonts w:ascii="Cambria Math" w:hAnsi="Cambria Math"/>
                      </w:rPr>
                    </m:ctrlPr>
                  </m:sSubPr>
                  <m:e>
                    <m:r>
                      <w:rPr>
                        <w:rFonts w:ascii="Cambria Math" w:hAnsi="Cambria Math"/>
                      </w:rPr>
                      <m:t>μ</m:t>
                    </m:r>
                  </m:e>
                  <m:sub>
                    <m:r>
                      <w:rPr>
                        <w:rFonts w:ascii="Cambria Math" w:hAnsi="Cambria Math"/>
                      </w:rPr>
                      <m:t>0</m:t>
                    </m:r>
                  </m:sub>
                </m:sSub>
              </m:oMath>
            </m:oMathPara>
          </w:p>
        </w:tc>
        <w:tc>
          <w:tcPr>
            <w:tcW w:w="0" w:type="auto"/>
            <w:hideMark/>
          </w:tcPr>
          <w:p w14:paraId="7F705949" w14:textId="107F8455"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1.009</w:t>
            </w:r>
          </w:p>
        </w:tc>
        <w:tc>
          <w:tcPr>
            <w:tcW w:w="0" w:type="auto"/>
            <w:hideMark/>
          </w:tcPr>
          <w:p w14:paraId="141E3817" w14:textId="4D8254A1"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1.024</w:t>
            </w:r>
          </w:p>
        </w:tc>
        <w:tc>
          <w:tcPr>
            <w:tcW w:w="0" w:type="auto"/>
            <w:hideMark/>
          </w:tcPr>
          <w:p w14:paraId="665A737D" w14:textId="333E76B9"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638</w:t>
            </w:r>
          </w:p>
        </w:tc>
      </w:tr>
      <w:tr w:rsidR="000903D1" w:rsidRPr="000903D1" w14:paraId="2B846D62" w14:textId="77777777" w:rsidTr="000903D1">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1ABD8534" w14:textId="77777777" w:rsidR="000903D1" w:rsidRPr="002A1DB5" w:rsidRDefault="000903D1" w:rsidP="000903D1">
            <w:pPr>
              <w:spacing w:line="276" w:lineRule="auto"/>
              <w:jc w:val="both"/>
              <w:rPr>
                <w:color w:val="000000"/>
              </w:rPr>
            </w:pPr>
            <w:r w:rsidRPr="002A1DB5">
              <w:rPr>
                <w:color w:val="000000"/>
              </w:rPr>
              <w:t>Depression</w:t>
            </w:r>
          </w:p>
        </w:tc>
        <w:tc>
          <w:tcPr>
            <w:tcW w:w="0" w:type="auto"/>
            <w:shd w:val="clear" w:color="auto" w:fill="FAE2D5" w:themeFill="accent2" w:themeFillTint="33"/>
            <w:hideMark/>
          </w:tcPr>
          <w:p w14:paraId="73ABDCC7" w14:textId="6CF67E69"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m:oMathPara>
              <m:oMathParaPr>
                <m:jc m:val="left"/>
              </m:oMathParaPr>
              <m:oMath>
                <m:sSub>
                  <m:sSubPr>
                    <m:ctrlPr>
                      <w:rPr>
                        <w:rFonts w:ascii="Cambria Math" w:hAnsi="Cambria Math"/>
                      </w:rPr>
                    </m:ctrlPr>
                  </m:sSubPr>
                  <m:e>
                    <m:r>
                      <w:rPr>
                        <w:rFonts w:ascii="Cambria Math" w:hAnsi="Cambria Math"/>
                      </w:rPr>
                      <m:t>σ</m:t>
                    </m:r>
                  </m:e>
                  <m:sub>
                    <m:r>
                      <w:rPr>
                        <w:rFonts w:ascii="Cambria Math" w:hAnsi="Cambria Math"/>
                      </w:rPr>
                      <m:t>cluster</m:t>
                    </m:r>
                  </m:sub>
                </m:sSub>
              </m:oMath>
            </m:oMathPara>
          </w:p>
        </w:tc>
        <w:tc>
          <w:tcPr>
            <w:tcW w:w="0" w:type="auto"/>
            <w:shd w:val="clear" w:color="auto" w:fill="FAE2D5" w:themeFill="accent2" w:themeFillTint="33"/>
            <w:hideMark/>
          </w:tcPr>
          <w:p w14:paraId="2341A3AC" w14:textId="6239A5DB"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1.015</w:t>
            </w:r>
          </w:p>
        </w:tc>
        <w:tc>
          <w:tcPr>
            <w:tcW w:w="0" w:type="auto"/>
            <w:shd w:val="clear" w:color="auto" w:fill="FAE2D5" w:themeFill="accent2" w:themeFillTint="33"/>
            <w:hideMark/>
          </w:tcPr>
          <w:p w14:paraId="2830CE2F" w14:textId="0F2258F3"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1.044</w:t>
            </w:r>
          </w:p>
        </w:tc>
        <w:tc>
          <w:tcPr>
            <w:tcW w:w="0" w:type="auto"/>
            <w:shd w:val="clear" w:color="auto" w:fill="FAE2D5" w:themeFill="accent2" w:themeFillTint="33"/>
            <w:hideMark/>
          </w:tcPr>
          <w:p w14:paraId="7362AC99" w14:textId="2B04E160"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399</w:t>
            </w:r>
          </w:p>
        </w:tc>
      </w:tr>
      <w:tr w:rsidR="000903D1" w:rsidRPr="000903D1" w14:paraId="7F6BF731" w14:textId="77777777" w:rsidTr="000903D1">
        <w:tc>
          <w:tcPr>
            <w:cnfStyle w:val="001000000000" w:firstRow="0" w:lastRow="0" w:firstColumn="1" w:lastColumn="0" w:oddVBand="0" w:evenVBand="0" w:oddHBand="0" w:evenHBand="0" w:firstRowFirstColumn="0" w:firstRowLastColumn="0" w:lastRowFirstColumn="0" w:lastRowLastColumn="0"/>
            <w:tcW w:w="0" w:type="auto"/>
            <w:hideMark/>
          </w:tcPr>
          <w:p w14:paraId="12650F90" w14:textId="77777777" w:rsidR="000903D1" w:rsidRPr="002A1DB5" w:rsidRDefault="000903D1" w:rsidP="000903D1">
            <w:pPr>
              <w:spacing w:line="276" w:lineRule="auto"/>
              <w:jc w:val="both"/>
              <w:rPr>
                <w:color w:val="000000"/>
              </w:rPr>
            </w:pPr>
            <w:r w:rsidRPr="002A1DB5">
              <w:rPr>
                <w:color w:val="000000"/>
              </w:rPr>
              <w:t>Depression</w:t>
            </w:r>
          </w:p>
        </w:tc>
        <w:tc>
          <w:tcPr>
            <w:tcW w:w="0" w:type="auto"/>
            <w:hideMark/>
          </w:tcPr>
          <w:p w14:paraId="4A12BB50" w14:textId="4088BA32"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m:oMathPara>
              <m:oMathParaPr>
                <m:jc m:val="left"/>
              </m:oMathParaPr>
              <m:oMath>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[1:50]</m:t>
                    </m:r>
                  </m:sub>
                </m:sSub>
              </m:oMath>
            </m:oMathPara>
          </w:p>
        </w:tc>
        <w:tc>
          <w:tcPr>
            <w:tcW w:w="0" w:type="auto"/>
            <w:hideMark/>
          </w:tcPr>
          <w:p w14:paraId="4BA8C826" w14:textId="39F02C51"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1.004</w:t>
            </w:r>
          </w:p>
        </w:tc>
        <w:tc>
          <w:tcPr>
            <w:tcW w:w="0" w:type="auto"/>
            <w:hideMark/>
          </w:tcPr>
          <w:p w14:paraId="25133CB6" w14:textId="47B99A8D"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1.009</w:t>
            </w:r>
          </w:p>
        </w:tc>
        <w:tc>
          <w:tcPr>
            <w:tcW w:w="0" w:type="auto"/>
            <w:hideMark/>
          </w:tcPr>
          <w:p w14:paraId="6E0CE2F6" w14:textId="404602C7"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1787</w:t>
            </w:r>
          </w:p>
        </w:tc>
      </w:tr>
      <w:tr w:rsidR="000903D1" w:rsidRPr="000903D1" w14:paraId="5E2AB1A8" w14:textId="77777777" w:rsidTr="000903D1">
        <w:tc>
          <w:tcPr>
            <w:cnfStyle w:val="001000000000" w:firstRow="0" w:lastRow="0" w:firstColumn="1" w:lastColumn="0" w:oddVBand="0" w:evenVBand="0" w:oddHBand="0" w:evenHBand="0" w:firstRowFirstColumn="0" w:firstRowLastColumn="0" w:lastRowFirstColumn="0" w:lastRowLastColumn="0"/>
            <w:tcW w:w="0" w:type="auto"/>
            <w:hideMark/>
          </w:tcPr>
          <w:p w14:paraId="6BF70E5B" w14:textId="77777777" w:rsidR="000903D1" w:rsidRPr="002A1DB5" w:rsidRDefault="000903D1" w:rsidP="000903D1">
            <w:pPr>
              <w:spacing w:line="276" w:lineRule="auto"/>
              <w:jc w:val="both"/>
              <w:rPr>
                <w:color w:val="000000"/>
              </w:rPr>
            </w:pPr>
            <w:r w:rsidRPr="002A1DB5">
              <w:rPr>
                <w:color w:val="000000"/>
              </w:rPr>
              <w:t>Emotion</w:t>
            </w:r>
          </w:p>
        </w:tc>
        <w:tc>
          <w:tcPr>
            <w:tcW w:w="0" w:type="auto"/>
            <w:hideMark/>
          </w:tcPr>
          <w:p w14:paraId="7FEEA720" w14:textId="1354C733"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m:oMathPara>
              <m:oMathParaPr>
                <m:jc m:val="left"/>
              </m:oMathParaPr>
              <m:oMath>
                <m:sSub>
                  <m:sSubPr>
                    <m:ctrlPr>
                      <w:rPr>
                        <w:rFonts w:ascii="Cambria Math" w:hAnsi="Cambria Math"/>
                        <w:i/>
                      </w:rPr>
                    </m:ctrlPr>
                  </m:sSubPr>
                  <m:e>
                    <m:r>
                      <w:rPr>
                        <w:rFonts w:ascii="Cambria Math" w:hAnsi="Cambria Math"/>
                      </w:rPr>
                      <m:t>β</m:t>
                    </m:r>
                  </m:e>
                  <m:sub>
                    <m:r>
                      <m:rPr>
                        <m:nor/>
                      </m:rPr>
                      <w:rPr>
                        <w:i/>
                      </w:rPr>
                      <m:t>trt</m:t>
                    </m:r>
                  </m:sub>
                </m:sSub>
              </m:oMath>
            </m:oMathPara>
          </w:p>
        </w:tc>
        <w:tc>
          <w:tcPr>
            <w:tcW w:w="0" w:type="auto"/>
            <w:hideMark/>
          </w:tcPr>
          <w:p w14:paraId="018E7063" w14:textId="71419267"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1.000</w:t>
            </w:r>
          </w:p>
        </w:tc>
        <w:tc>
          <w:tcPr>
            <w:tcW w:w="0" w:type="auto"/>
            <w:hideMark/>
          </w:tcPr>
          <w:p w14:paraId="507A3FE2" w14:textId="6FA8E0F9"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1.001</w:t>
            </w:r>
          </w:p>
        </w:tc>
        <w:tc>
          <w:tcPr>
            <w:tcW w:w="0" w:type="auto"/>
            <w:hideMark/>
          </w:tcPr>
          <w:p w14:paraId="7CF1AA99" w14:textId="6AA47367"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2786</w:t>
            </w:r>
          </w:p>
        </w:tc>
      </w:tr>
      <w:tr w:rsidR="000903D1" w:rsidRPr="000903D1" w14:paraId="114546BD" w14:textId="77777777" w:rsidTr="000903D1">
        <w:tc>
          <w:tcPr>
            <w:cnfStyle w:val="001000000000" w:firstRow="0" w:lastRow="0" w:firstColumn="1" w:lastColumn="0" w:oddVBand="0" w:evenVBand="0" w:oddHBand="0" w:evenHBand="0" w:firstRowFirstColumn="0" w:firstRowLastColumn="0" w:lastRowFirstColumn="0" w:lastRowLastColumn="0"/>
            <w:tcW w:w="0" w:type="auto"/>
            <w:hideMark/>
          </w:tcPr>
          <w:p w14:paraId="26EE6076" w14:textId="77777777" w:rsidR="000903D1" w:rsidRPr="002A1DB5" w:rsidRDefault="000903D1" w:rsidP="000903D1">
            <w:pPr>
              <w:spacing w:line="276" w:lineRule="auto"/>
              <w:jc w:val="both"/>
              <w:rPr>
                <w:color w:val="000000"/>
              </w:rPr>
            </w:pPr>
            <w:r w:rsidRPr="002A1DB5">
              <w:rPr>
                <w:color w:val="000000"/>
              </w:rPr>
              <w:t>Emotion</w:t>
            </w:r>
          </w:p>
        </w:tc>
        <w:tc>
          <w:tcPr>
            <w:tcW w:w="0" w:type="auto"/>
            <w:hideMark/>
          </w:tcPr>
          <w:p w14:paraId="21F74DF5" w14:textId="61DDA7D5"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m:oMathPara>
              <m:oMathParaPr>
                <m:jc m:val="left"/>
              </m:oMathParaPr>
              <m:oMath>
                <m:sSub>
                  <m:sSubPr>
                    <m:ctrlPr>
                      <w:rPr>
                        <w:rFonts w:ascii="Cambria Math" w:hAnsi="Cambria Math"/>
                      </w:rPr>
                    </m:ctrlPr>
                  </m:sSubPr>
                  <m:e>
                    <m:r>
                      <w:rPr>
                        <w:rFonts w:ascii="Cambria Math" w:hAnsi="Cambria Math"/>
                      </w:rPr>
                      <m:t>γ</m:t>
                    </m:r>
                  </m:e>
                  <m:sub>
                    <m:r>
                      <w:rPr>
                        <w:rFonts w:ascii="Cambria Math" w:hAnsi="Cambria Math"/>
                      </w:rPr>
                      <m:t>2</m:t>
                    </m:r>
                  </m:sub>
                </m:sSub>
              </m:oMath>
            </m:oMathPara>
          </w:p>
        </w:tc>
        <w:tc>
          <w:tcPr>
            <w:tcW w:w="0" w:type="auto"/>
            <w:hideMark/>
          </w:tcPr>
          <w:p w14:paraId="27768799" w14:textId="19FBD159"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1.001</w:t>
            </w:r>
          </w:p>
        </w:tc>
        <w:tc>
          <w:tcPr>
            <w:tcW w:w="0" w:type="auto"/>
            <w:hideMark/>
          </w:tcPr>
          <w:p w14:paraId="093CB906" w14:textId="10B04CBA"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1.002</w:t>
            </w:r>
          </w:p>
        </w:tc>
        <w:tc>
          <w:tcPr>
            <w:tcW w:w="0" w:type="auto"/>
            <w:hideMark/>
          </w:tcPr>
          <w:p w14:paraId="7992D6BF" w14:textId="766D6249"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3197</w:t>
            </w:r>
          </w:p>
        </w:tc>
      </w:tr>
      <w:tr w:rsidR="000903D1" w:rsidRPr="000903D1" w14:paraId="0985D40E" w14:textId="77777777" w:rsidTr="000903D1">
        <w:tc>
          <w:tcPr>
            <w:cnfStyle w:val="001000000000" w:firstRow="0" w:lastRow="0" w:firstColumn="1" w:lastColumn="0" w:oddVBand="0" w:evenVBand="0" w:oddHBand="0" w:evenHBand="0" w:firstRowFirstColumn="0" w:firstRowLastColumn="0" w:lastRowFirstColumn="0" w:lastRowLastColumn="0"/>
            <w:tcW w:w="0" w:type="auto"/>
            <w:hideMark/>
          </w:tcPr>
          <w:p w14:paraId="29B782F9" w14:textId="77777777" w:rsidR="000903D1" w:rsidRPr="002A1DB5" w:rsidRDefault="000903D1" w:rsidP="000903D1">
            <w:pPr>
              <w:spacing w:line="276" w:lineRule="auto"/>
              <w:jc w:val="both"/>
              <w:rPr>
                <w:color w:val="000000"/>
              </w:rPr>
            </w:pPr>
            <w:r w:rsidRPr="002A1DB5">
              <w:rPr>
                <w:color w:val="000000"/>
              </w:rPr>
              <w:t>Emotion</w:t>
            </w:r>
          </w:p>
        </w:tc>
        <w:tc>
          <w:tcPr>
            <w:tcW w:w="0" w:type="auto"/>
            <w:hideMark/>
          </w:tcPr>
          <w:p w14:paraId="00285AC9" w14:textId="15A05196" w:rsidR="000903D1" w:rsidRPr="002A1DB5" w:rsidRDefault="000903D1" w:rsidP="000903D1">
            <w:pPr>
              <w:spacing w:line="276" w:lineRule="auto"/>
              <w:cnfStyle w:val="000000000000" w:firstRow="0" w:lastRow="0" w:firstColumn="0" w:lastColumn="0" w:oddVBand="0" w:evenVBand="0" w:oddHBand="0" w:evenHBand="0" w:firstRowFirstColumn="0" w:firstRowLastColumn="0" w:lastRowFirstColumn="0" w:lastRowLastColumn="0"/>
              <w:rPr>
                <w:color w:val="000000"/>
              </w:rPr>
            </w:pPr>
            <m:oMathPara>
              <m:oMathParaPr>
                <m:jc m:val="left"/>
              </m:oMathParaPr>
              <m:oMath>
                <m:sSub>
                  <m:sSubPr>
                    <m:ctrlPr>
                      <w:rPr>
                        <w:rFonts w:ascii="Cambria Math" w:hAnsi="Cambria Math"/>
                      </w:rPr>
                    </m:ctrlPr>
                  </m:sSubPr>
                  <m:e>
                    <m:r>
                      <w:rPr>
                        <w:rFonts w:ascii="Cambria Math" w:hAnsi="Cambria Math"/>
                      </w:rPr>
                      <m:t>γ</m:t>
                    </m:r>
                  </m:e>
                  <m:sub>
                    <m:r>
                      <w:rPr>
                        <w:rFonts w:ascii="Cambria Math" w:hAnsi="Cambria Math"/>
                      </w:rPr>
                      <m:t>3</m:t>
                    </m:r>
                  </m:sub>
                </m:sSub>
              </m:oMath>
            </m:oMathPara>
          </w:p>
        </w:tc>
        <w:tc>
          <w:tcPr>
            <w:tcW w:w="0" w:type="auto"/>
            <w:hideMark/>
          </w:tcPr>
          <w:p w14:paraId="272F79B5" w14:textId="5A3B3E06"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1.001</w:t>
            </w:r>
          </w:p>
        </w:tc>
        <w:tc>
          <w:tcPr>
            <w:tcW w:w="0" w:type="auto"/>
            <w:hideMark/>
          </w:tcPr>
          <w:p w14:paraId="635CE06E" w14:textId="52D88857"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1.002</w:t>
            </w:r>
          </w:p>
        </w:tc>
        <w:tc>
          <w:tcPr>
            <w:tcW w:w="0" w:type="auto"/>
            <w:hideMark/>
          </w:tcPr>
          <w:p w14:paraId="7D1AD5B7" w14:textId="2A4095FF"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3015</w:t>
            </w:r>
          </w:p>
        </w:tc>
      </w:tr>
      <w:tr w:rsidR="000903D1" w:rsidRPr="000903D1" w14:paraId="7ED11B76" w14:textId="77777777" w:rsidTr="000903D1">
        <w:tc>
          <w:tcPr>
            <w:cnfStyle w:val="001000000000" w:firstRow="0" w:lastRow="0" w:firstColumn="1" w:lastColumn="0" w:oddVBand="0" w:evenVBand="0" w:oddHBand="0" w:evenHBand="0" w:firstRowFirstColumn="0" w:firstRowLastColumn="0" w:lastRowFirstColumn="0" w:lastRowLastColumn="0"/>
            <w:tcW w:w="0" w:type="auto"/>
            <w:hideMark/>
          </w:tcPr>
          <w:p w14:paraId="6E24D940" w14:textId="77777777" w:rsidR="000903D1" w:rsidRPr="002A1DB5" w:rsidRDefault="000903D1" w:rsidP="000903D1">
            <w:pPr>
              <w:spacing w:line="276" w:lineRule="auto"/>
              <w:jc w:val="both"/>
              <w:rPr>
                <w:color w:val="000000"/>
              </w:rPr>
            </w:pPr>
            <w:r w:rsidRPr="002A1DB5">
              <w:rPr>
                <w:color w:val="000000"/>
              </w:rPr>
              <w:t>Emotion</w:t>
            </w:r>
          </w:p>
        </w:tc>
        <w:tc>
          <w:tcPr>
            <w:tcW w:w="0" w:type="auto"/>
            <w:hideMark/>
          </w:tcPr>
          <w:p w14:paraId="16AF66FC" w14:textId="15E0729F"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m:oMathPara>
              <m:oMathParaPr>
                <m:jc m:val="left"/>
              </m:oMathParaPr>
              <m:oMath>
                <m:sSub>
                  <m:sSubPr>
                    <m:ctrlPr>
                      <w:rPr>
                        <w:rFonts w:ascii="Cambria Math" w:hAnsi="Cambria Math"/>
                      </w:rPr>
                    </m:ctrlPr>
                  </m:sSubPr>
                  <m:e>
                    <m:r>
                      <w:rPr>
                        <w:rFonts w:ascii="Cambria Math" w:hAnsi="Cambria Math"/>
                      </w:rPr>
                      <m:t>μ</m:t>
                    </m:r>
                  </m:e>
                  <m:sub>
                    <m:r>
                      <w:rPr>
                        <w:rFonts w:ascii="Cambria Math" w:hAnsi="Cambria Math"/>
                      </w:rPr>
                      <m:t>0</m:t>
                    </m:r>
                  </m:sub>
                </m:sSub>
              </m:oMath>
            </m:oMathPara>
          </w:p>
        </w:tc>
        <w:tc>
          <w:tcPr>
            <w:tcW w:w="0" w:type="auto"/>
            <w:hideMark/>
          </w:tcPr>
          <w:p w14:paraId="620E9940" w14:textId="122A3BE4"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1.002</w:t>
            </w:r>
          </w:p>
        </w:tc>
        <w:tc>
          <w:tcPr>
            <w:tcW w:w="0" w:type="auto"/>
            <w:hideMark/>
          </w:tcPr>
          <w:p w14:paraId="651A25EE" w14:textId="655A600D"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1.006</w:t>
            </w:r>
          </w:p>
        </w:tc>
        <w:tc>
          <w:tcPr>
            <w:tcW w:w="0" w:type="auto"/>
            <w:hideMark/>
          </w:tcPr>
          <w:p w14:paraId="372E1B11" w14:textId="0FA85617"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654</w:t>
            </w:r>
          </w:p>
        </w:tc>
      </w:tr>
      <w:tr w:rsidR="000903D1" w:rsidRPr="000903D1" w14:paraId="58655856" w14:textId="77777777" w:rsidTr="000903D1">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hideMark/>
          </w:tcPr>
          <w:p w14:paraId="3717783A" w14:textId="77777777" w:rsidR="000903D1" w:rsidRPr="002A1DB5" w:rsidRDefault="000903D1" w:rsidP="000903D1">
            <w:pPr>
              <w:spacing w:line="276" w:lineRule="auto"/>
              <w:jc w:val="both"/>
              <w:rPr>
                <w:color w:val="000000"/>
              </w:rPr>
            </w:pPr>
            <w:r w:rsidRPr="002A1DB5">
              <w:rPr>
                <w:color w:val="000000"/>
              </w:rPr>
              <w:t>Emotion</w:t>
            </w:r>
          </w:p>
        </w:tc>
        <w:tc>
          <w:tcPr>
            <w:tcW w:w="0" w:type="auto"/>
            <w:shd w:val="clear" w:color="auto" w:fill="FAE2D5" w:themeFill="accent2" w:themeFillTint="33"/>
            <w:hideMark/>
          </w:tcPr>
          <w:p w14:paraId="1A6C1460" w14:textId="2DBF7DDD"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m:oMathPara>
              <m:oMathParaPr>
                <m:jc m:val="left"/>
              </m:oMathParaPr>
              <m:oMath>
                <m:sSub>
                  <m:sSubPr>
                    <m:ctrlPr>
                      <w:rPr>
                        <w:rFonts w:ascii="Cambria Math" w:hAnsi="Cambria Math"/>
                      </w:rPr>
                    </m:ctrlPr>
                  </m:sSubPr>
                  <m:e>
                    <m:r>
                      <w:rPr>
                        <w:rFonts w:ascii="Cambria Math" w:hAnsi="Cambria Math"/>
                      </w:rPr>
                      <m:t>σ</m:t>
                    </m:r>
                  </m:e>
                  <m:sub>
                    <m:r>
                      <w:rPr>
                        <w:rFonts w:ascii="Cambria Math" w:hAnsi="Cambria Math"/>
                      </w:rPr>
                      <m:t>cluster</m:t>
                    </m:r>
                  </m:sub>
                </m:sSub>
              </m:oMath>
            </m:oMathPara>
          </w:p>
        </w:tc>
        <w:tc>
          <w:tcPr>
            <w:tcW w:w="0" w:type="auto"/>
            <w:shd w:val="clear" w:color="auto" w:fill="FAE2D5" w:themeFill="accent2" w:themeFillTint="33"/>
            <w:hideMark/>
          </w:tcPr>
          <w:p w14:paraId="3F566F68" w14:textId="12CCED12"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1.012</w:t>
            </w:r>
          </w:p>
        </w:tc>
        <w:tc>
          <w:tcPr>
            <w:tcW w:w="0" w:type="auto"/>
            <w:shd w:val="clear" w:color="auto" w:fill="FAE2D5" w:themeFill="accent2" w:themeFillTint="33"/>
            <w:hideMark/>
          </w:tcPr>
          <w:p w14:paraId="71FCBC06" w14:textId="1ABC81B6"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1.036</w:t>
            </w:r>
          </w:p>
        </w:tc>
        <w:tc>
          <w:tcPr>
            <w:tcW w:w="0" w:type="auto"/>
            <w:shd w:val="clear" w:color="auto" w:fill="FAE2D5" w:themeFill="accent2" w:themeFillTint="33"/>
            <w:hideMark/>
          </w:tcPr>
          <w:p w14:paraId="07C62AD1" w14:textId="53BFEA25"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301</w:t>
            </w:r>
          </w:p>
        </w:tc>
      </w:tr>
      <w:tr w:rsidR="000903D1" w:rsidRPr="000903D1" w14:paraId="6C8F5436" w14:textId="77777777" w:rsidTr="000903D1">
        <w:tc>
          <w:tcPr>
            <w:cnfStyle w:val="001000000000" w:firstRow="0" w:lastRow="0" w:firstColumn="1" w:lastColumn="0" w:oddVBand="0" w:evenVBand="0" w:oddHBand="0" w:evenHBand="0" w:firstRowFirstColumn="0" w:firstRowLastColumn="0" w:lastRowFirstColumn="0" w:lastRowLastColumn="0"/>
            <w:tcW w:w="0" w:type="auto"/>
            <w:hideMark/>
          </w:tcPr>
          <w:p w14:paraId="42FAAEDD" w14:textId="77777777" w:rsidR="000903D1" w:rsidRPr="002A1DB5" w:rsidRDefault="000903D1" w:rsidP="000903D1">
            <w:pPr>
              <w:spacing w:line="276" w:lineRule="auto"/>
              <w:jc w:val="both"/>
              <w:rPr>
                <w:color w:val="000000"/>
              </w:rPr>
            </w:pPr>
            <w:r w:rsidRPr="002A1DB5">
              <w:rPr>
                <w:color w:val="000000"/>
              </w:rPr>
              <w:t>Emotion</w:t>
            </w:r>
          </w:p>
        </w:tc>
        <w:tc>
          <w:tcPr>
            <w:tcW w:w="0" w:type="auto"/>
            <w:hideMark/>
          </w:tcPr>
          <w:p w14:paraId="26132309" w14:textId="5AC247CD"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m:oMathPara>
              <m:oMathParaPr>
                <m:jc m:val="left"/>
              </m:oMathParaPr>
              <m:oMath>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[1:50]</m:t>
                    </m:r>
                  </m:sub>
                </m:sSub>
              </m:oMath>
            </m:oMathPara>
          </w:p>
        </w:tc>
        <w:tc>
          <w:tcPr>
            <w:tcW w:w="0" w:type="auto"/>
            <w:hideMark/>
          </w:tcPr>
          <w:p w14:paraId="4733E670" w14:textId="322C92BA"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1.002</w:t>
            </w:r>
          </w:p>
        </w:tc>
        <w:tc>
          <w:tcPr>
            <w:tcW w:w="0" w:type="auto"/>
            <w:hideMark/>
          </w:tcPr>
          <w:p w14:paraId="2D1C2C2F" w14:textId="3E68AD5A"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1.006</w:t>
            </w:r>
          </w:p>
        </w:tc>
        <w:tc>
          <w:tcPr>
            <w:tcW w:w="0" w:type="auto"/>
            <w:hideMark/>
          </w:tcPr>
          <w:p w14:paraId="2CD7C438" w14:textId="37D26745" w:rsidR="000903D1" w:rsidRPr="002A1DB5" w:rsidRDefault="000903D1" w:rsidP="000903D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rPr>
            </w:pPr>
            <w:r w:rsidRPr="000903D1">
              <w:rPr>
                <w:color w:val="000000"/>
              </w:rPr>
              <w:t>1577</w:t>
            </w:r>
          </w:p>
        </w:tc>
      </w:tr>
      <w:tr w:rsidR="00E37F7F" w:rsidRPr="000903D1" w14:paraId="489A210D" w14:textId="77777777" w:rsidTr="000903D1">
        <w:tc>
          <w:tcPr>
            <w:cnfStyle w:val="001000000000" w:firstRow="0" w:lastRow="0" w:firstColumn="1" w:lastColumn="0" w:oddVBand="0" w:evenVBand="0" w:oddHBand="0" w:evenHBand="0" w:firstRowFirstColumn="0" w:firstRowLastColumn="0" w:lastRowFirstColumn="0" w:lastRowLastColumn="0"/>
            <w:tcW w:w="0" w:type="auto"/>
            <w:gridSpan w:val="5"/>
            <w:hideMark/>
          </w:tcPr>
          <w:p w14:paraId="212CA3F1" w14:textId="787B91C4" w:rsidR="00E37F7F" w:rsidRPr="002A1DB5" w:rsidRDefault="00E37F7F" w:rsidP="00E37F7F">
            <w:pPr>
              <w:spacing w:line="276" w:lineRule="auto"/>
              <w:jc w:val="both"/>
              <w:rPr>
                <w:b w:val="0"/>
                <w:bCs w:val="0"/>
              </w:rPr>
            </w:pPr>
            <w:r w:rsidRPr="002A1DB5">
              <w:rPr>
                <w:b w:val="0"/>
                <w:bCs w:val="0"/>
                <w:i/>
                <w:iCs/>
                <w:color w:val="000000"/>
              </w:rPr>
              <w:lastRenderedPageBreak/>
              <w:t>Note:</w:t>
            </w:r>
            <w:r w:rsidRPr="002A1DB5">
              <w:rPr>
                <w:b w:val="0"/>
                <w:bCs w:val="0"/>
                <w:color w:val="000000"/>
              </w:rPr>
              <w:t> For</w:t>
            </w:r>
            <w:r w:rsidR="003A6F17" w:rsidRPr="000903D1">
              <w:rPr>
                <w:b w:val="0"/>
                <w:bCs w:val="0"/>
                <w:color w:val="000000"/>
              </w:rPr>
              <w:t xml:space="preserve"> </w:t>
            </w:r>
            <m:oMath>
              <m:sSub>
                <m:sSubPr>
                  <m:ctrlPr>
                    <w:rPr>
                      <w:rFonts w:ascii="Cambria Math" w:hAnsi="Cambria Math"/>
                      <w:b w:val="0"/>
                      <w:bCs w:val="0"/>
                      <w:i/>
                      <w:color w:val="000000"/>
                    </w:rPr>
                  </m:ctrlPr>
                </m:sSubPr>
                <m:e>
                  <m:r>
                    <m:rPr>
                      <m:sty m:val="bi"/>
                    </m:rPr>
                    <w:rPr>
                      <w:rFonts w:ascii="Cambria Math" w:hAnsi="Cambria Math"/>
                      <w:color w:val="000000"/>
                    </w:rPr>
                    <m:t>α</m:t>
                  </m:r>
                </m:e>
                <m:sub>
                  <m:r>
                    <m:rPr>
                      <m:sty m:val="bi"/>
                    </m:rPr>
                    <w:rPr>
                      <w:rFonts w:ascii="Cambria Math" w:hAnsi="Cambria Math"/>
                      <w:color w:val="000000"/>
                    </w:rPr>
                    <m:t>[1:50]</m:t>
                  </m:r>
                </m:sub>
              </m:sSub>
            </m:oMath>
            <w:r w:rsidRPr="002A1DB5">
              <w:rPr>
                <w:b w:val="0"/>
                <w:bCs w:val="0"/>
                <w:color w:val="000000"/>
              </w:rPr>
              <w:t xml:space="preserve">, </w:t>
            </w:r>
            <m:oMath>
              <m:acc>
                <m:accPr>
                  <m:ctrlPr>
                    <w:rPr>
                      <w:rFonts w:ascii="Cambria Math" w:hAnsi="Cambria Math"/>
                    </w:rPr>
                  </m:ctrlPr>
                </m:accPr>
                <m:e>
                  <m:r>
                    <m:rPr>
                      <m:sty m:val="bi"/>
                    </m:rPr>
                    <w:rPr>
                      <w:rFonts w:ascii="Cambria Math" w:hAnsi="Cambria Math"/>
                    </w:rPr>
                    <m:t>R</m:t>
                  </m:r>
                </m:e>
              </m:acc>
            </m:oMath>
            <w:r w:rsidRPr="002A1DB5">
              <w:rPr>
                <w:b w:val="0"/>
                <w:bCs w:val="0"/>
                <w:color w:val="000000"/>
              </w:rPr>
              <w:t xml:space="preserve">is the median point estimate and </w:t>
            </w:r>
            <m:oMath>
              <m:acc>
                <m:accPr>
                  <m:ctrlPr>
                    <w:rPr>
                      <w:rFonts w:ascii="Cambria Math" w:hAnsi="Cambria Math"/>
                    </w:rPr>
                  </m:ctrlPr>
                </m:accPr>
                <m:e>
                  <m:r>
                    <m:rPr>
                      <m:sty m:val="bi"/>
                    </m:rPr>
                    <w:rPr>
                      <w:rFonts w:ascii="Cambria Math" w:hAnsi="Cambria Math"/>
                    </w:rPr>
                    <m:t>R</m:t>
                  </m:r>
                </m:e>
              </m:acc>
            </m:oMath>
            <w:r w:rsidR="003A6F17" w:rsidRPr="000903D1">
              <w:rPr>
                <w:b w:val="0"/>
                <w:bCs w:val="0"/>
                <w:color w:val="000000"/>
              </w:rPr>
              <w:t xml:space="preserve"> </w:t>
            </w:r>
            <w:r w:rsidRPr="002A1DB5">
              <w:rPr>
                <w:b w:val="0"/>
                <w:bCs w:val="0"/>
                <w:color w:val="000000"/>
              </w:rPr>
              <w:t>(UCI) is the maximum point estimate across the 50 cluster intercepts; ESS is the median. Rows highlighted</w:t>
            </w:r>
            <w:r w:rsidRPr="000903D1">
              <w:rPr>
                <w:b w:val="0"/>
                <w:bCs w:val="0"/>
                <w:color w:val="000000"/>
              </w:rPr>
              <w:t xml:space="preserve"> </w:t>
            </w:r>
            <w:r w:rsidRPr="002A1DB5">
              <w:rPr>
                <w:b w:val="0"/>
                <w:bCs w:val="0"/>
                <w:color w:val="000000"/>
              </w:rPr>
              <w:t>indicate R-hat &gt; 1.01 or ESS &lt; 400.</w:t>
            </w:r>
          </w:p>
        </w:tc>
      </w:tr>
    </w:tbl>
    <w:p w14:paraId="6B95B7F2" w14:textId="77777777" w:rsidR="00182A0C" w:rsidRDefault="003A6F17" w:rsidP="003A6F17">
      <w:pPr>
        <w:pStyle w:val="font-claude-response-body"/>
        <w:spacing w:before="0" w:beforeAutospacing="0" w:after="0" w:afterAutospacing="0" w:line="360" w:lineRule="auto"/>
        <w:jc w:val="both"/>
      </w:pPr>
      <w:r>
        <w:tab/>
      </w:r>
      <w:r w:rsidR="00182A0C" w:rsidRPr="00182A0C">
        <w:t xml:space="preserve">Table </w:t>
      </w:r>
      <w:r w:rsidR="00182A0C">
        <w:t>3</w:t>
      </w:r>
      <w:r w:rsidR="00182A0C" w:rsidRPr="00182A0C">
        <w:t xml:space="preserve"> reports the Gelman-Rubin </w:t>
      </w:r>
      <m:oMath>
        <m:acc>
          <m:accPr>
            <m:ctrlPr>
              <w:rPr>
                <w:rFonts w:ascii="Cambria Math" w:hAnsi="Cambria Math"/>
              </w:rPr>
            </m:ctrlPr>
          </m:accPr>
          <m:e>
            <m:r>
              <w:rPr>
                <w:rFonts w:ascii="Cambria Math" w:hAnsi="Cambria Math"/>
              </w:rPr>
              <m:t>R</m:t>
            </m:r>
          </m:e>
        </m:acc>
      </m:oMath>
      <w:r w:rsidR="00182A0C" w:rsidRPr="00182A0C">
        <w:t xml:space="preserve">statistic and effective sample size for all monitored parameters across the three ANCOVA models, and Figure 3 shows trace plots for </w:t>
      </w:r>
      <m:oMath>
        <m:sSub>
          <m:sSubPr>
            <m:ctrlPr>
              <w:rPr>
                <w:rFonts w:ascii="Cambria Math" w:hAnsi="Cambria Math"/>
              </w:rPr>
            </m:ctrlPr>
          </m:sSubPr>
          <m:e>
            <m:r>
              <w:rPr>
                <w:rFonts w:ascii="Cambria Math" w:hAnsi="Cambria Math"/>
              </w:rPr>
              <m:t>β</m:t>
            </m:r>
          </m:e>
          <m:sub>
            <m:r>
              <m:rPr>
                <m:nor/>
              </m:rPr>
              <m:t>trt</m:t>
            </m:r>
          </m:sub>
        </m:sSub>
      </m:oMath>
      <w:r w:rsidR="00182A0C" w:rsidRPr="00182A0C">
        <w:t xml:space="preserve">and </w:t>
      </w:r>
      <m:oMath>
        <m:sSub>
          <m:sSubPr>
            <m:ctrlPr>
              <w:rPr>
                <w:rFonts w:ascii="Cambria Math" w:hAnsi="Cambria Math"/>
              </w:rPr>
            </m:ctrlPr>
          </m:sSubPr>
          <m:e>
            <m:r>
              <w:rPr>
                <w:rFonts w:ascii="Cambria Math" w:hAnsi="Cambria Math"/>
              </w:rPr>
              <m:t>σ</m:t>
            </m:r>
          </m:e>
          <m:sub>
            <m:r>
              <m:rPr>
                <m:nor/>
              </m:rPr>
              <m:t>cluster</m:t>
            </m:r>
          </m:sub>
        </m:sSub>
      </m:oMath>
      <w:r w:rsidR="00182A0C" w:rsidRPr="00182A0C">
        <w:t xml:space="preserve">across all four chains. For </w:t>
      </w:r>
      <m:oMath>
        <m:sSub>
          <m:sSubPr>
            <m:ctrlPr>
              <w:rPr>
                <w:rFonts w:ascii="Cambria Math" w:hAnsi="Cambria Math"/>
              </w:rPr>
            </m:ctrlPr>
          </m:sSubPr>
          <m:e>
            <m:r>
              <w:rPr>
                <w:rFonts w:ascii="Cambria Math" w:hAnsi="Cambria Math"/>
              </w:rPr>
              <m:t>β</m:t>
            </m:r>
          </m:e>
          <m:sub>
            <m:r>
              <m:rPr>
                <m:nor/>
              </m:rPr>
              <m:t>trt</m:t>
            </m:r>
          </m:sub>
        </m:sSub>
      </m:oMath>
      <w:r w:rsidR="00182A0C" w:rsidRPr="00182A0C">
        <w:t xml:space="preserve">and the woreda fixed effects, convergence was satisfactory across all three outcomes, with </w:t>
      </w:r>
      <m:oMath>
        <m:acc>
          <m:accPr>
            <m:ctrlPr>
              <w:rPr>
                <w:rFonts w:ascii="Cambria Math" w:hAnsi="Cambria Math"/>
              </w:rPr>
            </m:ctrlPr>
          </m:accPr>
          <m:e>
            <m:r>
              <w:rPr>
                <w:rFonts w:ascii="Cambria Math" w:hAnsi="Cambria Math"/>
              </w:rPr>
              <m:t>R</m:t>
            </m:r>
          </m:e>
        </m:acc>
      </m:oMath>
      <w:r w:rsidR="00182A0C" w:rsidRPr="00182A0C">
        <w:t xml:space="preserve">point estimates below 1.01 and ESS ranging from 2,666 to 5,330. The kebele-level random intercepts </w:t>
      </w:r>
      <m:oMath>
        <m:sSub>
          <m:sSubPr>
            <m:ctrlPr>
              <w:rPr>
                <w:rFonts w:ascii="Cambria Math" w:hAnsi="Cambria Math"/>
              </w:rPr>
            </m:ctrlPr>
          </m:sSubPr>
          <m:e>
            <m:r>
              <w:rPr>
                <w:rFonts w:ascii="Cambria Math" w:hAnsi="Cambria Math"/>
              </w:rPr>
              <m:t>α</m:t>
            </m:r>
          </m:e>
          <m:sub>
            <m:r>
              <w:rPr>
                <w:rFonts w:ascii="Cambria Math" w:hAnsi="Cambria Math"/>
              </w:rPr>
              <m:t>j</m:t>
            </m:r>
          </m:sub>
        </m:sSub>
      </m:oMath>
      <w:r w:rsidR="00182A0C" w:rsidRPr="00182A0C">
        <w:t xml:space="preserve">converged well, with median </w:t>
      </w:r>
      <m:oMath>
        <m:acc>
          <m:accPr>
            <m:ctrlPr>
              <w:rPr>
                <w:rFonts w:ascii="Cambria Math" w:hAnsi="Cambria Math"/>
              </w:rPr>
            </m:ctrlPr>
          </m:accPr>
          <m:e>
            <m:r>
              <w:rPr>
                <w:rFonts w:ascii="Cambria Math" w:hAnsi="Cambria Math"/>
              </w:rPr>
              <m:t>R</m:t>
            </m:r>
          </m:e>
        </m:acc>
      </m:oMath>
      <w:r w:rsidR="00182A0C" w:rsidRPr="00182A0C">
        <w:t xml:space="preserve">below 1.007 and median ESS above 1,577. The grand-mean parameter </w:t>
      </w:r>
      <m:oMath>
        <m:sSub>
          <m:sSubPr>
            <m:ctrlPr>
              <w:rPr>
                <w:rFonts w:ascii="Cambria Math" w:hAnsi="Cambria Math"/>
              </w:rPr>
            </m:ctrlPr>
          </m:sSubPr>
          <m:e>
            <m:r>
              <w:rPr>
                <w:rFonts w:ascii="Cambria Math" w:hAnsi="Cambria Math"/>
              </w:rPr>
              <m:t>μ</m:t>
            </m:r>
          </m:e>
          <m:sub>
            <m:r>
              <w:rPr>
                <w:rFonts w:ascii="Cambria Math" w:hAnsi="Cambria Math"/>
              </w:rPr>
              <m:t>0</m:t>
            </m:r>
          </m:sub>
        </m:sSub>
      </m:oMath>
      <w:r w:rsidR="00182A0C" w:rsidRPr="00182A0C">
        <w:t xml:space="preserve">showed slower convergence, with </w:t>
      </w:r>
      <m:oMath>
        <m:acc>
          <m:accPr>
            <m:ctrlPr>
              <w:rPr>
                <w:rFonts w:ascii="Cambria Math" w:hAnsi="Cambria Math"/>
              </w:rPr>
            </m:ctrlPr>
          </m:accPr>
          <m:e>
            <m:r>
              <w:rPr>
                <w:rFonts w:ascii="Cambria Math" w:hAnsi="Cambria Math"/>
              </w:rPr>
              <m:t>R</m:t>
            </m:r>
          </m:e>
        </m:acc>
      </m:oMath>
      <w:r w:rsidR="00182A0C" w:rsidRPr="00182A0C">
        <w:t xml:space="preserve"> reaching 1.0</w:t>
      </w:r>
      <w:r w:rsidR="00182A0C">
        <w:t>19</w:t>
      </w:r>
      <w:r w:rsidR="00182A0C" w:rsidRPr="00182A0C">
        <w:t xml:space="preserve"> for anxiety and ESS ranging from 638 to 1,423. As expected, </w:t>
      </w:r>
      <m:oMath>
        <m:sSub>
          <m:sSubPr>
            <m:ctrlPr>
              <w:rPr>
                <w:rFonts w:ascii="Cambria Math" w:hAnsi="Cambria Math"/>
              </w:rPr>
            </m:ctrlPr>
          </m:sSubPr>
          <m:e>
            <m:r>
              <w:rPr>
                <w:rFonts w:ascii="Cambria Math" w:hAnsi="Cambria Math"/>
              </w:rPr>
              <m:t>σ</m:t>
            </m:r>
          </m:e>
          <m:sub>
            <m:r>
              <m:rPr>
                <m:nor/>
              </m:rPr>
              <m:t>cluster</m:t>
            </m:r>
          </m:sub>
        </m:sSub>
      </m:oMath>
      <w:r w:rsidR="00182A0C" w:rsidRPr="00182A0C">
        <w:t xml:space="preserve">showed the slowest mixing across all outcomes, with ESS between 301 and 481 and </w:t>
      </w:r>
      <m:oMath>
        <m:acc>
          <m:accPr>
            <m:ctrlPr>
              <w:rPr>
                <w:rFonts w:ascii="Cambria Math" w:hAnsi="Cambria Math"/>
              </w:rPr>
            </m:ctrlPr>
          </m:accPr>
          <m:e>
            <m:r>
              <w:rPr>
                <w:rFonts w:ascii="Cambria Math" w:hAnsi="Cambria Math"/>
              </w:rPr>
              <m:t>R</m:t>
            </m:r>
          </m:e>
        </m:acc>
      </m:oMath>
      <w:r w:rsidR="00182A0C" w:rsidRPr="00182A0C">
        <w:t xml:space="preserve"> between 1.0</w:t>
      </w:r>
      <w:r w:rsidR="00182A0C">
        <w:t>12</w:t>
      </w:r>
      <w:r w:rsidR="00182A0C" w:rsidRPr="00182A0C">
        <w:t xml:space="preserve"> and 1.0</w:t>
      </w:r>
      <w:r w:rsidR="00182A0C">
        <w:t>17</w:t>
      </w:r>
      <w:r w:rsidR="00182A0C" w:rsidRPr="00182A0C">
        <w:t xml:space="preserve">, reflecting the funnel pathology inherent to hierarchical variance parameters in logistic models. </w:t>
      </w:r>
    </w:p>
    <w:p w14:paraId="10738353" w14:textId="69BEB214" w:rsidR="00E37F7F" w:rsidRDefault="00182A0C" w:rsidP="003A6F17">
      <w:pPr>
        <w:pStyle w:val="font-claude-response-body"/>
        <w:spacing w:before="0" w:beforeAutospacing="0" w:after="0" w:afterAutospacing="0" w:line="360" w:lineRule="auto"/>
        <w:jc w:val="both"/>
      </w:pPr>
      <w:r>
        <w:tab/>
      </w:r>
      <w:r w:rsidRPr="00182A0C">
        <w:t xml:space="preserve">Autocorrelation of </w:t>
      </w:r>
      <m:oMath>
        <m:sSub>
          <m:sSubPr>
            <m:ctrlPr>
              <w:rPr>
                <w:rFonts w:ascii="Cambria Math" w:hAnsi="Cambria Math"/>
              </w:rPr>
            </m:ctrlPr>
          </m:sSubPr>
          <m:e>
            <m:r>
              <w:rPr>
                <w:rFonts w:ascii="Cambria Math" w:hAnsi="Cambria Math"/>
              </w:rPr>
              <m:t>β</m:t>
            </m:r>
          </m:e>
          <m:sub>
            <m:r>
              <m:rPr>
                <m:nor/>
              </m:rPr>
              <m:t>trt</m:t>
            </m:r>
          </m:sub>
        </m:sSub>
      </m:oMath>
      <w:r w:rsidRPr="00182A0C">
        <w:t xml:space="preserve">shown in Figure 4 remains elevated beyond lag 30, a known limitation of Gibbs sampling in correlated hierarchical posteriors that we acknowledge as a limitation of the current implementation. Despite these limitations, ESS for </w:t>
      </w:r>
      <m:oMath>
        <m:sSub>
          <m:sSubPr>
            <m:ctrlPr>
              <w:rPr>
                <w:rFonts w:ascii="Cambria Math" w:hAnsi="Cambria Math"/>
              </w:rPr>
            </m:ctrlPr>
          </m:sSubPr>
          <m:e>
            <m:r>
              <w:rPr>
                <w:rFonts w:ascii="Cambria Math" w:hAnsi="Cambria Math"/>
              </w:rPr>
              <m:t>β</m:t>
            </m:r>
          </m:e>
          <m:sub>
            <m:r>
              <m:rPr>
                <m:nor/>
              </m:rPr>
              <m:t>trt</m:t>
            </m:r>
          </m:sub>
        </m:sSub>
      </m:oMath>
      <w:r w:rsidRPr="00182A0C">
        <w:t>remains adequate for reliable posterior inference across all three outcomes, and the trace plots confirm good stationarity and chain overlap for the parameter most central to the research question.</w:t>
      </w:r>
    </w:p>
    <w:p w14:paraId="41C75054" w14:textId="41A96A39" w:rsidR="003A6F17" w:rsidRPr="008B0733" w:rsidRDefault="00182A0C" w:rsidP="003A6F17">
      <w:pPr>
        <w:pStyle w:val="font-claude-response-body"/>
        <w:spacing w:before="0" w:beforeAutospacing="0" w:after="0" w:afterAutospacing="0" w:line="360" w:lineRule="auto"/>
        <w:jc w:val="both"/>
      </w:pPr>
      <w:r w:rsidRPr="00182A0C">
        <w:drawing>
          <wp:inline distT="0" distB="0" distL="0" distR="0" wp14:anchorId="1B5CD5FD" wp14:editId="2A8F522A">
            <wp:extent cx="5943600" cy="3434080"/>
            <wp:effectExtent l="0" t="0" r="0" b="0"/>
            <wp:docPr id="136737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73752" name=""/>
                    <pic:cNvPicPr/>
                  </pic:nvPicPr>
                  <pic:blipFill>
                    <a:blip r:embed="rId9"/>
                    <a:stretch>
                      <a:fillRect/>
                    </a:stretch>
                  </pic:blipFill>
                  <pic:spPr>
                    <a:xfrm>
                      <a:off x="0" y="0"/>
                      <a:ext cx="5943600" cy="3434080"/>
                    </a:xfrm>
                    <a:prstGeom prst="rect">
                      <a:avLst/>
                    </a:prstGeom>
                  </pic:spPr>
                </pic:pic>
              </a:graphicData>
            </a:graphic>
          </wp:inline>
        </w:drawing>
      </w:r>
    </w:p>
    <w:p w14:paraId="31440B4E" w14:textId="3B645C79" w:rsidR="002024AE" w:rsidRDefault="002024AE" w:rsidP="00E37F7F">
      <w:pPr>
        <w:pStyle w:val="Heading1"/>
        <w:numPr>
          <w:ilvl w:val="0"/>
          <w:numId w:val="1"/>
        </w:numPr>
      </w:pPr>
      <w:r>
        <w:lastRenderedPageBreak/>
        <w:t>Posterior Inference</w:t>
      </w:r>
    </w:p>
    <w:p w14:paraId="520C3705" w14:textId="6AF69B68" w:rsidR="00721653" w:rsidRPr="00721653" w:rsidRDefault="00721653" w:rsidP="00721653">
      <w:pPr>
        <w:spacing w:line="360" w:lineRule="auto"/>
        <w:rPr>
          <w:b/>
          <w:bCs/>
        </w:rPr>
      </w:pPr>
      <w:r w:rsidRPr="00721653">
        <w:rPr>
          <w:b/>
          <w:bCs/>
        </w:rPr>
        <w:t>Average Predictive Difference</w:t>
      </w:r>
    </w:p>
    <w:p w14:paraId="776ED4AE" w14:textId="2DF4901F" w:rsidR="00C8232C" w:rsidRPr="00C8232C" w:rsidRDefault="00C8232C" w:rsidP="00721653">
      <w:pPr>
        <w:spacing w:line="360" w:lineRule="auto"/>
        <w:jc w:val="center"/>
        <w:rPr>
          <w:b/>
          <w:bCs/>
        </w:rPr>
      </w:pPr>
      <w:r w:rsidRPr="00C8232C">
        <w:rPr>
          <w:b/>
          <w:bCs/>
        </w:rPr>
        <w:t xml:space="preserve">Table </w:t>
      </w:r>
      <w:r>
        <w:rPr>
          <w:b/>
          <w:bCs/>
        </w:rPr>
        <w:t>4</w:t>
      </w:r>
      <w:r w:rsidRPr="00C8232C">
        <w:rPr>
          <w:b/>
          <w:bCs/>
        </w:rPr>
        <w:t>. Posterior Average Predictive Difference</w:t>
      </w:r>
      <w:r w:rsidRPr="00C8232C">
        <w:rPr>
          <w:b/>
          <w:bCs/>
        </w:rPr>
        <w:t xml:space="preserve"> – </w:t>
      </w:r>
      <w:r w:rsidRPr="00C8232C">
        <w:rPr>
          <w:b/>
          <w:bCs/>
        </w:rPr>
        <w:t xml:space="preserve">ANCOVA </w:t>
      </w:r>
      <w:r w:rsidR="00721653">
        <w:rPr>
          <w:b/>
          <w:bCs/>
        </w:rPr>
        <w:t>M</w:t>
      </w:r>
      <w:r w:rsidRPr="00C8232C">
        <w:rPr>
          <w:b/>
          <w:bCs/>
        </w:rPr>
        <w:t>odels.</w:t>
      </w:r>
    </w:p>
    <w:tbl>
      <w:tblPr>
        <w:tblStyle w:val="GridTable1Light"/>
        <w:tblW w:w="9360" w:type="dxa"/>
        <w:tblLook w:val="04A0" w:firstRow="1" w:lastRow="0" w:firstColumn="1" w:lastColumn="0" w:noHBand="0" w:noVBand="1"/>
      </w:tblPr>
      <w:tblGrid>
        <w:gridCol w:w="2166"/>
        <w:gridCol w:w="2062"/>
        <w:gridCol w:w="2056"/>
        <w:gridCol w:w="1909"/>
        <w:gridCol w:w="1167"/>
      </w:tblGrid>
      <w:tr w:rsidR="00C8232C" w:rsidRPr="00C8232C" w14:paraId="3C378FDB" w14:textId="77777777" w:rsidTr="00C823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1F4F3" w14:textId="77777777" w:rsidR="00C8232C" w:rsidRPr="00C8232C" w:rsidRDefault="00C8232C" w:rsidP="00C8232C">
            <w:pPr>
              <w:spacing w:line="360" w:lineRule="auto"/>
              <w:rPr>
                <w:color w:val="000000"/>
                <w:sz w:val="23"/>
                <w:szCs w:val="23"/>
              </w:rPr>
            </w:pPr>
            <w:r w:rsidRPr="00C8232C">
              <w:rPr>
                <w:color w:val="000000"/>
                <w:sz w:val="23"/>
                <w:szCs w:val="23"/>
              </w:rPr>
              <w:t>Outcome</w:t>
            </w:r>
          </w:p>
        </w:tc>
        <w:tc>
          <w:tcPr>
            <w:tcW w:w="0" w:type="auto"/>
            <w:hideMark/>
          </w:tcPr>
          <w:p w14:paraId="3E7EFB4C" w14:textId="77777777" w:rsidR="00C8232C" w:rsidRPr="00C8232C" w:rsidRDefault="00C8232C" w:rsidP="00C8232C">
            <w:pPr>
              <w:spacing w:line="360" w:lineRule="auto"/>
              <w:cnfStyle w:val="100000000000" w:firstRow="1" w:lastRow="0" w:firstColumn="0" w:lastColumn="0" w:oddVBand="0" w:evenVBand="0" w:oddHBand="0" w:evenHBand="0" w:firstRowFirstColumn="0" w:firstRowLastColumn="0" w:lastRowFirstColumn="0" w:lastRowLastColumn="0"/>
              <w:rPr>
                <w:color w:val="000000"/>
                <w:sz w:val="23"/>
                <w:szCs w:val="23"/>
              </w:rPr>
            </w:pPr>
            <w:r w:rsidRPr="00C8232C">
              <w:rPr>
                <w:color w:val="000000"/>
                <w:sz w:val="23"/>
                <w:szCs w:val="23"/>
              </w:rPr>
              <w:t>APD</w:t>
            </w:r>
          </w:p>
        </w:tc>
        <w:tc>
          <w:tcPr>
            <w:tcW w:w="0" w:type="auto"/>
            <w:hideMark/>
          </w:tcPr>
          <w:p w14:paraId="287B778A" w14:textId="77777777" w:rsidR="00C8232C" w:rsidRPr="00C8232C" w:rsidRDefault="00C8232C" w:rsidP="00C8232C">
            <w:pPr>
              <w:spacing w:line="360" w:lineRule="auto"/>
              <w:cnfStyle w:val="100000000000" w:firstRow="1" w:lastRow="0" w:firstColumn="0" w:lastColumn="0" w:oddVBand="0" w:evenVBand="0" w:oddHBand="0" w:evenHBand="0" w:firstRowFirstColumn="0" w:firstRowLastColumn="0" w:lastRowFirstColumn="0" w:lastRowLastColumn="0"/>
              <w:rPr>
                <w:color w:val="000000"/>
                <w:sz w:val="23"/>
                <w:szCs w:val="23"/>
              </w:rPr>
            </w:pPr>
            <w:r w:rsidRPr="00C8232C">
              <w:rPr>
                <w:color w:val="000000"/>
                <w:sz w:val="23"/>
                <w:szCs w:val="23"/>
              </w:rPr>
              <w:t>95% HDI</w:t>
            </w:r>
          </w:p>
        </w:tc>
        <w:tc>
          <w:tcPr>
            <w:tcW w:w="0" w:type="auto"/>
            <w:hideMark/>
          </w:tcPr>
          <w:p w14:paraId="23A5B650" w14:textId="77777777" w:rsidR="00C8232C" w:rsidRPr="00C8232C" w:rsidRDefault="00C8232C" w:rsidP="00C8232C">
            <w:pPr>
              <w:spacing w:line="360" w:lineRule="auto"/>
              <w:cnfStyle w:val="100000000000" w:firstRow="1" w:lastRow="0" w:firstColumn="0" w:lastColumn="0" w:oddVBand="0" w:evenVBand="0" w:oddHBand="0" w:evenHBand="0" w:firstRowFirstColumn="0" w:firstRowLastColumn="0" w:lastRowFirstColumn="0" w:lastRowLastColumn="0"/>
              <w:rPr>
                <w:color w:val="000000"/>
                <w:sz w:val="23"/>
                <w:szCs w:val="23"/>
              </w:rPr>
            </w:pPr>
            <w:r w:rsidRPr="00C8232C">
              <w:rPr>
                <w:color w:val="000000"/>
                <w:sz w:val="23"/>
                <w:szCs w:val="23"/>
              </w:rPr>
              <w:t>P(ROPE)</w:t>
            </w:r>
          </w:p>
        </w:tc>
        <w:tc>
          <w:tcPr>
            <w:tcW w:w="0" w:type="auto"/>
            <w:hideMark/>
          </w:tcPr>
          <w:p w14:paraId="274FD1FD" w14:textId="77777777" w:rsidR="00C8232C" w:rsidRPr="00C8232C" w:rsidRDefault="00C8232C" w:rsidP="00C8232C">
            <w:pPr>
              <w:spacing w:line="360" w:lineRule="auto"/>
              <w:cnfStyle w:val="100000000000" w:firstRow="1" w:lastRow="0" w:firstColumn="0" w:lastColumn="0" w:oddVBand="0" w:evenVBand="0" w:oddHBand="0" w:evenHBand="0" w:firstRowFirstColumn="0" w:firstRowLastColumn="0" w:lastRowFirstColumn="0" w:lastRowLastColumn="0"/>
              <w:rPr>
                <w:color w:val="000000"/>
                <w:sz w:val="23"/>
                <w:szCs w:val="23"/>
              </w:rPr>
            </w:pPr>
            <w:r w:rsidRPr="00C8232C">
              <w:rPr>
                <w:color w:val="000000"/>
                <w:sz w:val="23"/>
                <w:szCs w:val="23"/>
              </w:rPr>
              <w:t>NNT</w:t>
            </w:r>
          </w:p>
        </w:tc>
      </w:tr>
      <w:tr w:rsidR="00C8232C" w:rsidRPr="00C8232C" w14:paraId="1009C731" w14:textId="77777777" w:rsidTr="00C8232C">
        <w:tc>
          <w:tcPr>
            <w:cnfStyle w:val="001000000000" w:firstRow="0" w:lastRow="0" w:firstColumn="1" w:lastColumn="0" w:oddVBand="0" w:evenVBand="0" w:oddHBand="0" w:evenHBand="0" w:firstRowFirstColumn="0" w:firstRowLastColumn="0" w:lastRowFirstColumn="0" w:lastRowLastColumn="0"/>
            <w:tcW w:w="0" w:type="auto"/>
            <w:hideMark/>
          </w:tcPr>
          <w:p w14:paraId="3A96A032" w14:textId="77777777" w:rsidR="00C8232C" w:rsidRPr="00C8232C" w:rsidRDefault="00C8232C" w:rsidP="00C8232C">
            <w:pPr>
              <w:spacing w:line="360" w:lineRule="auto"/>
              <w:rPr>
                <w:b w:val="0"/>
                <w:bCs w:val="0"/>
                <w:color w:val="000000"/>
                <w:sz w:val="23"/>
                <w:szCs w:val="23"/>
              </w:rPr>
            </w:pPr>
            <w:r w:rsidRPr="00C8232C">
              <w:rPr>
                <w:color w:val="000000"/>
                <w:sz w:val="23"/>
                <w:szCs w:val="23"/>
              </w:rPr>
              <w:t>Anxiety</w:t>
            </w:r>
          </w:p>
        </w:tc>
        <w:tc>
          <w:tcPr>
            <w:tcW w:w="0" w:type="auto"/>
            <w:hideMark/>
          </w:tcPr>
          <w:p w14:paraId="3F8C7DA0" w14:textId="77777777" w:rsidR="00C8232C" w:rsidRPr="00C8232C" w:rsidRDefault="00C8232C" w:rsidP="00C8232C">
            <w:pPr>
              <w:spacing w:line="360" w:lineRule="auto"/>
              <w:cnfStyle w:val="000000000000" w:firstRow="0" w:lastRow="0" w:firstColumn="0" w:lastColumn="0" w:oddVBand="0" w:evenVBand="0" w:oddHBand="0" w:evenHBand="0" w:firstRowFirstColumn="0" w:firstRowLastColumn="0" w:lastRowFirstColumn="0" w:lastRowLastColumn="0"/>
              <w:rPr>
                <w:color w:val="000000"/>
                <w:sz w:val="23"/>
                <w:szCs w:val="23"/>
              </w:rPr>
            </w:pPr>
            <w:r w:rsidRPr="00C8232C">
              <w:rPr>
                <w:color w:val="000000"/>
                <w:sz w:val="23"/>
                <w:szCs w:val="23"/>
              </w:rPr>
              <w:t>-0.023 (0.023)</w:t>
            </w:r>
          </w:p>
        </w:tc>
        <w:tc>
          <w:tcPr>
            <w:tcW w:w="0" w:type="auto"/>
            <w:hideMark/>
          </w:tcPr>
          <w:p w14:paraId="0BBC2657" w14:textId="77777777" w:rsidR="00C8232C" w:rsidRPr="00C8232C" w:rsidRDefault="00C8232C" w:rsidP="00C8232C">
            <w:pPr>
              <w:spacing w:line="360" w:lineRule="auto"/>
              <w:cnfStyle w:val="000000000000" w:firstRow="0" w:lastRow="0" w:firstColumn="0" w:lastColumn="0" w:oddVBand="0" w:evenVBand="0" w:oddHBand="0" w:evenHBand="0" w:firstRowFirstColumn="0" w:firstRowLastColumn="0" w:lastRowFirstColumn="0" w:lastRowLastColumn="0"/>
              <w:rPr>
                <w:color w:val="000000"/>
                <w:sz w:val="23"/>
                <w:szCs w:val="23"/>
              </w:rPr>
            </w:pPr>
            <w:r w:rsidRPr="00C8232C">
              <w:rPr>
                <w:color w:val="000000"/>
                <w:sz w:val="23"/>
                <w:szCs w:val="23"/>
              </w:rPr>
              <w:t>[-0.067, 0.024]</w:t>
            </w:r>
          </w:p>
        </w:tc>
        <w:tc>
          <w:tcPr>
            <w:tcW w:w="0" w:type="auto"/>
            <w:hideMark/>
          </w:tcPr>
          <w:p w14:paraId="4C178875" w14:textId="77777777" w:rsidR="00C8232C" w:rsidRPr="00C8232C" w:rsidRDefault="00C8232C" w:rsidP="00C8232C">
            <w:pPr>
              <w:spacing w:line="360" w:lineRule="auto"/>
              <w:cnfStyle w:val="000000000000" w:firstRow="0" w:lastRow="0" w:firstColumn="0" w:lastColumn="0" w:oddVBand="0" w:evenVBand="0" w:oddHBand="0" w:evenHBand="0" w:firstRowFirstColumn="0" w:firstRowLastColumn="0" w:lastRowFirstColumn="0" w:lastRowLastColumn="0"/>
              <w:rPr>
                <w:color w:val="000000"/>
                <w:sz w:val="23"/>
                <w:szCs w:val="23"/>
              </w:rPr>
            </w:pPr>
            <w:r w:rsidRPr="00C8232C">
              <w:rPr>
                <w:color w:val="000000"/>
                <w:sz w:val="23"/>
                <w:szCs w:val="23"/>
              </w:rPr>
              <w:t>88.5%</w:t>
            </w:r>
          </w:p>
        </w:tc>
        <w:tc>
          <w:tcPr>
            <w:tcW w:w="0" w:type="auto"/>
            <w:hideMark/>
          </w:tcPr>
          <w:p w14:paraId="3DDADAD4" w14:textId="77777777" w:rsidR="00C8232C" w:rsidRPr="00C8232C" w:rsidRDefault="00C8232C" w:rsidP="00C8232C">
            <w:pPr>
              <w:spacing w:line="360" w:lineRule="auto"/>
              <w:cnfStyle w:val="000000000000" w:firstRow="0" w:lastRow="0" w:firstColumn="0" w:lastColumn="0" w:oddVBand="0" w:evenVBand="0" w:oddHBand="0" w:evenHBand="0" w:firstRowFirstColumn="0" w:firstRowLastColumn="0" w:lastRowFirstColumn="0" w:lastRowLastColumn="0"/>
              <w:rPr>
                <w:color w:val="000000"/>
                <w:sz w:val="23"/>
                <w:szCs w:val="23"/>
              </w:rPr>
            </w:pPr>
            <w:r w:rsidRPr="00C8232C">
              <w:rPr>
                <w:color w:val="000000"/>
                <w:sz w:val="23"/>
                <w:szCs w:val="23"/>
              </w:rPr>
              <w:t>44</w:t>
            </w:r>
          </w:p>
        </w:tc>
      </w:tr>
      <w:tr w:rsidR="00C8232C" w:rsidRPr="00C8232C" w14:paraId="36CC89B5" w14:textId="77777777" w:rsidTr="00C8232C">
        <w:tc>
          <w:tcPr>
            <w:cnfStyle w:val="001000000000" w:firstRow="0" w:lastRow="0" w:firstColumn="1" w:lastColumn="0" w:oddVBand="0" w:evenVBand="0" w:oddHBand="0" w:evenHBand="0" w:firstRowFirstColumn="0" w:firstRowLastColumn="0" w:lastRowFirstColumn="0" w:lastRowLastColumn="0"/>
            <w:tcW w:w="0" w:type="auto"/>
            <w:hideMark/>
          </w:tcPr>
          <w:p w14:paraId="622B63E9" w14:textId="77777777" w:rsidR="00C8232C" w:rsidRPr="00C8232C" w:rsidRDefault="00C8232C" w:rsidP="00C8232C">
            <w:pPr>
              <w:spacing w:line="360" w:lineRule="auto"/>
              <w:rPr>
                <w:color w:val="000000"/>
                <w:sz w:val="23"/>
                <w:szCs w:val="23"/>
              </w:rPr>
            </w:pPr>
            <w:r w:rsidRPr="00C8232C">
              <w:rPr>
                <w:color w:val="000000"/>
                <w:sz w:val="23"/>
                <w:szCs w:val="23"/>
              </w:rPr>
              <w:t>Depression</w:t>
            </w:r>
          </w:p>
        </w:tc>
        <w:tc>
          <w:tcPr>
            <w:tcW w:w="0" w:type="auto"/>
            <w:hideMark/>
          </w:tcPr>
          <w:p w14:paraId="35A4DBEE" w14:textId="77777777" w:rsidR="00C8232C" w:rsidRPr="00C8232C" w:rsidRDefault="00C8232C" w:rsidP="00C8232C">
            <w:pPr>
              <w:spacing w:line="360" w:lineRule="auto"/>
              <w:cnfStyle w:val="000000000000" w:firstRow="0" w:lastRow="0" w:firstColumn="0" w:lastColumn="0" w:oddVBand="0" w:evenVBand="0" w:oddHBand="0" w:evenHBand="0" w:firstRowFirstColumn="0" w:firstRowLastColumn="0" w:lastRowFirstColumn="0" w:lastRowLastColumn="0"/>
              <w:rPr>
                <w:color w:val="000000"/>
                <w:sz w:val="23"/>
                <w:szCs w:val="23"/>
              </w:rPr>
            </w:pPr>
            <w:r w:rsidRPr="00C8232C">
              <w:rPr>
                <w:color w:val="000000"/>
                <w:sz w:val="23"/>
                <w:szCs w:val="23"/>
              </w:rPr>
              <w:t>-0.030 (0.018)</w:t>
            </w:r>
          </w:p>
        </w:tc>
        <w:tc>
          <w:tcPr>
            <w:tcW w:w="0" w:type="auto"/>
            <w:hideMark/>
          </w:tcPr>
          <w:p w14:paraId="1095FDB9" w14:textId="77777777" w:rsidR="00C8232C" w:rsidRPr="00C8232C" w:rsidRDefault="00C8232C" w:rsidP="00C8232C">
            <w:pPr>
              <w:spacing w:line="360" w:lineRule="auto"/>
              <w:cnfStyle w:val="000000000000" w:firstRow="0" w:lastRow="0" w:firstColumn="0" w:lastColumn="0" w:oddVBand="0" w:evenVBand="0" w:oddHBand="0" w:evenHBand="0" w:firstRowFirstColumn="0" w:firstRowLastColumn="0" w:lastRowFirstColumn="0" w:lastRowLastColumn="0"/>
              <w:rPr>
                <w:color w:val="000000"/>
                <w:sz w:val="23"/>
                <w:szCs w:val="23"/>
              </w:rPr>
            </w:pPr>
            <w:r w:rsidRPr="00C8232C">
              <w:rPr>
                <w:color w:val="000000"/>
                <w:sz w:val="23"/>
                <w:szCs w:val="23"/>
              </w:rPr>
              <w:t>[-0.064, 0.004]</w:t>
            </w:r>
          </w:p>
        </w:tc>
        <w:tc>
          <w:tcPr>
            <w:tcW w:w="0" w:type="auto"/>
            <w:hideMark/>
          </w:tcPr>
          <w:p w14:paraId="653367E3" w14:textId="77777777" w:rsidR="00C8232C" w:rsidRPr="00C8232C" w:rsidRDefault="00C8232C" w:rsidP="00C8232C">
            <w:pPr>
              <w:spacing w:line="360" w:lineRule="auto"/>
              <w:cnfStyle w:val="000000000000" w:firstRow="0" w:lastRow="0" w:firstColumn="0" w:lastColumn="0" w:oddVBand="0" w:evenVBand="0" w:oddHBand="0" w:evenHBand="0" w:firstRowFirstColumn="0" w:firstRowLastColumn="0" w:lastRowFirstColumn="0" w:lastRowLastColumn="0"/>
              <w:rPr>
                <w:color w:val="000000"/>
                <w:sz w:val="23"/>
                <w:szCs w:val="23"/>
              </w:rPr>
            </w:pPr>
            <w:r w:rsidRPr="00C8232C">
              <w:rPr>
                <w:color w:val="000000"/>
                <w:sz w:val="23"/>
                <w:szCs w:val="23"/>
              </w:rPr>
              <w:t>87.2%</w:t>
            </w:r>
          </w:p>
        </w:tc>
        <w:tc>
          <w:tcPr>
            <w:tcW w:w="0" w:type="auto"/>
            <w:hideMark/>
          </w:tcPr>
          <w:p w14:paraId="00256CD3" w14:textId="77777777" w:rsidR="00C8232C" w:rsidRPr="00C8232C" w:rsidRDefault="00C8232C" w:rsidP="00C8232C">
            <w:pPr>
              <w:spacing w:line="360" w:lineRule="auto"/>
              <w:cnfStyle w:val="000000000000" w:firstRow="0" w:lastRow="0" w:firstColumn="0" w:lastColumn="0" w:oddVBand="0" w:evenVBand="0" w:oddHBand="0" w:evenHBand="0" w:firstRowFirstColumn="0" w:firstRowLastColumn="0" w:lastRowFirstColumn="0" w:lastRowLastColumn="0"/>
              <w:rPr>
                <w:color w:val="000000"/>
                <w:sz w:val="23"/>
                <w:szCs w:val="23"/>
              </w:rPr>
            </w:pPr>
            <w:r w:rsidRPr="00C8232C">
              <w:rPr>
                <w:color w:val="000000"/>
                <w:sz w:val="23"/>
                <w:szCs w:val="23"/>
              </w:rPr>
              <w:t>33</w:t>
            </w:r>
          </w:p>
        </w:tc>
      </w:tr>
      <w:tr w:rsidR="00C8232C" w:rsidRPr="00C8232C" w14:paraId="7745F733" w14:textId="77777777" w:rsidTr="00C8232C">
        <w:tc>
          <w:tcPr>
            <w:cnfStyle w:val="001000000000" w:firstRow="0" w:lastRow="0" w:firstColumn="1" w:lastColumn="0" w:oddVBand="0" w:evenVBand="0" w:oddHBand="0" w:evenHBand="0" w:firstRowFirstColumn="0" w:firstRowLastColumn="0" w:lastRowFirstColumn="0" w:lastRowLastColumn="0"/>
            <w:tcW w:w="0" w:type="auto"/>
            <w:hideMark/>
          </w:tcPr>
          <w:p w14:paraId="5FCBC14A" w14:textId="77777777" w:rsidR="00C8232C" w:rsidRPr="00C8232C" w:rsidRDefault="00C8232C" w:rsidP="00C8232C">
            <w:pPr>
              <w:spacing w:line="360" w:lineRule="auto"/>
              <w:rPr>
                <w:color w:val="000000"/>
                <w:sz w:val="23"/>
                <w:szCs w:val="23"/>
              </w:rPr>
            </w:pPr>
            <w:r w:rsidRPr="00C8232C">
              <w:rPr>
                <w:color w:val="000000"/>
                <w:sz w:val="23"/>
                <w:szCs w:val="23"/>
              </w:rPr>
              <w:t>Emotion</w:t>
            </w:r>
          </w:p>
        </w:tc>
        <w:tc>
          <w:tcPr>
            <w:tcW w:w="0" w:type="auto"/>
            <w:hideMark/>
          </w:tcPr>
          <w:p w14:paraId="26C3289F" w14:textId="77777777" w:rsidR="00C8232C" w:rsidRPr="00C8232C" w:rsidRDefault="00C8232C" w:rsidP="00C8232C">
            <w:pPr>
              <w:spacing w:line="360" w:lineRule="auto"/>
              <w:cnfStyle w:val="000000000000" w:firstRow="0" w:lastRow="0" w:firstColumn="0" w:lastColumn="0" w:oddVBand="0" w:evenVBand="0" w:oddHBand="0" w:evenHBand="0" w:firstRowFirstColumn="0" w:firstRowLastColumn="0" w:lastRowFirstColumn="0" w:lastRowLastColumn="0"/>
              <w:rPr>
                <w:color w:val="000000"/>
                <w:sz w:val="23"/>
                <w:szCs w:val="23"/>
              </w:rPr>
            </w:pPr>
            <w:r w:rsidRPr="00C8232C">
              <w:rPr>
                <w:color w:val="000000"/>
                <w:sz w:val="23"/>
                <w:szCs w:val="23"/>
              </w:rPr>
              <w:t>-0.033 (0.019)</w:t>
            </w:r>
          </w:p>
        </w:tc>
        <w:tc>
          <w:tcPr>
            <w:tcW w:w="0" w:type="auto"/>
            <w:hideMark/>
          </w:tcPr>
          <w:p w14:paraId="27FA3574" w14:textId="77777777" w:rsidR="00C8232C" w:rsidRPr="00C8232C" w:rsidRDefault="00C8232C" w:rsidP="00C8232C">
            <w:pPr>
              <w:spacing w:line="360" w:lineRule="auto"/>
              <w:cnfStyle w:val="000000000000" w:firstRow="0" w:lastRow="0" w:firstColumn="0" w:lastColumn="0" w:oddVBand="0" w:evenVBand="0" w:oddHBand="0" w:evenHBand="0" w:firstRowFirstColumn="0" w:firstRowLastColumn="0" w:lastRowFirstColumn="0" w:lastRowLastColumn="0"/>
              <w:rPr>
                <w:color w:val="000000"/>
                <w:sz w:val="23"/>
                <w:szCs w:val="23"/>
              </w:rPr>
            </w:pPr>
            <w:r w:rsidRPr="00C8232C">
              <w:rPr>
                <w:color w:val="000000"/>
                <w:sz w:val="23"/>
                <w:szCs w:val="23"/>
              </w:rPr>
              <w:t>[-0.070, 0.004]</w:t>
            </w:r>
          </w:p>
        </w:tc>
        <w:tc>
          <w:tcPr>
            <w:tcW w:w="0" w:type="auto"/>
            <w:hideMark/>
          </w:tcPr>
          <w:p w14:paraId="44E166E0" w14:textId="77777777" w:rsidR="00C8232C" w:rsidRPr="00C8232C" w:rsidRDefault="00C8232C" w:rsidP="00C8232C">
            <w:pPr>
              <w:spacing w:line="360" w:lineRule="auto"/>
              <w:cnfStyle w:val="000000000000" w:firstRow="0" w:lastRow="0" w:firstColumn="0" w:lastColumn="0" w:oddVBand="0" w:evenVBand="0" w:oddHBand="0" w:evenHBand="0" w:firstRowFirstColumn="0" w:firstRowLastColumn="0" w:lastRowFirstColumn="0" w:lastRowLastColumn="0"/>
              <w:rPr>
                <w:color w:val="000000"/>
                <w:sz w:val="23"/>
                <w:szCs w:val="23"/>
              </w:rPr>
            </w:pPr>
            <w:r w:rsidRPr="00C8232C">
              <w:rPr>
                <w:color w:val="000000"/>
                <w:sz w:val="23"/>
                <w:szCs w:val="23"/>
              </w:rPr>
              <w:t>82.2%</w:t>
            </w:r>
          </w:p>
        </w:tc>
        <w:tc>
          <w:tcPr>
            <w:tcW w:w="0" w:type="auto"/>
            <w:hideMark/>
          </w:tcPr>
          <w:p w14:paraId="16348102" w14:textId="77777777" w:rsidR="00C8232C" w:rsidRPr="00C8232C" w:rsidRDefault="00C8232C" w:rsidP="00C8232C">
            <w:pPr>
              <w:spacing w:line="360" w:lineRule="auto"/>
              <w:cnfStyle w:val="000000000000" w:firstRow="0" w:lastRow="0" w:firstColumn="0" w:lastColumn="0" w:oddVBand="0" w:evenVBand="0" w:oddHBand="0" w:evenHBand="0" w:firstRowFirstColumn="0" w:firstRowLastColumn="0" w:lastRowFirstColumn="0" w:lastRowLastColumn="0"/>
              <w:rPr>
                <w:color w:val="000000"/>
                <w:sz w:val="23"/>
                <w:szCs w:val="23"/>
              </w:rPr>
            </w:pPr>
            <w:r w:rsidRPr="00C8232C">
              <w:rPr>
                <w:color w:val="000000"/>
                <w:sz w:val="23"/>
                <w:szCs w:val="23"/>
              </w:rPr>
              <w:t>30</w:t>
            </w:r>
          </w:p>
        </w:tc>
      </w:tr>
      <w:tr w:rsidR="00C8232C" w:rsidRPr="00C8232C" w14:paraId="4D280F29" w14:textId="77777777" w:rsidTr="009866BA">
        <w:tc>
          <w:tcPr>
            <w:cnfStyle w:val="001000000000" w:firstRow="0" w:lastRow="0" w:firstColumn="1" w:lastColumn="0" w:oddVBand="0" w:evenVBand="0" w:oddHBand="0" w:evenHBand="0" w:firstRowFirstColumn="0" w:firstRowLastColumn="0" w:lastRowFirstColumn="0" w:lastRowLastColumn="0"/>
            <w:tcW w:w="0" w:type="auto"/>
            <w:gridSpan w:val="5"/>
            <w:hideMark/>
          </w:tcPr>
          <w:p w14:paraId="4ABCEEF5" w14:textId="32EB57C1" w:rsidR="00C8232C" w:rsidRPr="00C8232C" w:rsidRDefault="00C8232C" w:rsidP="00C8232C">
            <w:pPr>
              <w:spacing w:line="360" w:lineRule="auto"/>
              <w:rPr>
                <w:b w:val="0"/>
                <w:bCs w:val="0"/>
                <w:sz w:val="20"/>
                <w:szCs w:val="20"/>
              </w:rPr>
            </w:pPr>
            <w:r w:rsidRPr="00C8232C">
              <w:rPr>
                <w:b w:val="0"/>
                <w:bCs w:val="0"/>
                <w:i/>
                <w:iCs/>
                <w:color w:val="000000"/>
                <w:sz w:val="23"/>
                <w:szCs w:val="23"/>
              </w:rPr>
              <w:t>Note:</w:t>
            </w:r>
            <w:r w:rsidRPr="00C8232C">
              <w:rPr>
                <w:b w:val="0"/>
                <w:bCs w:val="0"/>
                <w:color w:val="000000"/>
                <w:sz w:val="23"/>
                <w:szCs w:val="23"/>
              </w:rPr>
              <w:t> APD reported as posterior mean (SD). 95% HDI = Highest Density Interval. P(ROPE) = posterior probability that |APD| &lt; 0.05. NNT = Number Needed to Treat, computed as 1/|mean APD|. ROPE = Region of Practical Equivalence [-0.05, +0.05].</w:t>
            </w:r>
          </w:p>
        </w:tc>
      </w:tr>
    </w:tbl>
    <w:p w14:paraId="40DA113B" w14:textId="77777777" w:rsidR="00254423" w:rsidRDefault="00254423" w:rsidP="003A6F17"/>
    <w:p w14:paraId="75FC602B" w14:textId="12D2C101" w:rsidR="00C8232C" w:rsidRDefault="00C8232C" w:rsidP="003A6F17">
      <w:r w:rsidRPr="00C8232C">
        <w:drawing>
          <wp:inline distT="0" distB="0" distL="0" distR="0" wp14:anchorId="3A42FD95" wp14:editId="4BB5E3B4">
            <wp:extent cx="5943600" cy="2286635"/>
            <wp:effectExtent l="0" t="0" r="0" b="0"/>
            <wp:docPr id="209343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32723" name=""/>
                    <pic:cNvPicPr/>
                  </pic:nvPicPr>
                  <pic:blipFill>
                    <a:blip r:embed="rId10"/>
                    <a:stretch>
                      <a:fillRect/>
                    </a:stretch>
                  </pic:blipFill>
                  <pic:spPr>
                    <a:xfrm>
                      <a:off x="0" y="0"/>
                      <a:ext cx="5943600" cy="2286635"/>
                    </a:xfrm>
                    <a:prstGeom prst="rect">
                      <a:avLst/>
                    </a:prstGeom>
                  </pic:spPr>
                </pic:pic>
              </a:graphicData>
            </a:graphic>
          </wp:inline>
        </w:drawing>
      </w:r>
    </w:p>
    <w:p w14:paraId="70CA4EDA" w14:textId="34BF05AF" w:rsidR="00721653" w:rsidRDefault="00721653" w:rsidP="00721653">
      <w:pPr>
        <w:pStyle w:val="NormalWeb"/>
        <w:spacing w:before="0" w:beforeAutospacing="0" w:after="0" w:afterAutospacing="0" w:line="360" w:lineRule="auto"/>
        <w:jc w:val="both"/>
      </w:pPr>
      <w:r>
        <w:tab/>
      </w:r>
      <w:r>
        <w:t>Table 3 and Figure 5 report the posterior APD distributions for all three outcomes under the ANCOVA model. Across all three outcomes, the posterior distributions are tightly concentrated around small negative values, with posterior means of -0.023, -0.030, and -0.033 for anxiety, depression, and emotional distress</w:t>
      </w:r>
      <w:r>
        <w:t>,</w:t>
      </w:r>
      <w:r>
        <w:t xml:space="preserve"> respectively, indicating a slight tendency toward lower screening-positive probability in the intervention arm. However, all three posteriors are well within the ROPE [-0.05, +0.05]: the posterior probability inside the ROPE is 88.5% for anxiety, 87.2% for depression, and 82.2% for emotional distress. While none of these exceed the 95% threshold that would constitute strong evidence for a practically null effect, all three are well above 50%, meaning the data are substantially more consistent with a negligible effect than with a practically meaningful one in either direction. The 95% HDIs corroborate this: [-0.067, 0.024] for anxiety, [-0.064, 0.004] for depression, and [-0.070, 0.004] for emotional distress, all straddling zero and entirely or nearly entirely within the ROPE boundaries. The implied Number Needed to Treat </w:t>
      </w:r>
      <w:r>
        <w:lastRenderedPageBreak/>
        <w:t xml:space="preserve">ranges from 30 households for emotional distress to 44 for anxiety. Taken together, these results provide substantial though not decisive positive evidence that the Andilaye WASH intervention had no practically meaningful effect on </w:t>
      </w:r>
      <w:r w:rsidR="00433896">
        <w:t>household</w:t>
      </w:r>
      <w:r>
        <w:t xml:space="preserve"> mental health at endline.</w:t>
      </w:r>
    </w:p>
    <w:p w14:paraId="78992062" w14:textId="3D0F4C35" w:rsidR="00721653" w:rsidRDefault="00721653" w:rsidP="00721653">
      <w:pPr>
        <w:spacing w:line="360" w:lineRule="auto"/>
        <w:rPr>
          <w:b/>
          <w:bCs/>
        </w:rPr>
      </w:pPr>
      <w:r>
        <w:rPr>
          <w:b/>
          <w:bCs/>
        </w:rPr>
        <w:t>Between-</w:t>
      </w:r>
      <w:r w:rsidR="002C01E7">
        <w:rPr>
          <w:b/>
          <w:bCs/>
        </w:rPr>
        <w:t>C</w:t>
      </w:r>
      <w:r>
        <w:rPr>
          <w:b/>
          <w:bCs/>
        </w:rPr>
        <w:t>luster Variance</w:t>
      </w:r>
    </w:p>
    <w:p w14:paraId="2D7AE6DD" w14:textId="5EA23F37" w:rsidR="00721653" w:rsidRPr="00721653" w:rsidRDefault="00721653" w:rsidP="00721653">
      <w:pPr>
        <w:spacing w:line="360" w:lineRule="auto"/>
        <w:jc w:val="center"/>
        <w:rPr>
          <w:b/>
          <w:bCs/>
        </w:rPr>
      </w:pPr>
      <w:r w:rsidRPr="00721653">
        <w:rPr>
          <w:b/>
          <w:bCs/>
        </w:rPr>
        <w:t xml:space="preserve">Table </w:t>
      </w:r>
      <w:r>
        <w:rPr>
          <w:b/>
          <w:bCs/>
        </w:rPr>
        <w:t>5</w:t>
      </w:r>
      <w:r w:rsidRPr="00721653">
        <w:rPr>
          <w:b/>
          <w:bCs/>
        </w:rPr>
        <w:t xml:space="preserve">. Posterior </w:t>
      </w:r>
      <w:r>
        <w:rPr>
          <w:b/>
          <w:bCs/>
        </w:rPr>
        <w:t>B</w:t>
      </w:r>
      <w:r w:rsidRPr="00721653">
        <w:rPr>
          <w:b/>
          <w:bCs/>
        </w:rPr>
        <w:t>etween-</w:t>
      </w:r>
      <w:r>
        <w:rPr>
          <w:b/>
          <w:bCs/>
        </w:rPr>
        <w:t>C</w:t>
      </w:r>
      <w:r w:rsidRPr="00721653">
        <w:rPr>
          <w:b/>
          <w:bCs/>
        </w:rPr>
        <w:t xml:space="preserve">luster </w:t>
      </w:r>
      <w:r>
        <w:rPr>
          <w:b/>
          <w:bCs/>
        </w:rPr>
        <w:t>V</w:t>
      </w:r>
      <w:r w:rsidRPr="00721653">
        <w:rPr>
          <w:b/>
          <w:bCs/>
        </w:rPr>
        <w:t xml:space="preserve">ariance </w:t>
      </w:r>
      <w:r>
        <w:rPr>
          <w:b/>
          <w:bCs/>
        </w:rPr>
        <w:t xml:space="preserve">– </w:t>
      </w:r>
      <w:r w:rsidRPr="00721653">
        <w:rPr>
          <w:b/>
          <w:bCs/>
        </w:rPr>
        <w:t xml:space="preserve">ANCOVA </w:t>
      </w:r>
      <w:r>
        <w:rPr>
          <w:b/>
          <w:bCs/>
        </w:rPr>
        <w:t>M</w:t>
      </w:r>
      <w:r w:rsidRPr="00721653">
        <w:rPr>
          <w:b/>
          <w:bCs/>
        </w:rPr>
        <w:t>odels.</w:t>
      </w:r>
    </w:p>
    <w:tbl>
      <w:tblPr>
        <w:tblStyle w:val="GridTable1Light"/>
        <w:tblW w:w="9350" w:type="dxa"/>
        <w:tblLook w:val="04A0" w:firstRow="1" w:lastRow="0" w:firstColumn="1" w:lastColumn="0" w:noHBand="0" w:noVBand="1"/>
      </w:tblPr>
      <w:tblGrid>
        <w:gridCol w:w="2569"/>
        <w:gridCol w:w="3411"/>
        <w:gridCol w:w="3370"/>
      </w:tblGrid>
      <w:tr w:rsidR="00721653" w:rsidRPr="00721653" w14:paraId="6CEF9547" w14:textId="77777777" w:rsidTr="007216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E8B84" w14:textId="77777777" w:rsidR="00721653" w:rsidRPr="00721653" w:rsidRDefault="00721653" w:rsidP="00721653">
            <w:pPr>
              <w:spacing w:line="360" w:lineRule="auto"/>
              <w:rPr>
                <w:color w:val="000000"/>
                <w:sz w:val="23"/>
                <w:szCs w:val="23"/>
              </w:rPr>
            </w:pPr>
            <w:r w:rsidRPr="00721653">
              <w:rPr>
                <w:color w:val="000000"/>
                <w:sz w:val="23"/>
                <w:szCs w:val="23"/>
              </w:rPr>
              <w:t>Outcome</w:t>
            </w:r>
          </w:p>
        </w:tc>
        <w:tc>
          <w:tcPr>
            <w:tcW w:w="0" w:type="auto"/>
            <w:hideMark/>
          </w:tcPr>
          <w:p w14:paraId="7F7B1061" w14:textId="0A0D4F8D" w:rsidR="00721653" w:rsidRPr="00721653" w:rsidRDefault="00721653" w:rsidP="00721653">
            <w:pPr>
              <w:spacing w:line="360" w:lineRule="auto"/>
              <w:cnfStyle w:val="100000000000" w:firstRow="1" w:lastRow="0" w:firstColumn="0" w:lastColumn="0" w:oddVBand="0" w:evenVBand="0" w:oddHBand="0" w:evenHBand="0" w:firstRowFirstColumn="0" w:firstRowLastColumn="0" w:lastRowFirstColumn="0" w:lastRowLastColumn="0"/>
              <w:rPr>
                <w:color w:val="000000"/>
                <w:sz w:val="23"/>
                <w:szCs w:val="23"/>
              </w:rPr>
            </w:pPr>
            <m:oMathPara>
              <m:oMathParaPr>
                <m:jc m:val="left"/>
              </m:oMathParaPr>
              <m:oMath>
                <m:sSub>
                  <m:sSubPr>
                    <m:ctrlPr>
                      <w:rPr>
                        <w:rFonts w:ascii="Cambria Math" w:hAnsi="Cambria Math"/>
                        <w:i/>
                        <w:color w:val="000000"/>
                        <w:sz w:val="23"/>
                        <w:szCs w:val="23"/>
                      </w:rPr>
                    </m:ctrlPr>
                  </m:sSubPr>
                  <m:e>
                    <m:r>
                      <m:rPr>
                        <m:sty m:val="bi"/>
                      </m:rPr>
                      <w:rPr>
                        <w:rFonts w:ascii="Cambria Math" w:hAnsi="Cambria Math"/>
                        <w:color w:val="000000"/>
                        <w:sz w:val="23"/>
                        <w:szCs w:val="23"/>
                      </w:rPr>
                      <m:t>σ</m:t>
                    </m:r>
                  </m:e>
                  <m:sub>
                    <m:r>
                      <m:rPr>
                        <m:sty m:val="bi"/>
                      </m:rPr>
                      <w:rPr>
                        <w:rFonts w:ascii="Cambria Math" w:hAnsi="Cambria Math"/>
                        <w:color w:val="000000"/>
                        <w:sz w:val="23"/>
                        <w:szCs w:val="23"/>
                      </w:rPr>
                      <m:t>cluster</m:t>
                    </m:r>
                  </m:sub>
                </m:sSub>
              </m:oMath>
            </m:oMathPara>
          </w:p>
        </w:tc>
        <w:tc>
          <w:tcPr>
            <w:tcW w:w="0" w:type="auto"/>
            <w:hideMark/>
          </w:tcPr>
          <w:p w14:paraId="2F3059BE" w14:textId="77777777" w:rsidR="00721653" w:rsidRPr="00721653" w:rsidRDefault="00721653" w:rsidP="00721653">
            <w:pPr>
              <w:spacing w:line="360" w:lineRule="auto"/>
              <w:cnfStyle w:val="100000000000" w:firstRow="1" w:lastRow="0" w:firstColumn="0" w:lastColumn="0" w:oddVBand="0" w:evenVBand="0" w:oddHBand="0" w:evenHBand="0" w:firstRowFirstColumn="0" w:firstRowLastColumn="0" w:lastRowFirstColumn="0" w:lastRowLastColumn="0"/>
              <w:rPr>
                <w:color w:val="000000"/>
                <w:sz w:val="23"/>
                <w:szCs w:val="23"/>
              </w:rPr>
            </w:pPr>
            <w:r w:rsidRPr="00721653">
              <w:rPr>
                <w:color w:val="000000"/>
                <w:sz w:val="23"/>
                <w:szCs w:val="23"/>
              </w:rPr>
              <w:t>ICC</w:t>
            </w:r>
          </w:p>
        </w:tc>
      </w:tr>
      <w:tr w:rsidR="00721653" w:rsidRPr="00721653" w14:paraId="32D5A19D" w14:textId="77777777" w:rsidTr="00721653">
        <w:tc>
          <w:tcPr>
            <w:cnfStyle w:val="001000000000" w:firstRow="0" w:lastRow="0" w:firstColumn="1" w:lastColumn="0" w:oddVBand="0" w:evenVBand="0" w:oddHBand="0" w:evenHBand="0" w:firstRowFirstColumn="0" w:firstRowLastColumn="0" w:lastRowFirstColumn="0" w:lastRowLastColumn="0"/>
            <w:tcW w:w="0" w:type="auto"/>
            <w:hideMark/>
          </w:tcPr>
          <w:p w14:paraId="3E3EBB08" w14:textId="77777777" w:rsidR="00721653" w:rsidRPr="00721653" w:rsidRDefault="00721653" w:rsidP="00721653">
            <w:pPr>
              <w:spacing w:line="360" w:lineRule="auto"/>
              <w:rPr>
                <w:b w:val="0"/>
                <w:bCs w:val="0"/>
                <w:color w:val="000000"/>
                <w:sz w:val="23"/>
                <w:szCs w:val="23"/>
              </w:rPr>
            </w:pPr>
            <w:r w:rsidRPr="00721653">
              <w:rPr>
                <w:color w:val="000000"/>
                <w:sz w:val="23"/>
                <w:szCs w:val="23"/>
              </w:rPr>
              <w:t>Anxiety</w:t>
            </w:r>
          </w:p>
        </w:tc>
        <w:tc>
          <w:tcPr>
            <w:tcW w:w="0" w:type="auto"/>
            <w:hideMark/>
          </w:tcPr>
          <w:p w14:paraId="0799ED83" w14:textId="77777777" w:rsidR="00721653" w:rsidRPr="00721653" w:rsidRDefault="00721653" w:rsidP="00721653">
            <w:pPr>
              <w:spacing w:line="360" w:lineRule="auto"/>
              <w:cnfStyle w:val="000000000000" w:firstRow="0" w:lastRow="0" w:firstColumn="0" w:lastColumn="0" w:oddVBand="0" w:evenVBand="0" w:oddHBand="0" w:evenHBand="0" w:firstRowFirstColumn="0" w:firstRowLastColumn="0" w:lastRowFirstColumn="0" w:lastRowLastColumn="0"/>
              <w:rPr>
                <w:color w:val="000000"/>
                <w:sz w:val="23"/>
                <w:szCs w:val="23"/>
              </w:rPr>
            </w:pPr>
            <w:r w:rsidRPr="00721653">
              <w:rPr>
                <w:color w:val="000000"/>
                <w:sz w:val="23"/>
                <w:szCs w:val="23"/>
              </w:rPr>
              <w:t>0.300 [0.052, 0.515]</w:t>
            </w:r>
          </w:p>
        </w:tc>
        <w:tc>
          <w:tcPr>
            <w:tcW w:w="0" w:type="auto"/>
            <w:hideMark/>
          </w:tcPr>
          <w:p w14:paraId="373978A2" w14:textId="77777777" w:rsidR="00721653" w:rsidRPr="00721653" w:rsidRDefault="00721653" w:rsidP="00721653">
            <w:pPr>
              <w:spacing w:line="360" w:lineRule="auto"/>
              <w:cnfStyle w:val="000000000000" w:firstRow="0" w:lastRow="0" w:firstColumn="0" w:lastColumn="0" w:oddVBand="0" w:evenVBand="0" w:oddHBand="0" w:evenHBand="0" w:firstRowFirstColumn="0" w:firstRowLastColumn="0" w:lastRowFirstColumn="0" w:lastRowLastColumn="0"/>
              <w:rPr>
                <w:color w:val="000000"/>
                <w:sz w:val="23"/>
                <w:szCs w:val="23"/>
              </w:rPr>
            </w:pPr>
            <w:r w:rsidRPr="00721653">
              <w:rPr>
                <w:color w:val="000000"/>
                <w:sz w:val="23"/>
                <w:szCs w:val="23"/>
              </w:rPr>
              <w:t>0.030 [0.000, 0.065]</w:t>
            </w:r>
          </w:p>
        </w:tc>
      </w:tr>
      <w:tr w:rsidR="00721653" w:rsidRPr="00721653" w14:paraId="2B3C308D" w14:textId="77777777" w:rsidTr="00721653">
        <w:tc>
          <w:tcPr>
            <w:cnfStyle w:val="001000000000" w:firstRow="0" w:lastRow="0" w:firstColumn="1" w:lastColumn="0" w:oddVBand="0" w:evenVBand="0" w:oddHBand="0" w:evenHBand="0" w:firstRowFirstColumn="0" w:firstRowLastColumn="0" w:lastRowFirstColumn="0" w:lastRowLastColumn="0"/>
            <w:tcW w:w="0" w:type="auto"/>
            <w:hideMark/>
          </w:tcPr>
          <w:p w14:paraId="48A5D7CE" w14:textId="77777777" w:rsidR="00721653" w:rsidRPr="00721653" w:rsidRDefault="00721653" w:rsidP="00721653">
            <w:pPr>
              <w:spacing w:line="360" w:lineRule="auto"/>
              <w:rPr>
                <w:color w:val="000000"/>
                <w:sz w:val="23"/>
                <w:szCs w:val="23"/>
              </w:rPr>
            </w:pPr>
            <w:r w:rsidRPr="00721653">
              <w:rPr>
                <w:color w:val="000000"/>
                <w:sz w:val="23"/>
                <w:szCs w:val="23"/>
              </w:rPr>
              <w:t>Depression</w:t>
            </w:r>
          </w:p>
        </w:tc>
        <w:tc>
          <w:tcPr>
            <w:tcW w:w="0" w:type="auto"/>
            <w:hideMark/>
          </w:tcPr>
          <w:p w14:paraId="1D54D686" w14:textId="77777777" w:rsidR="00721653" w:rsidRPr="00721653" w:rsidRDefault="00721653" w:rsidP="00721653">
            <w:pPr>
              <w:spacing w:line="360" w:lineRule="auto"/>
              <w:cnfStyle w:val="000000000000" w:firstRow="0" w:lastRow="0" w:firstColumn="0" w:lastColumn="0" w:oddVBand="0" w:evenVBand="0" w:oddHBand="0" w:evenHBand="0" w:firstRowFirstColumn="0" w:firstRowLastColumn="0" w:lastRowFirstColumn="0" w:lastRowLastColumn="0"/>
              <w:rPr>
                <w:color w:val="000000"/>
                <w:sz w:val="23"/>
                <w:szCs w:val="23"/>
              </w:rPr>
            </w:pPr>
            <w:r w:rsidRPr="00721653">
              <w:rPr>
                <w:color w:val="000000"/>
                <w:sz w:val="23"/>
                <w:szCs w:val="23"/>
              </w:rPr>
              <w:t>0.183 [0.002, 0.402]</w:t>
            </w:r>
          </w:p>
        </w:tc>
        <w:tc>
          <w:tcPr>
            <w:tcW w:w="0" w:type="auto"/>
            <w:hideMark/>
          </w:tcPr>
          <w:p w14:paraId="5AB6A09B" w14:textId="77777777" w:rsidR="00721653" w:rsidRPr="00721653" w:rsidRDefault="00721653" w:rsidP="00721653">
            <w:pPr>
              <w:spacing w:line="360" w:lineRule="auto"/>
              <w:cnfStyle w:val="000000000000" w:firstRow="0" w:lastRow="0" w:firstColumn="0" w:lastColumn="0" w:oddVBand="0" w:evenVBand="0" w:oddHBand="0" w:evenHBand="0" w:firstRowFirstColumn="0" w:firstRowLastColumn="0" w:lastRowFirstColumn="0" w:lastRowLastColumn="0"/>
              <w:rPr>
                <w:color w:val="000000"/>
                <w:sz w:val="23"/>
                <w:szCs w:val="23"/>
              </w:rPr>
            </w:pPr>
            <w:r w:rsidRPr="00721653">
              <w:rPr>
                <w:color w:val="000000"/>
                <w:sz w:val="23"/>
                <w:szCs w:val="23"/>
              </w:rPr>
              <w:t>0.014 [0.000, 0.047]</w:t>
            </w:r>
          </w:p>
        </w:tc>
      </w:tr>
      <w:tr w:rsidR="00721653" w:rsidRPr="00721653" w14:paraId="0F0DCA03" w14:textId="77777777" w:rsidTr="00721653">
        <w:tc>
          <w:tcPr>
            <w:cnfStyle w:val="001000000000" w:firstRow="0" w:lastRow="0" w:firstColumn="1" w:lastColumn="0" w:oddVBand="0" w:evenVBand="0" w:oddHBand="0" w:evenHBand="0" w:firstRowFirstColumn="0" w:firstRowLastColumn="0" w:lastRowFirstColumn="0" w:lastRowLastColumn="0"/>
            <w:tcW w:w="0" w:type="auto"/>
            <w:hideMark/>
          </w:tcPr>
          <w:p w14:paraId="3F1F6DAF" w14:textId="77777777" w:rsidR="00721653" w:rsidRPr="00721653" w:rsidRDefault="00721653" w:rsidP="00721653">
            <w:pPr>
              <w:spacing w:line="360" w:lineRule="auto"/>
              <w:rPr>
                <w:color w:val="000000"/>
                <w:sz w:val="23"/>
                <w:szCs w:val="23"/>
              </w:rPr>
            </w:pPr>
            <w:r w:rsidRPr="00721653">
              <w:rPr>
                <w:color w:val="000000"/>
                <w:sz w:val="23"/>
                <w:szCs w:val="23"/>
              </w:rPr>
              <w:t>Emotion</w:t>
            </w:r>
          </w:p>
        </w:tc>
        <w:tc>
          <w:tcPr>
            <w:tcW w:w="0" w:type="auto"/>
            <w:hideMark/>
          </w:tcPr>
          <w:p w14:paraId="33BFB1F6" w14:textId="77777777" w:rsidR="00721653" w:rsidRPr="00721653" w:rsidRDefault="00721653" w:rsidP="00721653">
            <w:pPr>
              <w:spacing w:line="360" w:lineRule="auto"/>
              <w:cnfStyle w:val="000000000000" w:firstRow="0" w:lastRow="0" w:firstColumn="0" w:lastColumn="0" w:oddVBand="0" w:evenVBand="0" w:oddHBand="0" w:evenHBand="0" w:firstRowFirstColumn="0" w:firstRowLastColumn="0" w:lastRowFirstColumn="0" w:lastRowLastColumn="0"/>
              <w:rPr>
                <w:color w:val="000000"/>
                <w:sz w:val="23"/>
                <w:szCs w:val="23"/>
              </w:rPr>
            </w:pPr>
            <w:r w:rsidRPr="00721653">
              <w:rPr>
                <w:color w:val="000000"/>
                <w:sz w:val="23"/>
                <w:szCs w:val="23"/>
              </w:rPr>
              <w:t>0.153 [0.000, 0.358]</w:t>
            </w:r>
          </w:p>
        </w:tc>
        <w:tc>
          <w:tcPr>
            <w:tcW w:w="0" w:type="auto"/>
            <w:hideMark/>
          </w:tcPr>
          <w:p w14:paraId="5C1AE69C" w14:textId="77777777" w:rsidR="00721653" w:rsidRPr="00721653" w:rsidRDefault="00721653" w:rsidP="00721653">
            <w:pPr>
              <w:spacing w:line="360" w:lineRule="auto"/>
              <w:cnfStyle w:val="000000000000" w:firstRow="0" w:lastRow="0" w:firstColumn="0" w:lastColumn="0" w:oddVBand="0" w:evenVBand="0" w:oddHBand="0" w:evenHBand="0" w:firstRowFirstColumn="0" w:firstRowLastColumn="0" w:lastRowFirstColumn="0" w:lastRowLastColumn="0"/>
              <w:rPr>
                <w:color w:val="000000"/>
                <w:sz w:val="23"/>
                <w:szCs w:val="23"/>
              </w:rPr>
            </w:pPr>
            <w:r w:rsidRPr="00721653">
              <w:rPr>
                <w:color w:val="000000"/>
                <w:sz w:val="23"/>
                <w:szCs w:val="23"/>
              </w:rPr>
              <w:t>0.011 [0.000, 0.037]</w:t>
            </w:r>
          </w:p>
        </w:tc>
      </w:tr>
      <w:tr w:rsidR="00721653" w:rsidRPr="00721653" w14:paraId="14B28A08" w14:textId="77777777" w:rsidTr="00DB7369">
        <w:tc>
          <w:tcPr>
            <w:cnfStyle w:val="001000000000" w:firstRow="0" w:lastRow="0" w:firstColumn="1" w:lastColumn="0" w:oddVBand="0" w:evenVBand="0" w:oddHBand="0" w:evenHBand="0" w:firstRowFirstColumn="0" w:firstRowLastColumn="0" w:lastRowFirstColumn="0" w:lastRowLastColumn="0"/>
            <w:tcW w:w="0" w:type="auto"/>
            <w:gridSpan w:val="3"/>
            <w:hideMark/>
          </w:tcPr>
          <w:p w14:paraId="1007C238" w14:textId="4EFE91CB" w:rsidR="00721653" w:rsidRPr="00721653" w:rsidRDefault="00721653" w:rsidP="00721653">
            <w:pPr>
              <w:spacing w:line="360" w:lineRule="auto"/>
              <w:rPr>
                <w:b w:val="0"/>
                <w:bCs w:val="0"/>
                <w:sz w:val="20"/>
                <w:szCs w:val="20"/>
              </w:rPr>
            </w:pPr>
            <w:r w:rsidRPr="00721653">
              <w:rPr>
                <w:b w:val="0"/>
                <w:bCs w:val="0"/>
                <w:i/>
                <w:iCs/>
                <w:color w:val="000000"/>
                <w:sz w:val="23"/>
                <w:szCs w:val="23"/>
              </w:rPr>
              <w:t>Note:</w:t>
            </w:r>
            <w:r w:rsidRPr="00721653">
              <w:rPr>
                <w:b w:val="0"/>
                <w:bCs w:val="0"/>
                <w:color w:val="000000"/>
                <w:sz w:val="23"/>
                <w:szCs w:val="23"/>
              </w:rPr>
              <w:t xml:space="preserve"> All estimates reported as posterior mean [95% Highest Density Interval]. </w:t>
            </w:r>
            <w:r w:rsidRPr="00721653">
              <w:rPr>
                <w:i/>
                <w:color w:val="000000"/>
                <w:sz w:val="23"/>
                <w:szCs w:val="23"/>
              </w:rPr>
              <w:br/>
            </w:r>
            <m:oMath>
              <m:sSub>
                <m:sSubPr>
                  <m:ctrlPr>
                    <w:rPr>
                      <w:rFonts w:ascii="Cambria Math" w:hAnsi="Cambria Math"/>
                      <w:i/>
                      <w:color w:val="000000"/>
                      <w:sz w:val="23"/>
                      <w:szCs w:val="23"/>
                    </w:rPr>
                  </m:ctrlPr>
                </m:sSubPr>
                <m:e>
                  <m:r>
                    <m:rPr>
                      <m:sty m:val="bi"/>
                    </m:rPr>
                    <w:rPr>
                      <w:rFonts w:ascii="Cambria Math" w:hAnsi="Cambria Math"/>
                      <w:color w:val="000000"/>
                      <w:sz w:val="23"/>
                      <w:szCs w:val="23"/>
                    </w:rPr>
                    <m:t>σ</m:t>
                  </m:r>
                </m:e>
                <m:sub>
                  <m:r>
                    <m:rPr>
                      <m:sty m:val="bi"/>
                    </m:rPr>
                    <w:rPr>
                      <w:rFonts w:ascii="Cambria Math" w:hAnsi="Cambria Math"/>
                      <w:color w:val="000000"/>
                      <w:sz w:val="23"/>
                      <w:szCs w:val="23"/>
                    </w:rPr>
                    <m:t>cluster</m:t>
                  </m:r>
                </m:sub>
              </m:sSub>
            </m:oMath>
            <w:r w:rsidRPr="00721653">
              <w:rPr>
                <w:b w:val="0"/>
                <w:bCs w:val="0"/>
                <w:color w:val="000000"/>
                <w:sz w:val="23"/>
                <w:szCs w:val="23"/>
              </w:rPr>
              <w:t xml:space="preserve"> = between-kebele standard deviation on the log-odds scale. ICC = Intraclass Correlation Coefficient, computed draw-by-draw as</w:t>
            </w:r>
            <w:r w:rsidRPr="00721653">
              <w:rPr>
                <w:b w:val="0"/>
                <w:bCs w:val="0"/>
                <w:color w:val="000000"/>
                <w:sz w:val="23"/>
                <w:szCs w:val="23"/>
              </w:rPr>
              <w:t xml:space="preserve"> </w:t>
            </w:r>
            <m:oMath>
              <m:f>
                <m:fPr>
                  <m:ctrlPr>
                    <w:rPr>
                      <w:rStyle w:val="mord"/>
                      <w:rFonts w:ascii="Cambria Math" w:eastAsiaTheme="minorEastAsia" w:hAnsi="Cambria Math"/>
                      <w:b w:val="0"/>
                      <w:bCs w:val="0"/>
                      <w:kern w:val="2"/>
                      <w14:ligatures w14:val="standardContextual"/>
                    </w:rPr>
                  </m:ctrlPr>
                </m:fPr>
                <m:num>
                  <m:sSubSup>
                    <m:sSubSupPr>
                      <m:ctrlPr>
                        <w:rPr>
                          <w:rStyle w:val="mord"/>
                          <w:rFonts w:ascii="Cambria Math" w:eastAsiaTheme="minorEastAsia" w:hAnsi="Cambria Math"/>
                          <w:b w:val="0"/>
                          <w:bCs w:val="0"/>
                          <w:i/>
                          <w:kern w:val="2"/>
                          <w14:ligatures w14:val="standardContextual"/>
                        </w:rPr>
                      </m:ctrlPr>
                    </m:sSubSupPr>
                    <m:e>
                      <m:r>
                        <m:rPr>
                          <m:sty m:val="bi"/>
                        </m:rPr>
                        <w:rPr>
                          <w:rStyle w:val="mord"/>
                          <w:rFonts w:ascii="Cambria Math" w:hAnsi="Cambria Math"/>
                        </w:rPr>
                        <m:t>σ</m:t>
                      </m:r>
                    </m:e>
                    <m:sub>
                      <m:r>
                        <m:rPr>
                          <m:sty m:val="bi"/>
                        </m:rPr>
                        <w:rPr>
                          <w:rStyle w:val="mord"/>
                          <w:rFonts w:ascii="Cambria Math" w:hAnsi="Cambria Math"/>
                        </w:rPr>
                        <m:t>cluster</m:t>
                      </m:r>
                    </m:sub>
                    <m:sup>
                      <m:d>
                        <m:dPr>
                          <m:ctrlPr>
                            <w:rPr>
                              <w:rStyle w:val="mord"/>
                              <w:rFonts w:ascii="Cambria Math" w:hAnsi="Cambria Math"/>
                              <w:i/>
                            </w:rPr>
                          </m:ctrlPr>
                        </m:dPr>
                        <m:e>
                          <m:r>
                            <m:rPr>
                              <m:sty m:val="bi"/>
                            </m:rPr>
                            <w:rPr>
                              <w:rStyle w:val="mord"/>
                              <w:rFonts w:ascii="Cambria Math" w:hAnsi="Cambria Math"/>
                            </w:rPr>
                            <m:t>s</m:t>
                          </m:r>
                        </m:e>
                      </m:d>
                      <m:r>
                        <m:rPr>
                          <m:sty m:val="bi"/>
                        </m:rPr>
                        <w:rPr>
                          <w:rStyle w:val="mord"/>
                          <w:rFonts w:ascii="Cambria Math" w:hAnsi="Cambria Math"/>
                        </w:rPr>
                        <m:t>2</m:t>
                      </m:r>
                    </m:sup>
                  </m:sSubSup>
                </m:num>
                <m:den>
                  <m:f>
                    <m:fPr>
                      <m:ctrlPr>
                        <w:rPr>
                          <w:rStyle w:val="mord"/>
                          <w:rFonts w:ascii="Cambria Math" w:eastAsiaTheme="minorEastAsia" w:hAnsi="Cambria Math"/>
                          <w:b w:val="0"/>
                          <w:bCs w:val="0"/>
                          <w:i/>
                          <w:kern w:val="2"/>
                          <w14:ligatures w14:val="standardContextual"/>
                        </w:rPr>
                      </m:ctrlPr>
                    </m:fPr>
                    <m:num>
                      <m:sSup>
                        <m:sSupPr>
                          <m:ctrlPr>
                            <w:rPr>
                              <w:rStyle w:val="mord"/>
                              <w:rFonts w:ascii="Cambria Math" w:eastAsiaTheme="minorEastAsia" w:hAnsi="Cambria Math"/>
                              <w:b w:val="0"/>
                              <w:bCs w:val="0"/>
                              <w:i/>
                              <w:kern w:val="2"/>
                              <w14:ligatures w14:val="standardContextual"/>
                            </w:rPr>
                          </m:ctrlPr>
                        </m:sSupPr>
                        <m:e>
                          <m:r>
                            <m:rPr>
                              <m:sty m:val="bi"/>
                            </m:rPr>
                            <w:rPr>
                              <w:rStyle w:val="mord"/>
                              <w:rFonts w:ascii="Cambria Math" w:hAnsi="Cambria Math"/>
                            </w:rPr>
                            <m:t>π</m:t>
                          </m:r>
                        </m:e>
                        <m:sup>
                          <m:r>
                            <m:rPr>
                              <m:sty m:val="bi"/>
                            </m:rPr>
                            <w:rPr>
                              <w:rStyle w:val="mord"/>
                              <w:rFonts w:ascii="Cambria Math" w:hAnsi="Cambria Math"/>
                            </w:rPr>
                            <m:t>2</m:t>
                          </m:r>
                        </m:sup>
                      </m:sSup>
                    </m:num>
                    <m:den>
                      <m:r>
                        <m:rPr>
                          <m:sty m:val="bi"/>
                        </m:rPr>
                        <w:rPr>
                          <w:rStyle w:val="mord"/>
                          <w:rFonts w:ascii="Cambria Math" w:hAnsi="Cambria Math"/>
                        </w:rPr>
                        <m:t>3</m:t>
                      </m:r>
                    </m:den>
                  </m:f>
                  <m:r>
                    <m:rPr>
                      <m:sty m:val="bi"/>
                    </m:rPr>
                    <w:rPr>
                      <w:rStyle w:val="mord"/>
                      <w:rFonts w:ascii="Cambria Math" w:hAnsi="Cambria Math"/>
                    </w:rPr>
                    <m:t xml:space="preserve"> + </m:t>
                  </m:r>
                  <m:sSubSup>
                    <m:sSubSupPr>
                      <m:ctrlPr>
                        <w:rPr>
                          <w:rStyle w:val="mord"/>
                          <w:rFonts w:ascii="Cambria Math" w:eastAsiaTheme="minorEastAsia" w:hAnsi="Cambria Math"/>
                          <w:b w:val="0"/>
                          <w:bCs w:val="0"/>
                          <w:i/>
                          <w:kern w:val="2"/>
                          <w14:ligatures w14:val="standardContextual"/>
                        </w:rPr>
                      </m:ctrlPr>
                    </m:sSubSupPr>
                    <m:e>
                      <m:r>
                        <m:rPr>
                          <m:sty m:val="bi"/>
                        </m:rPr>
                        <w:rPr>
                          <w:rStyle w:val="mord"/>
                          <w:rFonts w:ascii="Cambria Math" w:hAnsi="Cambria Math"/>
                        </w:rPr>
                        <m:t>σ</m:t>
                      </m:r>
                    </m:e>
                    <m:sub>
                      <m:r>
                        <m:rPr>
                          <m:sty m:val="bi"/>
                        </m:rPr>
                        <w:rPr>
                          <w:rStyle w:val="mord"/>
                          <w:rFonts w:ascii="Cambria Math" w:hAnsi="Cambria Math"/>
                        </w:rPr>
                        <m:t>cluster</m:t>
                      </m:r>
                    </m:sub>
                    <m:sup>
                      <m:d>
                        <m:dPr>
                          <m:ctrlPr>
                            <w:rPr>
                              <w:rStyle w:val="mord"/>
                              <w:rFonts w:ascii="Cambria Math" w:hAnsi="Cambria Math"/>
                              <w:i/>
                            </w:rPr>
                          </m:ctrlPr>
                        </m:dPr>
                        <m:e>
                          <m:r>
                            <m:rPr>
                              <m:sty m:val="bi"/>
                            </m:rPr>
                            <w:rPr>
                              <w:rStyle w:val="mord"/>
                              <w:rFonts w:ascii="Cambria Math" w:hAnsi="Cambria Math"/>
                            </w:rPr>
                            <m:t>s</m:t>
                          </m:r>
                        </m:e>
                      </m:d>
                      <m:r>
                        <m:rPr>
                          <m:sty m:val="bi"/>
                        </m:rPr>
                        <w:rPr>
                          <w:rStyle w:val="mord"/>
                          <w:rFonts w:ascii="Cambria Math" w:hAnsi="Cambria Math"/>
                        </w:rPr>
                        <m:t>2</m:t>
                      </m:r>
                    </m:sup>
                  </m:sSubSup>
                </m:den>
              </m:f>
            </m:oMath>
            <w:r w:rsidRPr="00721653">
              <w:rPr>
                <w:b w:val="0"/>
                <w:bCs w:val="0"/>
                <w:color w:val="000000"/>
                <w:sz w:val="23"/>
                <w:szCs w:val="23"/>
              </w:rPr>
              <w:t xml:space="preserve">, where </w:t>
            </w:r>
            <m:oMath>
              <m:f>
                <m:fPr>
                  <m:ctrlPr>
                    <w:rPr>
                      <w:rStyle w:val="mord"/>
                      <w:rFonts w:ascii="Cambria Math" w:eastAsiaTheme="minorEastAsia" w:hAnsi="Cambria Math"/>
                      <w:b w:val="0"/>
                      <w:bCs w:val="0"/>
                      <w:i/>
                      <w:kern w:val="2"/>
                      <w14:ligatures w14:val="standardContextual"/>
                    </w:rPr>
                  </m:ctrlPr>
                </m:fPr>
                <m:num>
                  <m:sSup>
                    <m:sSupPr>
                      <m:ctrlPr>
                        <w:rPr>
                          <w:rStyle w:val="mord"/>
                          <w:rFonts w:ascii="Cambria Math" w:eastAsiaTheme="minorEastAsia" w:hAnsi="Cambria Math"/>
                          <w:b w:val="0"/>
                          <w:bCs w:val="0"/>
                          <w:i/>
                          <w:kern w:val="2"/>
                          <w14:ligatures w14:val="standardContextual"/>
                        </w:rPr>
                      </m:ctrlPr>
                    </m:sSupPr>
                    <m:e>
                      <m:r>
                        <m:rPr>
                          <m:sty m:val="bi"/>
                        </m:rPr>
                        <w:rPr>
                          <w:rStyle w:val="mord"/>
                          <w:rFonts w:ascii="Cambria Math" w:hAnsi="Cambria Math"/>
                        </w:rPr>
                        <m:t>π</m:t>
                      </m:r>
                    </m:e>
                    <m:sup>
                      <m:r>
                        <m:rPr>
                          <m:sty m:val="bi"/>
                        </m:rPr>
                        <w:rPr>
                          <w:rStyle w:val="mord"/>
                          <w:rFonts w:ascii="Cambria Math" w:hAnsi="Cambria Math"/>
                        </w:rPr>
                        <m:t>2</m:t>
                      </m:r>
                    </m:sup>
                  </m:sSup>
                </m:num>
                <m:den>
                  <m:r>
                    <m:rPr>
                      <m:sty m:val="bi"/>
                    </m:rPr>
                    <w:rPr>
                      <w:rStyle w:val="mord"/>
                      <w:rFonts w:ascii="Cambria Math" w:hAnsi="Cambria Math"/>
                    </w:rPr>
                    <m:t>3</m:t>
                  </m:r>
                </m:den>
              </m:f>
            </m:oMath>
            <w:r w:rsidRPr="00721653">
              <w:rPr>
                <w:rStyle w:val="mord"/>
                <w:b w:val="0"/>
                <w:bCs w:val="0"/>
                <w:kern w:val="2"/>
                <w14:ligatures w14:val="standardContextual"/>
              </w:rPr>
              <w:t xml:space="preserve"> </w:t>
            </w:r>
            <w:r w:rsidRPr="00721653">
              <w:rPr>
                <w:b w:val="0"/>
                <w:bCs w:val="0"/>
                <w:color w:val="000000"/>
                <w:sz w:val="23"/>
                <w:szCs w:val="23"/>
              </w:rPr>
              <w:t>is the variance of the standard logistic distribution.</w:t>
            </w:r>
          </w:p>
        </w:tc>
      </w:tr>
    </w:tbl>
    <w:p w14:paraId="51C3F557" w14:textId="519878B1" w:rsidR="00721653" w:rsidRDefault="00396225" w:rsidP="00396225">
      <w:pPr>
        <w:spacing w:line="360" w:lineRule="auto"/>
        <w:jc w:val="both"/>
      </w:pPr>
      <w:r>
        <w:tab/>
      </w:r>
      <w:r>
        <w:t xml:space="preserve">Table 4 and Figure 6 report the posterior distributions of </w:t>
      </w:r>
      <m:oMath>
        <m:sSub>
          <m:sSubPr>
            <m:ctrlPr>
              <w:rPr>
                <w:rFonts w:ascii="Cambria Math" w:hAnsi="Cambria Math"/>
              </w:rPr>
            </m:ctrlPr>
          </m:sSubPr>
          <m:e>
            <m:r>
              <w:rPr>
                <w:rFonts w:ascii="Cambria Math" w:hAnsi="Cambria Math"/>
              </w:rPr>
              <m:t>σ</m:t>
            </m:r>
          </m:e>
          <m:sub>
            <m:r>
              <m:rPr>
                <m:nor/>
              </m:rPr>
              <m:t>cluster</m:t>
            </m:r>
          </m:sub>
        </m:sSub>
      </m:oMath>
      <w:r>
        <w:t xml:space="preserve">and the implied </w:t>
      </w:r>
      <w:r>
        <w:t>ICC</w:t>
      </w:r>
      <w:r>
        <w:t xml:space="preserve"> across the three outcomes. The posterior distributions of </w:t>
      </w:r>
      <m:oMath>
        <m:sSub>
          <m:sSubPr>
            <m:ctrlPr>
              <w:rPr>
                <w:rFonts w:ascii="Cambria Math" w:hAnsi="Cambria Math"/>
              </w:rPr>
            </m:ctrlPr>
          </m:sSubPr>
          <m:e>
            <m:r>
              <w:rPr>
                <w:rFonts w:ascii="Cambria Math" w:hAnsi="Cambria Math"/>
              </w:rPr>
              <m:t>σ</m:t>
            </m:r>
          </m:e>
          <m:sub>
            <m:r>
              <m:rPr>
                <m:nor/>
              </m:rPr>
              <m:t>cluster</m:t>
            </m:r>
          </m:sub>
        </m:sSub>
      </m:oMath>
      <w:r>
        <w:t>(Figure 6a) are right-skewed and concentrated near modest values, with posterior means of 0.300, 0.183, and 0.153 for anxiety, depression, and emotional distress</w:t>
      </w:r>
      <w:r>
        <w:t>,</w:t>
      </w:r>
      <w:r>
        <w:t xml:space="preserve"> respectively. The wide 95% HDIs</w:t>
      </w:r>
      <w:r>
        <w:t>,</w:t>
      </w:r>
      <w:r>
        <w:t xml:space="preserve"> spanning from near zero to approximately 0.515 for anxiety</w:t>
      </w:r>
      <w:r>
        <w:t>,</w:t>
      </w:r>
      <w:r>
        <w:t xml:space="preserve"> reflect substantial uncertainty about the true degree of between-kebele heterogeneity, which is expected given that cluster-level variance parameters are weakly identified in logistic models with moderate cluster sizes. Notably, all three HDIs include values very close to zero, indicating the data are consistent with minimal between-cluster clustering for all outcomes. The implied ICC posteriors (Figure 6b) tell the same story: posterior means of 0.030, 0.014, and 0.011 for anxiety, depression, and emotional distress</w:t>
      </w:r>
      <w:r>
        <w:t>,</w:t>
      </w:r>
      <w:r>
        <w:t xml:space="preserve"> respectively, with 95% HDIs spanning from essentially zero to at most 0.065. </w:t>
      </w:r>
      <w:r w:rsidRPr="00396225">
        <w:t>These estimates fall below or at the lower boundary of the 0.03 to 0.09 range reported in the literature (</w:t>
      </w:r>
      <w:proofErr w:type="spellStart"/>
      <w:r w:rsidRPr="00396225">
        <w:t>Bhaskarapillai</w:t>
      </w:r>
      <w:proofErr w:type="spellEnd"/>
      <w:r w:rsidRPr="00396225">
        <w:t xml:space="preserve"> et al., 2025; Williams et al., 2024), indicating that mental health outcomes in this </w:t>
      </w:r>
      <w:r>
        <w:t xml:space="preserve">Ethiopian </w:t>
      </w:r>
      <w:r w:rsidRPr="00396225">
        <w:t>population cluster only weakly at the kebele level, with most variation occurring between households rather than between communities.</w:t>
      </w:r>
      <w:r>
        <w:t xml:space="preserve"> </w:t>
      </w:r>
      <w:r>
        <w:t>The full posterior distribution of the ICC, rather than a point estimate alone, is one of the key advantages of the Bayesian hierarchical approach over frequentist alternatives such as GEE, which do not directly quantify uncertainty about the clustering structure.</w:t>
      </w:r>
    </w:p>
    <w:p w14:paraId="59A0A0CA" w14:textId="615AEDB9" w:rsidR="00721653" w:rsidRPr="003A6F17" w:rsidRDefault="00C8232C" w:rsidP="003A6F17">
      <w:r w:rsidRPr="00C8232C">
        <w:lastRenderedPageBreak/>
        <w:drawing>
          <wp:inline distT="0" distB="0" distL="0" distR="0" wp14:anchorId="0A020BB3" wp14:editId="01997C51">
            <wp:extent cx="5943600" cy="2286635"/>
            <wp:effectExtent l="0" t="0" r="0" b="0"/>
            <wp:docPr id="138244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41005" name=""/>
                    <pic:cNvPicPr/>
                  </pic:nvPicPr>
                  <pic:blipFill>
                    <a:blip r:embed="rId11"/>
                    <a:stretch>
                      <a:fillRect/>
                    </a:stretch>
                  </pic:blipFill>
                  <pic:spPr>
                    <a:xfrm>
                      <a:off x="0" y="0"/>
                      <a:ext cx="5943600" cy="2286635"/>
                    </a:xfrm>
                    <a:prstGeom prst="rect">
                      <a:avLst/>
                    </a:prstGeom>
                  </pic:spPr>
                </pic:pic>
              </a:graphicData>
            </a:graphic>
          </wp:inline>
        </w:drawing>
      </w:r>
    </w:p>
    <w:p w14:paraId="1A727EEA" w14:textId="7D76C00B" w:rsidR="002024AE" w:rsidRDefault="002024AE" w:rsidP="00E37F7F">
      <w:pPr>
        <w:pStyle w:val="Heading1"/>
        <w:numPr>
          <w:ilvl w:val="0"/>
          <w:numId w:val="1"/>
        </w:numPr>
      </w:pPr>
      <w:r>
        <w:t>Posterior Predictive Chec</w:t>
      </w:r>
      <w:r w:rsidR="00396225">
        <w:t>k</w:t>
      </w:r>
    </w:p>
    <w:p w14:paraId="65A5F331" w14:textId="163B2261" w:rsidR="00D028BC" w:rsidRPr="00D028BC" w:rsidRDefault="00D028BC" w:rsidP="00D028BC">
      <w:r>
        <w:rPr>
          <w:noProof/>
          <w14:ligatures w14:val="standardContextual"/>
        </w:rPr>
        <w:drawing>
          <wp:inline distT="0" distB="0" distL="0" distR="0" wp14:anchorId="75A2A818" wp14:editId="03D796B8">
            <wp:extent cx="5943600" cy="2578100"/>
            <wp:effectExtent l="0" t="0" r="0" b="0"/>
            <wp:docPr id="108806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61650" name=""/>
                    <pic:cNvPicPr/>
                  </pic:nvPicPr>
                  <pic:blipFill>
                    <a:blip r:embed="rId12"/>
                    <a:stretch>
                      <a:fillRect/>
                    </a:stretch>
                  </pic:blipFill>
                  <pic:spPr>
                    <a:xfrm>
                      <a:off x="0" y="0"/>
                      <a:ext cx="5943600" cy="2578100"/>
                    </a:xfrm>
                    <a:prstGeom prst="rect">
                      <a:avLst/>
                    </a:prstGeom>
                  </pic:spPr>
                </pic:pic>
              </a:graphicData>
            </a:graphic>
          </wp:inline>
        </w:drawing>
      </w:r>
    </w:p>
    <w:p w14:paraId="07F38728" w14:textId="2B4382E7" w:rsidR="00D028BC" w:rsidRPr="00D028BC" w:rsidRDefault="00D028BC" w:rsidP="00D028BC">
      <w:pPr>
        <w:spacing w:line="360" w:lineRule="auto"/>
        <w:jc w:val="both"/>
      </w:pPr>
      <w:r>
        <w:tab/>
      </w:r>
      <w:r>
        <w:t>Figures 7 and 8 and Table 6 together assess whether the fitted ANCOVA model</w:t>
      </w:r>
      <w:r w:rsidR="00A81E1E">
        <w:t>s</w:t>
      </w:r>
      <w:r>
        <w:t xml:space="preserve"> generate data consistent with what was observed. Figure 7 shows the posterior predictive distribution of the overall prevalence of screening positive for each outcome. In all three panels, the observed prevalence (red line) falls close to the center of the replicated distribution, confirming the model is well calibrated at the population level. The bimodal appearance of the histograms reflects the between-kebele heterogeneity captured by the random intercepts, the two modes correspond roughly to clusters with lower and higher baseline prevalence.</w:t>
      </w:r>
    </w:p>
    <w:p w14:paraId="3BE8AE6A" w14:textId="3FA0FF0B" w:rsidR="002C01E7" w:rsidRPr="002C01E7" w:rsidRDefault="002C01E7" w:rsidP="002C01E7">
      <w:pPr>
        <w:spacing w:line="360" w:lineRule="auto"/>
        <w:jc w:val="center"/>
        <w:rPr>
          <w:b/>
          <w:bCs/>
        </w:rPr>
      </w:pPr>
      <w:r w:rsidRPr="002C01E7">
        <w:rPr>
          <w:b/>
          <w:bCs/>
        </w:rPr>
        <w:t>Table 6. Posterior predictive p-values (PPP-values)</w:t>
      </w:r>
      <w:r w:rsidR="00A81E1E">
        <w:rPr>
          <w:b/>
          <w:bCs/>
        </w:rPr>
        <w:t xml:space="preserve"> – ANCOVA models</w:t>
      </w:r>
    </w:p>
    <w:tbl>
      <w:tblPr>
        <w:tblStyle w:val="GridTable1Light"/>
        <w:tblW w:w="9350" w:type="dxa"/>
        <w:tblLook w:val="04A0" w:firstRow="1" w:lastRow="0" w:firstColumn="1" w:lastColumn="0" w:noHBand="0" w:noVBand="1"/>
      </w:tblPr>
      <w:tblGrid>
        <w:gridCol w:w="3439"/>
        <w:gridCol w:w="986"/>
        <w:gridCol w:w="985"/>
        <w:gridCol w:w="985"/>
        <w:gridCol w:w="985"/>
        <w:gridCol w:w="985"/>
        <w:gridCol w:w="985"/>
      </w:tblGrid>
      <w:tr w:rsidR="002C01E7" w:rsidRPr="002C01E7" w14:paraId="4EB589AE" w14:textId="77777777" w:rsidTr="002C0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2ADD4" w14:textId="77777777" w:rsidR="002C01E7" w:rsidRPr="002C01E7" w:rsidRDefault="002C01E7" w:rsidP="002C01E7">
            <w:pPr>
              <w:spacing w:line="360" w:lineRule="auto"/>
              <w:rPr>
                <w:color w:val="999999"/>
              </w:rPr>
            </w:pPr>
          </w:p>
        </w:tc>
        <w:tc>
          <w:tcPr>
            <w:tcW w:w="0" w:type="auto"/>
            <w:gridSpan w:val="2"/>
            <w:hideMark/>
          </w:tcPr>
          <w:p w14:paraId="27537D54" w14:textId="77777777" w:rsidR="002C01E7" w:rsidRPr="002C01E7" w:rsidRDefault="002C01E7" w:rsidP="00927F58">
            <w:pPr>
              <w:spacing w:line="360" w:lineRule="auto"/>
              <w:jc w:val="center"/>
              <w:cnfStyle w:val="100000000000" w:firstRow="1" w:lastRow="0" w:firstColumn="0" w:lastColumn="0" w:oddVBand="0" w:evenVBand="0" w:oddHBand="0" w:evenHBand="0" w:firstRowFirstColumn="0" w:firstRowLastColumn="0" w:lastRowFirstColumn="0" w:lastRowLastColumn="0"/>
              <w:rPr>
                <w:color w:val="000000"/>
              </w:rPr>
            </w:pPr>
            <w:r w:rsidRPr="002C01E7">
              <w:rPr>
                <w:color w:val="000000"/>
              </w:rPr>
              <w:t>Anxiety</w:t>
            </w:r>
          </w:p>
        </w:tc>
        <w:tc>
          <w:tcPr>
            <w:tcW w:w="0" w:type="auto"/>
            <w:gridSpan w:val="2"/>
            <w:hideMark/>
          </w:tcPr>
          <w:p w14:paraId="48FBB4CA" w14:textId="77777777" w:rsidR="002C01E7" w:rsidRPr="002C01E7" w:rsidRDefault="002C01E7" w:rsidP="00927F58">
            <w:pPr>
              <w:spacing w:line="360" w:lineRule="auto"/>
              <w:jc w:val="center"/>
              <w:cnfStyle w:val="100000000000" w:firstRow="1" w:lastRow="0" w:firstColumn="0" w:lastColumn="0" w:oddVBand="0" w:evenVBand="0" w:oddHBand="0" w:evenHBand="0" w:firstRowFirstColumn="0" w:firstRowLastColumn="0" w:lastRowFirstColumn="0" w:lastRowLastColumn="0"/>
              <w:rPr>
                <w:color w:val="000000"/>
              </w:rPr>
            </w:pPr>
            <w:r w:rsidRPr="002C01E7">
              <w:rPr>
                <w:color w:val="000000"/>
              </w:rPr>
              <w:t>Depression</w:t>
            </w:r>
          </w:p>
        </w:tc>
        <w:tc>
          <w:tcPr>
            <w:tcW w:w="0" w:type="auto"/>
            <w:gridSpan w:val="2"/>
            <w:hideMark/>
          </w:tcPr>
          <w:p w14:paraId="7B5388D7" w14:textId="77777777" w:rsidR="002C01E7" w:rsidRPr="002C01E7" w:rsidRDefault="002C01E7" w:rsidP="00927F58">
            <w:pPr>
              <w:spacing w:line="360" w:lineRule="auto"/>
              <w:jc w:val="center"/>
              <w:cnfStyle w:val="100000000000" w:firstRow="1" w:lastRow="0" w:firstColumn="0" w:lastColumn="0" w:oddVBand="0" w:evenVBand="0" w:oddHBand="0" w:evenHBand="0" w:firstRowFirstColumn="0" w:firstRowLastColumn="0" w:lastRowFirstColumn="0" w:lastRowLastColumn="0"/>
              <w:rPr>
                <w:color w:val="000000"/>
              </w:rPr>
            </w:pPr>
            <w:r w:rsidRPr="002C01E7">
              <w:rPr>
                <w:color w:val="000000"/>
              </w:rPr>
              <w:t>Emotion</w:t>
            </w:r>
          </w:p>
        </w:tc>
      </w:tr>
      <w:tr w:rsidR="002C01E7" w:rsidRPr="002C01E7" w14:paraId="0776D417" w14:textId="77777777" w:rsidTr="002C01E7">
        <w:tc>
          <w:tcPr>
            <w:cnfStyle w:val="001000000000" w:firstRow="0" w:lastRow="0" w:firstColumn="1" w:lastColumn="0" w:oddVBand="0" w:evenVBand="0" w:oddHBand="0" w:evenHBand="0" w:firstRowFirstColumn="0" w:firstRowLastColumn="0" w:lastRowFirstColumn="0" w:lastRowLastColumn="0"/>
            <w:tcW w:w="0" w:type="auto"/>
            <w:hideMark/>
          </w:tcPr>
          <w:p w14:paraId="256FAF81" w14:textId="77777777" w:rsidR="002C01E7" w:rsidRPr="002C01E7" w:rsidRDefault="002C01E7" w:rsidP="002C01E7">
            <w:pPr>
              <w:spacing w:line="360" w:lineRule="auto"/>
              <w:rPr>
                <w:color w:val="000000"/>
              </w:rPr>
            </w:pPr>
            <w:r w:rsidRPr="002C01E7">
              <w:rPr>
                <w:color w:val="000000"/>
              </w:rPr>
              <w:t>Statistic</w:t>
            </w:r>
          </w:p>
        </w:tc>
        <w:tc>
          <w:tcPr>
            <w:tcW w:w="0" w:type="auto"/>
            <w:hideMark/>
          </w:tcPr>
          <w:p w14:paraId="48ACB2CB"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b/>
                <w:bCs/>
                <w:color w:val="000000"/>
              </w:rPr>
            </w:pPr>
            <w:r w:rsidRPr="002C01E7">
              <w:rPr>
                <w:b/>
                <w:bCs/>
                <w:color w:val="000000"/>
              </w:rPr>
              <w:t>Obs.</w:t>
            </w:r>
          </w:p>
        </w:tc>
        <w:tc>
          <w:tcPr>
            <w:tcW w:w="0" w:type="auto"/>
            <w:hideMark/>
          </w:tcPr>
          <w:p w14:paraId="2453E1CD"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b/>
                <w:bCs/>
                <w:color w:val="000000"/>
              </w:rPr>
            </w:pPr>
            <w:r w:rsidRPr="002C01E7">
              <w:rPr>
                <w:b/>
                <w:bCs/>
                <w:color w:val="000000"/>
              </w:rPr>
              <w:t>PPP</w:t>
            </w:r>
          </w:p>
        </w:tc>
        <w:tc>
          <w:tcPr>
            <w:tcW w:w="0" w:type="auto"/>
            <w:hideMark/>
          </w:tcPr>
          <w:p w14:paraId="410A36F6"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b/>
                <w:bCs/>
                <w:color w:val="000000"/>
              </w:rPr>
            </w:pPr>
            <w:r w:rsidRPr="002C01E7">
              <w:rPr>
                <w:b/>
                <w:bCs/>
                <w:color w:val="000000"/>
              </w:rPr>
              <w:t>Obs.</w:t>
            </w:r>
          </w:p>
        </w:tc>
        <w:tc>
          <w:tcPr>
            <w:tcW w:w="0" w:type="auto"/>
            <w:hideMark/>
          </w:tcPr>
          <w:p w14:paraId="3FEB4BC4"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b/>
                <w:bCs/>
                <w:color w:val="000000"/>
              </w:rPr>
            </w:pPr>
            <w:r w:rsidRPr="002C01E7">
              <w:rPr>
                <w:b/>
                <w:bCs/>
                <w:color w:val="000000"/>
              </w:rPr>
              <w:t>PPP</w:t>
            </w:r>
          </w:p>
        </w:tc>
        <w:tc>
          <w:tcPr>
            <w:tcW w:w="0" w:type="auto"/>
            <w:hideMark/>
          </w:tcPr>
          <w:p w14:paraId="40C67439"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b/>
                <w:bCs/>
                <w:color w:val="000000"/>
              </w:rPr>
            </w:pPr>
            <w:r w:rsidRPr="002C01E7">
              <w:rPr>
                <w:b/>
                <w:bCs/>
                <w:color w:val="000000"/>
              </w:rPr>
              <w:t>Obs.</w:t>
            </w:r>
          </w:p>
        </w:tc>
        <w:tc>
          <w:tcPr>
            <w:tcW w:w="0" w:type="auto"/>
            <w:hideMark/>
          </w:tcPr>
          <w:p w14:paraId="18657644"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b/>
                <w:bCs/>
                <w:color w:val="000000"/>
              </w:rPr>
            </w:pPr>
            <w:r w:rsidRPr="002C01E7">
              <w:rPr>
                <w:b/>
                <w:bCs/>
                <w:color w:val="000000"/>
              </w:rPr>
              <w:t>PPP</w:t>
            </w:r>
          </w:p>
        </w:tc>
      </w:tr>
      <w:tr w:rsidR="002C01E7" w:rsidRPr="002C01E7" w14:paraId="264A3D09" w14:textId="77777777" w:rsidTr="002C01E7">
        <w:tc>
          <w:tcPr>
            <w:cnfStyle w:val="001000000000" w:firstRow="0" w:lastRow="0" w:firstColumn="1" w:lastColumn="0" w:oddVBand="0" w:evenVBand="0" w:oddHBand="0" w:evenHBand="0" w:firstRowFirstColumn="0" w:firstRowLastColumn="0" w:lastRowFirstColumn="0" w:lastRowLastColumn="0"/>
            <w:tcW w:w="0" w:type="auto"/>
            <w:hideMark/>
          </w:tcPr>
          <w:p w14:paraId="74B33179" w14:textId="77777777" w:rsidR="002C01E7" w:rsidRPr="002C01E7" w:rsidRDefault="002C01E7" w:rsidP="002C01E7">
            <w:pPr>
              <w:spacing w:line="360" w:lineRule="auto"/>
              <w:rPr>
                <w:b w:val="0"/>
                <w:bCs w:val="0"/>
                <w:color w:val="000000"/>
              </w:rPr>
            </w:pPr>
            <w:r w:rsidRPr="002C01E7">
              <w:rPr>
                <w:color w:val="000000"/>
              </w:rPr>
              <w:t>Overall prevalence</w:t>
            </w:r>
          </w:p>
        </w:tc>
        <w:tc>
          <w:tcPr>
            <w:tcW w:w="0" w:type="auto"/>
            <w:hideMark/>
          </w:tcPr>
          <w:p w14:paraId="197DD4DD"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0.235</w:t>
            </w:r>
          </w:p>
        </w:tc>
        <w:tc>
          <w:tcPr>
            <w:tcW w:w="0" w:type="auto"/>
            <w:hideMark/>
          </w:tcPr>
          <w:p w14:paraId="0B5BD6F7"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0.519</w:t>
            </w:r>
          </w:p>
        </w:tc>
        <w:tc>
          <w:tcPr>
            <w:tcW w:w="0" w:type="auto"/>
            <w:hideMark/>
          </w:tcPr>
          <w:p w14:paraId="5D526971"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0.155</w:t>
            </w:r>
          </w:p>
        </w:tc>
        <w:tc>
          <w:tcPr>
            <w:tcW w:w="0" w:type="auto"/>
            <w:hideMark/>
          </w:tcPr>
          <w:p w14:paraId="3DA3F83B"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0.568</w:t>
            </w:r>
          </w:p>
        </w:tc>
        <w:tc>
          <w:tcPr>
            <w:tcW w:w="0" w:type="auto"/>
            <w:hideMark/>
          </w:tcPr>
          <w:p w14:paraId="5676C3A7"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0.185</w:t>
            </w:r>
          </w:p>
        </w:tc>
        <w:tc>
          <w:tcPr>
            <w:tcW w:w="0" w:type="auto"/>
            <w:hideMark/>
          </w:tcPr>
          <w:p w14:paraId="253CBDCE"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0.532</w:t>
            </w:r>
          </w:p>
        </w:tc>
      </w:tr>
      <w:tr w:rsidR="002C01E7" w:rsidRPr="002C01E7" w14:paraId="7ABC80DE" w14:textId="77777777" w:rsidTr="002C01E7">
        <w:tc>
          <w:tcPr>
            <w:cnfStyle w:val="001000000000" w:firstRow="0" w:lastRow="0" w:firstColumn="1" w:lastColumn="0" w:oddVBand="0" w:evenVBand="0" w:oddHBand="0" w:evenHBand="0" w:firstRowFirstColumn="0" w:firstRowLastColumn="0" w:lastRowFirstColumn="0" w:lastRowLastColumn="0"/>
            <w:tcW w:w="0" w:type="auto"/>
            <w:hideMark/>
          </w:tcPr>
          <w:p w14:paraId="09145AC3" w14:textId="77777777" w:rsidR="002C01E7" w:rsidRPr="002C01E7" w:rsidRDefault="002C01E7" w:rsidP="002C01E7">
            <w:pPr>
              <w:spacing w:line="360" w:lineRule="auto"/>
              <w:rPr>
                <w:color w:val="000000"/>
              </w:rPr>
            </w:pPr>
            <w:r w:rsidRPr="002C01E7">
              <w:rPr>
                <w:color w:val="000000"/>
              </w:rPr>
              <w:lastRenderedPageBreak/>
              <w:t>Treatment arm</w:t>
            </w:r>
          </w:p>
        </w:tc>
        <w:tc>
          <w:tcPr>
            <w:tcW w:w="0" w:type="auto"/>
            <w:hideMark/>
          </w:tcPr>
          <w:p w14:paraId="6CEAB22B"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0.222</w:t>
            </w:r>
          </w:p>
        </w:tc>
        <w:tc>
          <w:tcPr>
            <w:tcW w:w="0" w:type="auto"/>
            <w:hideMark/>
          </w:tcPr>
          <w:p w14:paraId="02C218D5"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0.508</w:t>
            </w:r>
          </w:p>
        </w:tc>
        <w:tc>
          <w:tcPr>
            <w:tcW w:w="0" w:type="auto"/>
            <w:hideMark/>
          </w:tcPr>
          <w:p w14:paraId="6B3F4492"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0.139</w:t>
            </w:r>
          </w:p>
        </w:tc>
        <w:tc>
          <w:tcPr>
            <w:tcW w:w="0" w:type="auto"/>
            <w:hideMark/>
          </w:tcPr>
          <w:p w14:paraId="753680C9"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0.517</w:t>
            </w:r>
          </w:p>
        </w:tc>
        <w:tc>
          <w:tcPr>
            <w:tcW w:w="0" w:type="auto"/>
            <w:hideMark/>
          </w:tcPr>
          <w:p w14:paraId="46F7976E"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0.166</w:t>
            </w:r>
          </w:p>
        </w:tc>
        <w:tc>
          <w:tcPr>
            <w:tcW w:w="0" w:type="auto"/>
            <w:hideMark/>
          </w:tcPr>
          <w:p w14:paraId="23792CE8"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0.512</w:t>
            </w:r>
          </w:p>
        </w:tc>
      </w:tr>
      <w:tr w:rsidR="002C01E7" w:rsidRPr="002C01E7" w14:paraId="7F431834" w14:textId="77777777" w:rsidTr="002C01E7">
        <w:tc>
          <w:tcPr>
            <w:cnfStyle w:val="001000000000" w:firstRow="0" w:lastRow="0" w:firstColumn="1" w:lastColumn="0" w:oddVBand="0" w:evenVBand="0" w:oddHBand="0" w:evenHBand="0" w:firstRowFirstColumn="0" w:firstRowLastColumn="0" w:lastRowFirstColumn="0" w:lastRowLastColumn="0"/>
            <w:tcW w:w="0" w:type="auto"/>
            <w:hideMark/>
          </w:tcPr>
          <w:p w14:paraId="2CA8B485" w14:textId="77777777" w:rsidR="002C01E7" w:rsidRPr="002C01E7" w:rsidRDefault="002C01E7" w:rsidP="002C01E7">
            <w:pPr>
              <w:spacing w:line="360" w:lineRule="auto"/>
              <w:rPr>
                <w:color w:val="000000"/>
              </w:rPr>
            </w:pPr>
            <w:r w:rsidRPr="002C01E7">
              <w:rPr>
                <w:color w:val="000000"/>
              </w:rPr>
              <w:t>Control arm</w:t>
            </w:r>
          </w:p>
        </w:tc>
        <w:tc>
          <w:tcPr>
            <w:tcW w:w="0" w:type="auto"/>
            <w:hideMark/>
          </w:tcPr>
          <w:p w14:paraId="5F220D22"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0.249</w:t>
            </w:r>
          </w:p>
        </w:tc>
        <w:tc>
          <w:tcPr>
            <w:tcW w:w="0" w:type="auto"/>
            <w:hideMark/>
          </w:tcPr>
          <w:p w14:paraId="385EC1BF"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0.519</w:t>
            </w:r>
          </w:p>
        </w:tc>
        <w:tc>
          <w:tcPr>
            <w:tcW w:w="0" w:type="auto"/>
            <w:hideMark/>
          </w:tcPr>
          <w:p w14:paraId="263B818C"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0.170</w:t>
            </w:r>
          </w:p>
        </w:tc>
        <w:tc>
          <w:tcPr>
            <w:tcW w:w="0" w:type="auto"/>
            <w:hideMark/>
          </w:tcPr>
          <w:p w14:paraId="53E5A46F"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0.583</w:t>
            </w:r>
          </w:p>
        </w:tc>
        <w:tc>
          <w:tcPr>
            <w:tcW w:w="0" w:type="auto"/>
            <w:hideMark/>
          </w:tcPr>
          <w:p w14:paraId="2BE22897"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0.205</w:t>
            </w:r>
          </w:p>
        </w:tc>
        <w:tc>
          <w:tcPr>
            <w:tcW w:w="0" w:type="auto"/>
            <w:hideMark/>
          </w:tcPr>
          <w:p w14:paraId="1E3C02C6"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0.538</w:t>
            </w:r>
          </w:p>
        </w:tc>
      </w:tr>
      <w:tr w:rsidR="002C01E7" w:rsidRPr="002C01E7" w14:paraId="7C072210" w14:textId="77777777" w:rsidTr="002C01E7">
        <w:tc>
          <w:tcPr>
            <w:cnfStyle w:val="001000000000" w:firstRow="0" w:lastRow="0" w:firstColumn="1" w:lastColumn="0" w:oddVBand="0" w:evenVBand="0" w:oddHBand="0" w:evenHBand="0" w:firstRowFirstColumn="0" w:firstRowLastColumn="0" w:lastRowFirstColumn="0" w:lastRowLastColumn="0"/>
            <w:tcW w:w="0" w:type="auto"/>
            <w:hideMark/>
          </w:tcPr>
          <w:p w14:paraId="4C047E86" w14:textId="77777777" w:rsidR="002C01E7" w:rsidRPr="002C01E7" w:rsidRDefault="002C01E7" w:rsidP="002C01E7">
            <w:pPr>
              <w:spacing w:line="360" w:lineRule="auto"/>
              <w:rPr>
                <w:color w:val="000000"/>
              </w:rPr>
            </w:pPr>
            <w:r w:rsidRPr="002C01E7">
              <w:rPr>
                <w:color w:val="000000"/>
              </w:rPr>
              <w:t xml:space="preserve">Woreda: </w:t>
            </w:r>
            <w:proofErr w:type="spellStart"/>
            <w:r w:rsidRPr="002C01E7">
              <w:rPr>
                <w:color w:val="000000"/>
              </w:rPr>
              <w:t>Farta</w:t>
            </w:r>
            <w:proofErr w:type="spellEnd"/>
          </w:p>
        </w:tc>
        <w:tc>
          <w:tcPr>
            <w:tcW w:w="0" w:type="auto"/>
            <w:hideMark/>
          </w:tcPr>
          <w:p w14:paraId="6376A947"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0.239</w:t>
            </w:r>
          </w:p>
        </w:tc>
        <w:tc>
          <w:tcPr>
            <w:tcW w:w="0" w:type="auto"/>
            <w:hideMark/>
          </w:tcPr>
          <w:p w14:paraId="5A48F763"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0.530</w:t>
            </w:r>
          </w:p>
        </w:tc>
        <w:tc>
          <w:tcPr>
            <w:tcW w:w="0" w:type="auto"/>
            <w:hideMark/>
          </w:tcPr>
          <w:p w14:paraId="3C476EB3"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0.164</w:t>
            </w:r>
          </w:p>
        </w:tc>
        <w:tc>
          <w:tcPr>
            <w:tcW w:w="0" w:type="auto"/>
            <w:hideMark/>
          </w:tcPr>
          <w:p w14:paraId="1B6EABC9"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0.596</w:t>
            </w:r>
          </w:p>
        </w:tc>
        <w:tc>
          <w:tcPr>
            <w:tcW w:w="0" w:type="auto"/>
            <w:hideMark/>
          </w:tcPr>
          <w:p w14:paraId="7FC100ED"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0.196</w:t>
            </w:r>
          </w:p>
        </w:tc>
        <w:tc>
          <w:tcPr>
            <w:tcW w:w="0" w:type="auto"/>
            <w:hideMark/>
          </w:tcPr>
          <w:p w14:paraId="2A4D8C2B"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0.540</w:t>
            </w:r>
          </w:p>
        </w:tc>
      </w:tr>
      <w:tr w:rsidR="002C01E7" w:rsidRPr="002C01E7" w14:paraId="2307D466" w14:textId="77777777" w:rsidTr="002C01E7">
        <w:tc>
          <w:tcPr>
            <w:cnfStyle w:val="001000000000" w:firstRow="0" w:lastRow="0" w:firstColumn="1" w:lastColumn="0" w:oddVBand="0" w:evenVBand="0" w:oddHBand="0" w:evenHBand="0" w:firstRowFirstColumn="0" w:firstRowLastColumn="0" w:lastRowFirstColumn="0" w:lastRowLastColumn="0"/>
            <w:tcW w:w="0" w:type="auto"/>
            <w:hideMark/>
          </w:tcPr>
          <w:p w14:paraId="38B2B4DA" w14:textId="77777777" w:rsidR="002C01E7" w:rsidRPr="002C01E7" w:rsidRDefault="002C01E7" w:rsidP="002C01E7">
            <w:pPr>
              <w:spacing w:line="360" w:lineRule="auto"/>
              <w:rPr>
                <w:color w:val="000000"/>
              </w:rPr>
            </w:pPr>
            <w:r w:rsidRPr="002C01E7">
              <w:rPr>
                <w:color w:val="000000"/>
              </w:rPr>
              <w:t>Woreda: Fogera</w:t>
            </w:r>
          </w:p>
        </w:tc>
        <w:tc>
          <w:tcPr>
            <w:tcW w:w="0" w:type="auto"/>
            <w:hideMark/>
          </w:tcPr>
          <w:p w14:paraId="3AD0DE65"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0.246</w:t>
            </w:r>
          </w:p>
        </w:tc>
        <w:tc>
          <w:tcPr>
            <w:tcW w:w="0" w:type="auto"/>
            <w:hideMark/>
          </w:tcPr>
          <w:p w14:paraId="79F0A24D"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0.509</w:t>
            </w:r>
          </w:p>
        </w:tc>
        <w:tc>
          <w:tcPr>
            <w:tcW w:w="0" w:type="auto"/>
            <w:hideMark/>
          </w:tcPr>
          <w:p w14:paraId="1F8F6D78"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0.196</w:t>
            </w:r>
          </w:p>
        </w:tc>
        <w:tc>
          <w:tcPr>
            <w:tcW w:w="0" w:type="auto"/>
            <w:hideMark/>
          </w:tcPr>
          <w:p w14:paraId="5C67540E"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0.496</w:t>
            </w:r>
          </w:p>
        </w:tc>
        <w:tc>
          <w:tcPr>
            <w:tcW w:w="0" w:type="auto"/>
            <w:hideMark/>
          </w:tcPr>
          <w:p w14:paraId="03109786"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0.205</w:t>
            </w:r>
          </w:p>
        </w:tc>
        <w:tc>
          <w:tcPr>
            <w:tcW w:w="0" w:type="auto"/>
            <w:hideMark/>
          </w:tcPr>
          <w:p w14:paraId="2E919B84"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0.510</w:t>
            </w:r>
          </w:p>
        </w:tc>
      </w:tr>
      <w:tr w:rsidR="002C01E7" w:rsidRPr="002C01E7" w14:paraId="2F71E904" w14:textId="77777777" w:rsidTr="002C01E7">
        <w:tc>
          <w:tcPr>
            <w:cnfStyle w:val="001000000000" w:firstRow="0" w:lastRow="0" w:firstColumn="1" w:lastColumn="0" w:oddVBand="0" w:evenVBand="0" w:oddHBand="0" w:evenHBand="0" w:firstRowFirstColumn="0" w:firstRowLastColumn="0" w:lastRowFirstColumn="0" w:lastRowLastColumn="0"/>
            <w:tcW w:w="0" w:type="auto"/>
            <w:hideMark/>
          </w:tcPr>
          <w:p w14:paraId="7E6C156F" w14:textId="77777777" w:rsidR="002C01E7" w:rsidRPr="002C01E7" w:rsidRDefault="002C01E7" w:rsidP="002C01E7">
            <w:pPr>
              <w:spacing w:line="360" w:lineRule="auto"/>
              <w:rPr>
                <w:color w:val="000000"/>
              </w:rPr>
            </w:pPr>
            <w:r w:rsidRPr="002C01E7">
              <w:rPr>
                <w:color w:val="000000"/>
              </w:rPr>
              <w:t>Woreda: Bahir Dar Zuria</w:t>
            </w:r>
          </w:p>
        </w:tc>
        <w:tc>
          <w:tcPr>
            <w:tcW w:w="0" w:type="auto"/>
            <w:hideMark/>
          </w:tcPr>
          <w:p w14:paraId="137F2F00"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0.222</w:t>
            </w:r>
          </w:p>
        </w:tc>
        <w:tc>
          <w:tcPr>
            <w:tcW w:w="0" w:type="auto"/>
            <w:hideMark/>
          </w:tcPr>
          <w:p w14:paraId="113AC73A"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0.507</w:t>
            </w:r>
          </w:p>
        </w:tc>
        <w:tc>
          <w:tcPr>
            <w:tcW w:w="0" w:type="auto"/>
            <w:hideMark/>
          </w:tcPr>
          <w:p w14:paraId="16F9C6B4"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0.113</w:t>
            </w:r>
          </w:p>
        </w:tc>
        <w:tc>
          <w:tcPr>
            <w:tcW w:w="0" w:type="auto"/>
            <w:hideMark/>
          </w:tcPr>
          <w:p w14:paraId="07489793"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0.518</w:t>
            </w:r>
          </w:p>
        </w:tc>
        <w:tc>
          <w:tcPr>
            <w:tcW w:w="0" w:type="auto"/>
            <w:hideMark/>
          </w:tcPr>
          <w:p w14:paraId="06EB8E04"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0.157</w:t>
            </w:r>
          </w:p>
        </w:tc>
        <w:tc>
          <w:tcPr>
            <w:tcW w:w="0" w:type="auto"/>
            <w:hideMark/>
          </w:tcPr>
          <w:p w14:paraId="15B3D7FE"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0.514</w:t>
            </w:r>
          </w:p>
        </w:tc>
      </w:tr>
      <w:tr w:rsidR="002C01E7" w:rsidRPr="002C01E7" w14:paraId="01573F5F" w14:textId="77777777" w:rsidTr="002C01E7">
        <w:tc>
          <w:tcPr>
            <w:cnfStyle w:val="001000000000" w:firstRow="0" w:lastRow="0" w:firstColumn="1" w:lastColumn="0" w:oddVBand="0" w:evenVBand="0" w:oddHBand="0" w:evenHBand="0" w:firstRowFirstColumn="0" w:firstRowLastColumn="0" w:lastRowFirstColumn="0" w:lastRowLastColumn="0"/>
            <w:tcW w:w="0" w:type="auto"/>
            <w:hideMark/>
          </w:tcPr>
          <w:p w14:paraId="40050BB4" w14:textId="77777777" w:rsidR="002C01E7" w:rsidRPr="002C01E7" w:rsidRDefault="002C01E7" w:rsidP="002C01E7">
            <w:pPr>
              <w:spacing w:line="360" w:lineRule="auto"/>
              <w:rPr>
                <w:color w:val="000000"/>
              </w:rPr>
            </w:pPr>
            <w:r w:rsidRPr="002C01E7">
              <w:rPr>
                <w:color w:val="000000"/>
              </w:rPr>
              <w:t>Cluster prevalence SD</w:t>
            </w:r>
          </w:p>
        </w:tc>
        <w:tc>
          <w:tcPr>
            <w:tcW w:w="0" w:type="auto"/>
            <w:hideMark/>
          </w:tcPr>
          <w:p w14:paraId="1C9EDCA6"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0.092</w:t>
            </w:r>
          </w:p>
        </w:tc>
        <w:tc>
          <w:tcPr>
            <w:tcW w:w="0" w:type="auto"/>
            <w:hideMark/>
          </w:tcPr>
          <w:p w14:paraId="15838122"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0.584</w:t>
            </w:r>
          </w:p>
        </w:tc>
        <w:tc>
          <w:tcPr>
            <w:tcW w:w="0" w:type="auto"/>
            <w:hideMark/>
          </w:tcPr>
          <w:p w14:paraId="70FDAAFF"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0.078</w:t>
            </w:r>
          </w:p>
        </w:tc>
        <w:tc>
          <w:tcPr>
            <w:tcW w:w="0" w:type="auto"/>
            <w:hideMark/>
          </w:tcPr>
          <w:p w14:paraId="4E95FAF0"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0.631</w:t>
            </w:r>
          </w:p>
        </w:tc>
        <w:tc>
          <w:tcPr>
            <w:tcW w:w="0" w:type="auto"/>
            <w:hideMark/>
          </w:tcPr>
          <w:p w14:paraId="6AC89E3B"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0.080</w:t>
            </w:r>
          </w:p>
        </w:tc>
        <w:tc>
          <w:tcPr>
            <w:tcW w:w="0" w:type="auto"/>
            <w:hideMark/>
          </w:tcPr>
          <w:p w14:paraId="2D6B1D7E" w14:textId="77777777" w:rsidR="002C01E7" w:rsidRPr="002C01E7" w:rsidRDefault="002C01E7" w:rsidP="00927F58">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2C01E7">
              <w:rPr>
                <w:color w:val="000000"/>
              </w:rPr>
              <w:t>0.604</w:t>
            </w:r>
          </w:p>
        </w:tc>
      </w:tr>
      <w:tr w:rsidR="002C01E7" w:rsidRPr="002C01E7" w14:paraId="08A11724" w14:textId="77777777" w:rsidTr="008E5FD3">
        <w:tc>
          <w:tcPr>
            <w:cnfStyle w:val="001000000000" w:firstRow="0" w:lastRow="0" w:firstColumn="1" w:lastColumn="0" w:oddVBand="0" w:evenVBand="0" w:oddHBand="0" w:evenHBand="0" w:firstRowFirstColumn="0" w:firstRowLastColumn="0" w:lastRowFirstColumn="0" w:lastRowLastColumn="0"/>
            <w:tcW w:w="0" w:type="auto"/>
            <w:gridSpan w:val="7"/>
            <w:hideMark/>
          </w:tcPr>
          <w:p w14:paraId="0C9343EA" w14:textId="7486B1B5" w:rsidR="002C01E7" w:rsidRPr="002C01E7" w:rsidRDefault="002C01E7" w:rsidP="002C01E7">
            <w:pPr>
              <w:spacing w:line="360" w:lineRule="auto"/>
              <w:rPr>
                <w:b w:val="0"/>
                <w:bCs w:val="0"/>
              </w:rPr>
            </w:pPr>
            <w:r w:rsidRPr="002C01E7">
              <w:rPr>
                <w:b w:val="0"/>
                <w:bCs w:val="0"/>
                <w:i/>
                <w:iCs/>
                <w:color w:val="000000"/>
              </w:rPr>
              <w:t>Note:</w:t>
            </w:r>
            <w:r w:rsidRPr="002C01E7">
              <w:rPr>
                <w:b w:val="0"/>
                <w:bCs w:val="0"/>
                <w:color w:val="000000"/>
              </w:rPr>
              <w:t> PPP-values near 0.5 indicate good calibration. Values near 0 or 1 indicate systematic discrepancy.</w:t>
            </w:r>
          </w:p>
        </w:tc>
      </w:tr>
    </w:tbl>
    <w:p w14:paraId="39C9E8A3" w14:textId="44F16BFC" w:rsidR="00DB1AF8" w:rsidRDefault="00D028BC" w:rsidP="0058478B">
      <w:pPr>
        <w:pStyle w:val="font-claude-response-body"/>
        <w:spacing w:before="0" w:beforeAutospacing="0" w:after="0" w:afterAutospacing="0" w:line="360" w:lineRule="auto"/>
        <w:jc w:val="both"/>
      </w:pPr>
      <w:r>
        <w:tab/>
      </w:r>
      <w:r w:rsidR="00DB1AF8">
        <w:t xml:space="preserve">Table 6 extends this check to subgroups. All PPP values fall between 0.496 and 0.631 across all outcomes, treatment arms, and woredas, indicating no systematic bias in any subgroup. The cluster prevalence standard deviation PPP values of 0.584, 0.631, and 0.604 are slightly above 0.5, suggesting the model generates marginally more between-cluster variability than observed, consistent with the wide posterior distributions of </w:t>
      </w:r>
      <m:oMath>
        <m:sSub>
          <m:sSubPr>
            <m:ctrlPr>
              <w:rPr>
                <w:rFonts w:ascii="Cambria Math" w:hAnsi="Cambria Math"/>
              </w:rPr>
            </m:ctrlPr>
          </m:sSubPr>
          <m:e>
            <m:r>
              <w:rPr>
                <w:rFonts w:ascii="Cambria Math" w:hAnsi="Cambria Math"/>
              </w:rPr>
              <m:t>σ</m:t>
            </m:r>
          </m:e>
          <m:sub>
            <m:r>
              <m:rPr>
                <m:nor/>
              </m:rPr>
              <m:t>cluster</m:t>
            </m:r>
          </m:sub>
        </m:sSub>
        <m:r>
          <w:rPr>
            <w:rFonts w:ascii="Cambria Math" w:hAnsi="Cambria Math"/>
          </w:rPr>
          <m:t xml:space="preserve"> </m:t>
        </m:r>
      </m:oMath>
      <w:r w:rsidR="00DB1AF8">
        <w:t>noted in Section 6, but not indicative of serious misfit.</w:t>
      </w:r>
    </w:p>
    <w:p w14:paraId="7D524E6B" w14:textId="072F8A6A" w:rsidR="00DB1AF8" w:rsidRDefault="00D028BC" w:rsidP="00D028BC">
      <w:pPr>
        <w:pStyle w:val="font-claude-response-body"/>
        <w:spacing w:before="0" w:beforeAutospacing="0" w:after="0" w:afterAutospacing="0" w:line="360" w:lineRule="auto"/>
        <w:jc w:val="both"/>
      </w:pPr>
      <w:r>
        <w:tab/>
      </w:r>
      <w:r w:rsidR="00DB1AF8">
        <w:t>Figure 8 provides the most granular check, plotting observed against posterior predictive mean prevalence for each of the 50 kebeles separately, stratified by treatment arm. Points fall close to the 45-degree perfect calibration line across all three outcomes, and the 90% posterior predictive intervals cover the observed values for the large majority of kebeles. There is no systematic pattern of over- or underprediction for either the intervention or control arm. Taken together, the three checks provide no evidence of meaningful model misfit, supporting the adequacy of the ANCOVA hierarchical logistic model for these data.</w:t>
      </w:r>
    </w:p>
    <w:p w14:paraId="132129D0" w14:textId="4555A95C" w:rsidR="00B86EC3" w:rsidRPr="002C01E7" w:rsidRDefault="00B86EC3" w:rsidP="002C01E7">
      <w:pPr>
        <w:spacing w:line="360" w:lineRule="auto"/>
      </w:pPr>
      <w:r w:rsidRPr="00B86EC3">
        <w:drawing>
          <wp:inline distT="0" distB="0" distL="0" distR="0" wp14:anchorId="024EF622" wp14:editId="78E78C1B">
            <wp:extent cx="5943600" cy="2570480"/>
            <wp:effectExtent l="0" t="0" r="0" b="0"/>
            <wp:docPr id="90522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27890" name=""/>
                    <pic:cNvPicPr/>
                  </pic:nvPicPr>
                  <pic:blipFill>
                    <a:blip r:embed="rId13"/>
                    <a:stretch>
                      <a:fillRect/>
                    </a:stretch>
                  </pic:blipFill>
                  <pic:spPr>
                    <a:xfrm>
                      <a:off x="0" y="0"/>
                      <a:ext cx="5943600" cy="2570480"/>
                    </a:xfrm>
                    <a:prstGeom prst="rect">
                      <a:avLst/>
                    </a:prstGeom>
                  </pic:spPr>
                </pic:pic>
              </a:graphicData>
            </a:graphic>
          </wp:inline>
        </w:drawing>
      </w:r>
    </w:p>
    <w:p w14:paraId="5F5A323D" w14:textId="123787CB" w:rsidR="002024AE" w:rsidRDefault="009A4354" w:rsidP="00E37F7F">
      <w:pPr>
        <w:pStyle w:val="Heading1"/>
        <w:numPr>
          <w:ilvl w:val="0"/>
          <w:numId w:val="1"/>
        </w:numPr>
        <w:spacing w:line="360" w:lineRule="auto"/>
        <w:jc w:val="both"/>
      </w:pPr>
      <w:r>
        <w:lastRenderedPageBreak/>
        <w:t>Discussion</w:t>
      </w:r>
    </w:p>
    <w:p w14:paraId="7DDAF33A" w14:textId="07C73E69" w:rsidR="00433896" w:rsidRDefault="00433896" w:rsidP="00433896">
      <w:pPr>
        <w:pStyle w:val="NormalWeb"/>
        <w:spacing w:before="0" w:beforeAutospacing="0" w:after="0" w:afterAutospacing="0" w:line="360" w:lineRule="auto"/>
        <w:jc w:val="both"/>
      </w:pPr>
      <w:r>
        <w:rPr>
          <w:rStyle w:val="Strong"/>
          <w:rFonts w:eastAsiaTheme="majorEastAsia"/>
        </w:rPr>
        <w:tab/>
      </w:r>
      <w:r>
        <w:t xml:space="preserve">Andilaye WASH intervention shows no practically meaningful effect on any of the three mental health outcomes at endline. Posterior APDs are small and consistently negative across all outcomes, with </w:t>
      </w:r>
      <w:r>
        <w:t>most</w:t>
      </w:r>
      <w:r>
        <w:t xml:space="preserve"> posterior mass falling inside the ROPE. Between-kebele clustering is modest, confirming that random intercepts were a necessary modeling </w:t>
      </w:r>
      <w:r>
        <w:t>choice,</w:t>
      </w:r>
      <w:r>
        <w:t xml:space="preserve"> but community membership explains relatively little of the variation in </w:t>
      </w:r>
      <w:r>
        <w:t>household</w:t>
      </w:r>
      <w:r>
        <w:t xml:space="preserve"> mental health in this population. Taken together, the data provide substantial positive evidence for a practically null effect rather than merely insufficient evidence against one</w:t>
      </w:r>
      <w:r>
        <w:t xml:space="preserve">, </w:t>
      </w:r>
      <w:r>
        <w:t>moving the conclusion beyond the binary fail-to-reject framing of the original frequentist analysis.</w:t>
      </w:r>
    </w:p>
    <w:p w14:paraId="3C36E9D2" w14:textId="4776DC39" w:rsidR="00433896" w:rsidRDefault="00433896" w:rsidP="00433896">
      <w:pPr>
        <w:pStyle w:val="NormalWeb"/>
        <w:spacing w:before="0" w:beforeAutospacing="0" w:after="0" w:afterAutospacing="0" w:line="360" w:lineRule="auto"/>
        <w:jc w:val="both"/>
      </w:pPr>
      <w:r>
        <w:rPr>
          <w:rStyle w:val="Strong"/>
          <w:rFonts w:eastAsiaTheme="majorEastAsia"/>
        </w:rPr>
        <w:tab/>
      </w:r>
      <w:r w:rsidRPr="00433896">
        <w:rPr>
          <w:rStyle w:val="Strong"/>
          <w:rFonts w:eastAsiaTheme="majorEastAsia"/>
          <w:b w:val="0"/>
          <w:bCs w:val="0"/>
        </w:rPr>
        <w:t>This study has some limitations.</w:t>
      </w:r>
      <w:r>
        <w:rPr>
          <w:rStyle w:val="Strong"/>
          <w:rFonts w:eastAsiaTheme="majorEastAsia"/>
        </w:rPr>
        <w:t xml:space="preserve"> </w:t>
      </w:r>
      <w:r w:rsidRPr="00433896">
        <w:rPr>
          <w:rStyle w:val="Strong"/>
          <w:rFonts w:eastAsiaTheme="majorEastAsia"/>
          <w:b w:val="0"/>
          <w:bCs w:val="0"/>
        </w:rPr>
        <w:t>First,</w:t>
      </w:r>
      <w:r>
        <w:rPr>
          <w:rStyle w:val="Strong"/>
          <w:rFonts w:eastAsiaTheme="majorEastAsia"/>
        </w:rPr>
        <w:t xml:space="preserve"> </w:t>
      </w:r>
      <w:r>
        <w:t>t</w:t>
      </w:r>
      <w:r>
        <w:t xml:space="preserve">his is a secondary reanalysis not pre-registered as a Bayesian analysis, which limits the strength of </w:t>
      </w:r>
      <w:r>
        <w:t>inference</w:t>
      </w:r>
      <w:r>
        <w:t xml:space="preserve"> claims relative to a prospective design. Outcomes are based on responses from women of reproductive age as the household </w:t>
      </w:r>
      <w:proofErr w:type="gramStart"/>
      <w:r>
        <w:t>respondent, and</w:t>
      </w:r>
      <w:proofErr w:type="gramEnd"/>
      <w:r>
        <w:t xml:space="preserve"> may not reflect the mental health of other household members, limiting generalizability to the full household population. Incomplete intervention fidelity attenuates any detectable effect and must be considered when interpreting the null findings: the ROPE analysis establishes that the delivered intervention had no meaningful effect, not that an ideally implemented WASH intervention would not. Computationally, the Gibbs sampler showed persistent autocorrelation of </w:t>
      </w:r>
      <m:oMath>
        <m:sSub>
          <m:sSubPr>
            <m:ctrlPr>
              <w:rPr>
                <w:rFonts w:ascii="Cambria Math" w:hAnsi="Cambria Math"/>
              </w:rPr>
            </m:ctrlPr>
          </m:sSubPr>
          <m:e>
            <m:r>
              <w:rPr>
                <w:rFonts w:ascii="Cambria Math" w:hAnsi="Cambria Math"/>
              </w:rPr>
              <m:t>β</m:t>
            </m:r>
          </m:e>
          <m:sub>
            <m:r>
              <m:rPr>
                <m:nor/>
              </m:rPr>
              <m:t>trt</m:t>
            </m:r>
          </m:sub>
        </m:sSub>
      </m:oMath>
      <w:r>
        <w:t xml:space="preserve">and slow mixing of </w:t>
      </w:r>
      <m:oMath>
        <m:sSub>
          <m:sSubPr>
            <m:ctrlPr>
              <w:rPr>
                <w:rFonts w:ascii="Cambria Math" w:hAnsi="Cambria Math"/>
              </w:rPr>
            </m:ctrlPr>
          </m:sSubPr>
          <m:e>
            <m:r>
              <w:rPr>
                <w:rFonts w:ascii="Cambria Math" w:hAnsi="Cambria Math"/>
              </w:rPr>
              <m:t>σ</m:t>
            </m:r>
          </m:e>
          <m:sub>
            <m:r>
              <m:rPr>
                <m:nor/>
              </m:rPr>
              <m:t>cluster</m:t>
            </m:r>
          </m:sub>
        </m:sSub>
      </m:oMath>
      <w:r>
        <w:t>, a known limitation of Gibbs sampling in hierarchical logistic models.</w:t>
      </w:r>
    </w:p>
    <w:p w14:paraId="46AACC6F" w14:textId="249D6464" w:rsidR="00D028BC" w:rsidRPr="00D028BC" w:rsidRDefault="00433896" w:rsidP="00F46168">
      <w:pPr>
        <w:pStyle w:val="NormalWeb"/>
        <w:spacing w:before="0" w:beforeAutospacing="0" w:after="0" w:afterAutospacing="0" w:line="360" w:lineRule="auto"/>
        <w:jc w:val="both"/>
      </w:pPr>
      <w:r>
        <w:tab/>
      </w:r>
      <w:r>
        <w:t xml:space="preserve">The most immediate computational improvement would be to refit this model in </w:t>
      </w:r>
      <w:r>
        <w:rPr>
          <w:rStyle w:val="HTMLCode"/>
        </w:rPr>
        <w:t>brms</w:t>
      </w:r>
      <w:r>
        <w:t xml:space="preserve"> </w:t>
      </w:r>
      <w:r>
        <w:fldChar w:fldCharType="begin"/>
      </w:r>
      <w:r>
        <w:instrText xml:space="preserve"> ADDIN ZOTERO_ITEM CSL_CITATION {"citationID":"M1QrA4Q5","properties":{"unsorted":false,"formattedCitation":"(B\\uc0\\u252{}rkner, 2017)","plainCitation":"(Bürkner, 2017)","noteIndex":0},"citationItems":[{"id":18345,"uris":["http://zotero.org/users/6769882/items/CAXMCNRM"],"itemData":{"id":18345,"type":"article-journal","abstract":"The brms package implements Bayesian multilevel models in R using the probabilistic programming language Stan. A wide range of distributions and link functions are supported, allowing users to fit  -  among others  -  linear, robust linear, binomial, Poisson, survival, ordinal, zero-inflated, hurdle, and even non-linear models all in a multilevel context. Further modeling options include autocorrelation of the response variable, user defined covariance structures, censored data, as well as meta-analytic standard errors. Prior specifications are flexible and explicitly encourage users to apply prior distributions that actually reflect their beliefs. In addition, model fit can easily be assessed and compared with the Watanabe-Akaike information criterion and leave-one-out cross-validation.","container-title":"Journal of Statistical Software","DOI":"10.18637/jss.v080.i01","ISSN":"1548-7660","language":"en","license":"Copyright (c) 2017 Paul-Christian Bürkner","page":"1-28","source":"www.jstatsoft.org","title":"brms: An R Package for Bayesian Multilevel Models Using Stan","title-short":"brms","volume":"80","author":[{"family":"Bürkner","given":"Paul-Christian"}],"issued":{"date-parts":[["2017",8,29]]}}}],"schema":"https://github.com/citation-style-language/schema/raw/master/csl-citation.json"} </w:instrText>
      </w:r>
      <w:r>
        <w:fldChar w:fldCharType="separate"/>
      </w:r>
      <w:r w:rsidRPr="00433896">
        <w:rPr>
          <w:rFonts w:eastAsiaTheme="minorEastAsia"/>
          <w14:ligatures w14:val="standardContextual"/>
        </w:rPr>
        <w:t>(</w:t>
      </w:r>
      <w:proofErr w:type="spellStart"/>
      <w:r w:rsidRPr="00433896">
        <w:rPr>
          <w:rFonts w:eastAsiaTheme="minorEastAsia"/>
          <w14:ligatures w14:val="standardContextual"/>
        </w:rPr>
        <w:t>Bürkner</w:t>
      </w:r>
      <w:proofErr w:type="spellEnd"/>
      <w:r w:rsidRPr="00433896">
        <w:rPr>
          <w:rFonts w:eastAsiaTheme="minorEastAsia"/>
          <w14:ligatures w14:val="standardContextual"/>
        </w:rPr>
        <w:t>, 2017)</w:t>
      </w:r>
      <w:r>
        <w:fldChar w:fldCharType="end"/>
      </w:r>
      <w:r>
        <w:t xml:space="preserve">, which uses Hamiltonian Monte Carlo with the non-centered parameterization by default and </w:t>
      </w:r>
      <w:r>
        <w:t>might</w:t>
      </w:r>
      <w:r>
        <w:t xml:space="preserve"> resolve both mixing issues while providing automatic LOO and posterior predictive checks. </w:t>
      </w:r>
      <w:r w:rsidR="00F46168">
        <w:t>Substantively, three extensions are directly motivated by the study design and the limitations identified above. First, a varying-slopes specification would allow the treatment effect to differ across woredas</w:t>
      </w:r>
      <w:r w:rsidR="00F46168">
        <w:t>,</w:t>
      </w:r>
      <w:r w:rsidR="00F46168">
        <w:t xml:space="preserve"> replacing the single </w:t>
      </w:r>
      <m:oMath>
        <m:sSub>
          <m:sSubPr>
            <m:ctrlPr>
              <w:rPr>
                <w:rFonts w:ascii="Cambria Math" w:hAnsi="Cambria Math"/>
              </w:rPr>
            </m:ctrlPr>
          </m:sSubPr>
          <m:e>
            <m:r>
              <w:rPr>
                <w:rFonts w:ascii="Cambria Math" w:hAnsi="Cambria Math"/>
              </w:rPr>
              <m:t>β</m:t>
            </m:r>
          </m:e>
          <m:sub>
            <m:r>
              <m:rPr>
                <m:nor/>
              </m:rPr>
              <m:t>trt</m:t>
            </m:r>
          </m:sub>
        </m:sSub>
      </m:oMath>
      <w:r w:rsidR="00F46168">
        <w:t>with woreda-specific effects partially pooled toward a grand mean</w:t>
      </w:r>
      <w:r w:rsidR="00F46168">
        <w:t>,</w:t>
      </w:r>
      <w:r w:rsidR="00F46168">
        <w:t xml:space="preserve"> which is motivated by the documented variation in intervention fidelity across sites (Freeman et al., 2022). Second, a three-level hierarchical structure explicitly modeling households within kebeles within woredas would replace the current woreda fixed effects with a third random level, properly partitioning variance across all three levels of the design and providing a full posterior distribution for woreda-level heterogeneity rather than fixed point estimates. Third, incorporating additional household-level covariates</w:t>
      </w:r>
      <w:r w:rsidR="00F46168">
        <w:t>,</w:t>
      </w:r>
      <w:r w:rsidR="00F46168">
        <w:t xml:space="preserve"> such as wealth, education, or baseline water and sanitation access</w:t>
      </w:r>
      <w:r w:rsidR="00F46168">
        <w:t>,</w:t>
      </w:r>
      <w:r w:rsidR="00F46168">
        <w:t xml:space="preserve"> </w:t>
      </w:r>
      <w:r w:rsidR="00F46168">
        <w:t>might</w:t>
      </w:r>
      <w:r w:rsidR="00F46168">
        <w:t xml:space="preserve"> reduce residual variance at the household level and </w:t>
      </w:r>
      <w:r w:rsidR="00F46168">
        <w:lastRenderedPageBreak/>
        <w:t xml:space="preserve">sharpen the estimate of </w:t>
      </w:r>
      <m:oMath>
        <m:sSub>
          <m:sSubPr>
            <m:ctrlPr>
              <w:rPr>
                <w:rFonts w:ascii="Cambria Math" w:hAnsi="Cambria Math"/>
              </w:rPr>
            </m:ctrlPr>
          </m:sSubPr>
          <m:e>
            <m:r>
              <w:rPr>
                <w:rFonts w:ascii="Cambria Math" w:hAnsi="Cambria Math"/>
              </w:rPr>
              <m:t>β</m:t>
            </m:r>
          </m:e>
          <m:sub>
            <m:r>
              <m:rPr>
                <m:nor/>
              </m:rPr>
              <m:t>trt</m:t>
            </m:r>
          </m:sub>
        </m:sSub>
      </m:oMath>
      <w:r w:rsidR="00F46168">
        <w:t>, while also allowing examination of whether the treatment effect is modified by pre-existing household characteristics.</w:t>
      </w:r>
    </w:p>
    <w:p w14:paraId="4996EE10" w14:textId="6555AFF6" w:rsidR="00FF60AD" w:rsidRDefault="00FF60AD" w:rsidP="00E37F7F">
      <w:pPr>
        <w:pStyle w:val="Heading1"/>
        <w:numPr>
          <w:ilvl w:val="0"/>
          <w:numId w:val="1"/>
        </w:numPr>
        <w:spacing w:line="360" w:lineRule="auto"/>
        <w:jc w:val="both"/>
      </w:pPr>
      <w:r>
        <w:t>Appendix</w:t>
      </w:r>
      <w:r w:rsidR="00396225">
        <w:t>: Weakly Informative Priors</w:t>
      </w:r>
    </w:p>
    <w:p w14:paraId="35316B82" w14:textId="55E3110E" w:rsidR="00FF60AD" w:rsidRDefault="00F46168" w:rsidP="00E37F7F">
      <w:pPr>
        <w:spacing w:line="360" w:lineRule="auto"/>
        <w:jc w:val="both"/>
      </w:pPr>
      <w:r>
        <w:tab/>
        <w:t xml:space="preserve">Here we reported prior predictive checks, posterior inferences, posterior predictive checks, and model comparisons using </w:t>
      </w:r>
      <w:r w:rsidRPr="00171124">
        <w:t xml:space="preserve">weakly informative </w:t>
      </w:r>
      <w:r>
        <w:t>priors:</w:t>
      </w:r>
      <m:oMath>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m:t>
        </m:r>
        <m:r>
          <w:rPr>
            <w:rFonts w:ascii="Cambria Math" w:hAnsi="Cambria Math"/>
          </w:rPr>
          <m:t>Normal</m:t>
        </m:r>
        <m:r>
          <w:rPr>
            <w:rFonts w:ascii="Cambria Math" w:hAnsi="Cambria Math"/>
          </w:rPr>
          <m:t>(0,</m:t>
        </m:r>
        <m:r>
          <m:rPr>
            <m:nor/>
          </m:rPr>
          <m:t> </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m:t>
        </m:r>
      </m:oMath>
      <w:r>
        <w:t>and</w:t>
      </w:r>
      <m:oMath>
        <m:sSub>
          <m:sSubPr>
            <m:ctrlPr>
              <w:rPr>
                <w:rFonts w:ascii="Cambria Math" w:hAnsi="Cambria Math"/>
              </w:rPr>
            </m:ctrlPr>
          </m:sSubPr>
          <m:e>
            <m:r>
              <w:rPr>
                <w:rFonts w:ascii="Cambria Math" w:hAnsi="Cambria Math"/>
              </w:rPr>
              <m:t>σ</m:t>
            </m:r>
          </m:e>
          <m:sub>
            <m:r>
              <m:rPr>
                <m:nor/>
              </m:rPr>
              <w:rPr>
                <w:i/>
                <w:iCs/>
              </w:rPr>
              <m:t>clus</m:t>
            </m:r>
            <m:r>
              <m:rPr>
                <m:nor/>
              </m:rPr>
              <w:rPr>
                <w:i/>
                <w:iCs/>
              </w:rPr>
              <m:t>ter</m:t>
            </m:r>
          </m:sub>
        </m:sSub>
        <m:r>
          <w:rPr>
            <w:rFonts w:ascii="Cambria Math" w:hAnsi="Cambria Math"/>
          </w:rPr>
          <m:t>∼</m:t>
        </m:r>
        <m:r>
          <m:rPr>
            <m:nor/>
          </m:rPr>
          <m:t>Half-</m:t>
        </m:r>
        <m:r>
          <w:rPr>
            <w:rFonts w:ascii="Cambria Math" w:hAnsi="Cambria Math"/>
          </w:rPr>
          <m:t>t(3,</m:t>
        </m:r>
        <m:r>
          <m:rPr>
            <m:nor/>
          </m:rPr>
          <m:t> </m:t>
        </m:r>
        <m:r>
          <w:rPr>
            <w:rFonts w:ascii="Cambria Math" w:hAnsi="Cambria Math"/>
          </w:rPr>
          <m:t>0,</m:t>
        </m:r>
        <m:r>
          <m:rPr>
            <m:nor/>
          </m:rPr>
          <m:t> </m:t>
        </m:r>
        <m:r>
          <w:rPr>
            <w:rFonts w:ascii="Cambria Math" w:hAnsi="Cambria Math"/>
          </w:rPr>
          <m:t>2.5)</m:t>
        </m:r>
      </m:oMath>
      <w:r w:rsidRPr="00171124">
        <w:t>)</w:t>
      </w:r>
      <w:r>
        <w:t>.</w:t>
      </w:r>
    </w:p>
    <w:p w14:paraId="6BDDBC0F" w14:textId="3959645C" w:rsidR="00F46168" w:rsidRDefault="00F46168" w:rsidP="00E37F7F">
      <w:pPr>
        <w:spacing w:line="360" w:lineRule="auto"/>
        <w:jc w:val="both"/>
      </w:pPr>
      <w:r w:rsidRPr="00F46168">
        <w:drawing>
          <wp:inline distT="0" distB="0" distL="0" distR="0" wp14:anchorId="356BE8CD" wp14:editId="1956A117">
            <wp:extent cx="5943600" cy="4345305"/>
            <wp:effectExtent l="0" t="0" r="0" b="0"/>
            <wp:docPr id="1562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954" name=""/>
                    <pic:cNvPicPr/>
                  </pic:nvPicPr>
                  <pic:blipFill>
                    <a:blip r:embed="rId14"/>
                    <a:stretch>
                      <a:fillRect/>
                    </a:stretch>
                  </pic:blipFill>
                  <pic:spPr>
                    <a:xfrm>
                      <a:off x="0" y="0"/>
                      <a:ext cx="5943600" cy="4345305"/>
                    </a:xfrm>
                    <a:prstGeom prst="rect">
                      <a:avLst/>
                    </a:prstGeom>
                  </pic:spPr>
                </pic:pic>
              </a:graphicData>
            </a:graphic>
          </wp:inline>
        </w:drawing>
      </w:r>
    </w:p>
    <w:p w14:paraId="6DA8A1E5" w14:textId="202AFA90" w:rsidR="006927F6" w:rsidRPr="006927F6" w:rsidRDefault="006927F6" w:rsidP="006927F6">
      <w:pPr>
        <w:spacing w:line="360" w:lineRule="auto"/>
        <w:jc w:val="center"/>
        <w:rPr>
          <w:b/>
          <w:bCs/>
        </w:rPr>
      </w:pPr>
      <w:r w:rsidRPr="006927F6">
        <w:rPr>
          <w:b/>
          <w:bCs/>
        </w:rPr>
        <w:t xml:space="preserve">Table A1. Posterior Average Predictive Difference </w:t>
      </w:r>
      <w:r>
        <w:rPr>
          <w:b/>
          <w:bCs/>
        </w:rPr>
        <w:t xml:space="preserve">– weakly informative </w:t>
      </w:r>
      <w:r w:rsidRPr="006927F6">
        <w:rPr>
          <w:b/>
          <w:bCs/>
        </w:rPr>
        <w:t>priors.</w:t>
      </w:r>
    </w:p>
    <w:tbl>
      <w:tblPr>
        <w:tblStyle w:val="GridTable1Light"/>
        <w:tblW w:w="9360" w:type="dxa"/>
        <w:tblLook w:val="04A0" w:firstRow="1" w:lastRow="0" w:firstColumn="1" w:lastColumn="0" w:noHBand="0" w:noVBand="1"/>
      </w:tblPr>
      <w:tblGrid>
        <w:gridCol w:w="2291"/>
        <w:gridCol w:w="2072"/>
        <w:gridCol w:w="2075"/>
        <w:gridCol w:w="1820"/>
        <w:gridCol w:w="1102"/>
      </w:tblGrid>
      <w:tr w:rsidR="006927F6" w14:paraId="4FEC41AF" w14:textId="77777777" w:rsidTr="006927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9002C" w14:textId="65828C98" w:rsidR="006927F6" w:rsidRPr="006927F6" w:rsidRDefault="0086593B" w:rsidP="0086593B">
            <w:pPr>
              <w:spacing w:line="276" w:lineRule="auto"/>
              <w:rPr>
                <w:rFonts w:ascii="Source Sans Pro" w:hAnsi="Source Sans Pro"/>
                <w:color w:val="000000"/>
                <w:sz w:val="23"/>
                <w:szCs w:val="23"/>
              </w:rPr>
            </w:pPr>
            <w:r>
              <w:rPr>
                <w:rFonts w:ascii="Source Sans Pro" w:hAnsi="Source Sans Pro"/>
                <w:color w:val="000000"/>
                <w:sz w:val="23"/>
                <w:szCs w:val="23"/>
              </w:rPr>
              <w:t>Outcome</w:t>
            </w:r>
          </w:p>
        </w:tc>
        <w:tc>
          <w:tcPr>
            <w:tcW w:w="0" w:type="auto"/>
            <w:hideMark/>
          </w:tcPr>
          <w:p w14:paraId="01486218" w14:textId="77777777" w:rsidR="006927F6" w:rsidRPr="006927F6" w:rsidRDefault="006927F6" w:rsidP="0086593B">
            <w:pPr>
              <w:spacing w:line="276" w:lineRule="auto"/>
              <w:cnfStyle w:val="100000000000" w:firstRow="1" w:lastRow="0" w:firstColumn="0" w:lastColumn="0" w:oddVBand="0" w:evenVBand="0" w:oddHBand="0" w:evenHBand="0" w:firstRowFirstColumn="0" w:firstRowLastColumn="0" w:lastRowFirstColumn="0" w:lastRowLastColumn="0"/>
              <w:rPr>
                <w:rFonts w:ascii="Source Sans Pro" w:hAnsi="Source Sans Pro"/>
                <w:color w:val="000000"/>
                <w:sz w:val="23"/>
                <w:szCs w:val="23"/>
              </w:rPr>
            </w:pPr>
            <w:r w:rsidRPr="006927F6">
              <w:rPr>
                <w:rFonts w:ascii="Source Sans Pro" w:hAnsi="Source Sans Pro"/>
                <w:color w:val="000000"/>
                <w:sz w:val="23"/>
                <w:szCs w:val="23"/>
              </w:rPr>
              <w:t>APD</w:t>
            </w:r>
          </w:p>
        </w:tc>
        <w:tc>
          <w:tcPr>
            <w:tcW w:w="0" w:type="auto"/>
            <w:hideMark/>
          </w:tcPr>
          <w:p w14:paraId="50E7D87B" w14:textId="77777777" w:rsidR="006927F6" w:rsidRPr="006927F6" w:rsidRDefault="006927F6" w:rsidP="0086593B">
            <w:pPr>
              <w:spacing w:line="276" w:lineRule="auto"/>
              <w:cnfStyle w:val="100000000000" w:firstRow="1" w:lastRow="0" w:firstColumn="0" w:lastColumn="0" w:oddVBand="0" w:evenVBand="0" w:oddHBand="0" w:evenHBand="0" w:firstRowFirstColumn="0" w:firstRowLastColumn="0" w:lastRowFirstColumn="0" w:lastRowLastColumn="0"/>
              <w:rPr>
                <w:rFonts w:ascii="Source Sans Pro" w:hAnsi="Source Sans Pro"/>
                <w:color w:val="000000"/>
                <w:sz w:val="23"/>
                <w:szCs w:val="23"/>
              </w:rPr>
            </w:pPr>
            <w:r w:rsidRPr="006927F6">
              <w:rPr>
                <w:rFonts w:ascii="Source Sans Pro" w:hAnsi="Source Sans Pro"/>
                <w:color w:val="000000"/>
                <w:sz w:val="23"/>
                <w:szCs w:val="23"/>
              </w:rPr>
              <w:t>95% HDI</w:t>
            </w:r>
          </w:p>
        </w:tc>
        <w:tc>
          <w:tcPr>
            <w:tcW w:w="0" w:type="auto"/>
            <w:hideMark/>
          </w:tcPr>
          <w:p w14:paraId="6968D580" w14:textId="77777777" w:rsidR="006927F6" w:rsidRPr="006927F6" w:rsidRDefault="006927F6" w:rsidP="0086593B">
            <w:pPr>
              <w:spacing w:line="276" w:lineRule="auto"/>
              <w:cnfStyle w:val="100000000000" w:firstRow="1" w:lastRow="0" w:firstColumn="0" w:lastColumn="0" w:oddVBand="0" w:evenVBand="0" w:oddHBand="0" w:evenHBand="0" w:firstRowFirstColumn="0" w:firstRowLastColumn="0" w:lastRowFirstColumn="0" w:lastRowLastColumn="0"/>
              <w:rPr>
                <w:rFonts w:ascii="Source Sans Pro" w:hAnsi="Source Sans Pro"/>
                <w:color w:val="000000"/>
                <w:sz w:val="23"/>
                <w:szCs w:val="23"/>
              </w:rPr>
            </w:pPr>
            <w:r w:rsidRPr="006927F6">
              <w:rPr>
                <w:rFonts w:ascii="Source Sans Pro" w:hAnsi="Source Sans Pro"/>
                <w:color w:val="000000"/>
                <w:sz w:val="23"/>
                <w:szCs w:val="23"/>
              </w:rPr>
              <w:t>P(ROPE)</w:t>
            </w:r>
          </w:p>
        </w:tc>
        <w:tc>
          <w:tcPr>
            <w:tcW w:w="0" w:type="auto"/>
            <w:hideMark/>
          </w:tcPr>
          <w:p w14:paraId="75D38D9A" w14:textId="77777777" w:rsidR="006927F6" w:rsidRPr="006927F6" w:rsidRDefault="006927F6" w:rsidP="0086593B">
            <w:pPr>
              <w:spacing w:line="276" w:lineRule="auto"/>
              <w:cnfStyle w:val="100000000000" w:firstRow="1" w:lastRow="0" w:firstColumn="0" w:lastColumn="0" w:oddVBand="0" w:evenVBand="0" w:oddHBand="0" w:evenHBand="0" w:firstRowFirstColumn="0" w:firstRowLastColumn="0" w:lastRowFirstColumn="0" w:lastRowLastColumn="0"/>
              <w:rPr>
                <w:rFonts w:ascii="Source Sans Pro" w:hAnsi="Source Sans Pro"/>
                <w:color w:val="000000"/>
                <w:sz w:val="23"/>
                <w:szCs w:val="23"/>
              </w:rPr>
            </w:pPr>
            <w:r w:rsidRPr="006927F6">
              <w:rPr>
                <w:rFonts w:ascii="Source Sans Pro" w:hAnsi="Source Sans Pro"/>
                <w:color w:val="000000"/>
                <w:sz w:val="23"/>
                <w:szCs w:val="23"/>
              </w:rPr>
              <w:t>NNT</w:t>
            </w:r>
          </w:p>
        </w:tc>
      </w:tr>
      <w:tr w:rsidR="006927F6" w14:paraId="34330337" w14:textId="77777777" w:rsidTr="006927F6">
        <w:tc>
          <w:tcPr>
            <w:cnfStyle w:val="001000000000" w:firstRow="0" w:lastRow="0" w:firstColumn="1" w:lastColumn="0" w:oddVBand="0" w:evenVBand="0" w:oddHBand="0" w:evenHBand="0" w:firstRowFirstColumn="0" w:firstRowLastColumn="0" w:lastRowFirstColumn="0" w:lastRowLastColumn="0"/>
            <w:tcW w:w="0" w:type="auto"/>
            <w:hideMark/>
          </w:tcPr>
          <w:p w14:paraId="35A0B044" w14:textId="77777777" w:rsidR="006927F6" w:rsidRDefault="006927F6" w:rsidP="0086593B">
            <w:pPr>
              <w:spacing w:line="276" w:lineRule="auto"/>
              <w:rPr>
                <w:rFonts w:ascii="Source Sans Pro" w:hAnsi="Source Sans Pro"/>
                <w:b w:val="0"/>
                <w:bCs w:val="0"/>
                <w:color w:val="000000"/>
                <w:sz w:val="23"/>
                <w:szCs w:val="23"/>
              </w:rPr>
            </w:pPr>
            <w:r>
              <w:rPr>
                <w:rFonts w:ascii="Source Sans Pro" w:hAnsi="Source Sans Pro"/>
                <w:color w:val="000000"/>
                <w:sz w:val="23"/>
                <w:szCs w:val="23"/>
              </w:rPr>
              <w:t>Anxiety</w:t>
            </w:r>
          </w:p>
        </w:tc>
        <w:tc>
          <w:tcPr>
            <w:tcW w:w="0" w:type="auto"/>
            <w:hideMark/>
          </w:tcPr>
          <w:p w14:paraId="7096E470" w14:textId="77777777" w:rsidR="006927F6" w:rsidRDefault="006927F6" w:rsidP="0086593B">
            <w:pPr>
              <w:spacing w:line="276" w:lineRule="auto"/>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sz w:val="23"/>
                <w:szCs w:val="23"/>
              </w:rPr>
            </w:pPr>
            <w:r>
              <w:rPr>
                <w:rFonts w:ascii="Source Sans Pro" w:hAnsi="Source Sans Pro"/>
                <w:color w:val="000000"/>
                <w:sz w:val="23"/>
                <w:szCs w:val="23"/>
              </w:rPr>
              <w:t>-0.027 (0.026)</w:t>
            </w:r>
          </w:p>
        </w:tc>
        <w:tc>
          <w:tcPr>
            <w:tcW w:w="0" w:type="auto"/>
            <w:hideMark/>
          </w:tcPr>
          <w:p w14:paraId="67C67E51" w14:textId="77777777" w:rsidR="006927F6" w:rsidRDefault="006927F6" w:rsidP="0086593B">
            <w:pPr>
              <w:spacing w:line="276" w:lineRule="auto"/>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sz w:val="23"/>
                <w:szCs w:val="23"/>
              </w:rPr>
            </w:pPr>
            <w:r>
              <w:rPr>
                <w:rFonts w:ascii="Source Sans Pro" w:hAnsi="Source Sans Pro"/>
                <w:color w:val="000000"/>
                <w:sz w:val="23"/>
                <w:szCs w:val="23"/>
              </w:rPr>
              <w:t>[-0.078, 0.024]</w:t>
            </w:r>
          </w:p>
        </w:tc>
        <w:tc>
          <w:tcPr>
            <w:tcW w:w="0" w:type="auto"/>
            <w:hideMark/>
          </w:tcPr>
          <w:p w14:paraId="44E8DD57" w14:textId="77777777" w:rsidR="006927F6" w:rsidRDefault="006927F6" w:rsidP="0086593B">
            <w:pPr>
              <w:spacing w:line="276" w:lineRule="auto"/>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sz w:val="23"/>
                <w:szCs w:val="23"/>
              </w:rPr>
            </w:pPr>
            <w:r>
              <w:rPr>
                <w:rFonts w:ascii="Source Sans Pro" w:hAnsi="Source Sans Pro"/>
                <w:color w:val="000000"/>
                <w:sz w:val="23"/>
                <w:szCs w:val="23"/>
              </w:rPr>
              <w:t>81.2%</w:t>
            </w:r>
          </w:p>
        </w:tc>
        <w:tc>
          <w:tcPr>
            <w:tcW w:w="0" w:type="auto"/>
            <w:hideMark/>
          </w:tcPr>
          <w:p w14:paraId="34802C5F" w14:textId="77777777" w:rsidR="006927F6" w:rsidRDefault="006927F6" w:rsidP="0086593B">
            <w:pPr>
              <w:spacing w:line="276" w:lineRule="auto"/>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sz w:val="23"/>
                <w:szCs w:val="23"/>
              </w:rPr>
            </w:pPr>
            <w:r>
              <w:rPr>
                <w:rFonts w:ascii="Source Sans Pro" w:hAnsi="Source Sans Pro"/>
                <w:color w:val="000000"/>
                <w:sz w:val="23"/>
                <w:szCs w:val="23"/>
              </w:rPr>
              <w:t>37</w:t>
            </w:r>
          </w:p>
        </w:tc>
      </w:tr>
      <w:tr w:rsidR="006927F6" w14:paraId="661E33C7" w14:textId="77777777" w:rsidTr="006927F6">
        <w:tc>
          <w:tcPr>
            <w:cnfStyle w:val="001000000000" w:firstRow="0" w:lastRow="0" w:firstColumn="1" w:lastColumn="0" w:oddVBand="0" w:evenVBand="0" w:oddHBand="0" w:evenHBand="0" w:firstRowFirstColumn="0" w:firstRowLastColumn="0" w:lastRowFirstColumn="0" w:lastRowLastColumn="0"/>
            <w:tcW w:w="0" w:type="auto"/>
            <w:hideMark/>
          </w:tcPr>
          <w:p w14:paraId="240F327E" w14:textId="77777777" w:rsidR="006927F6" w:rsidRDefault="006927F6" w:rsidP="0086593B">
            <w:pPr>
              <w:spacing w:line="276" w:lineRule="auto"/>
              <w:rPr>
                <w:rFonts w:ascii="Source Sans Pro" w:hAnsi="Source Sans Pro"/>
                <w:color w:val="000000"/>
                <w:sz w:val="23"/>
                <w:szCs w:val="23"/>
              </w:rPr>
            </w:pPr>
            <w:r>
              <w:rPr>
                <w:rFonts w:ascii="Source Sans Pro" w:hAnsi="Source Sans Pro"/>
                <w:color w:val="000000"/>
                <w:sz w:val="23"/>
                <w:szCs w:val="23"/>
              </w:rPr>
              <w:t>Depression</w:t>
            </w:r>
          </w:p>
        </w:tc>
        <w:tc>
          <w:tcPr>
            <w:tcW w:w="0" w:type="auto"/>
            <w:hideMark/>
          </w:tcPr>
          <w:p w14:paraId="7610D99F" w14:textId="77777777" w:rsidR="006927F6" w:rsidRDefault="006927F6" w:rsidP="0086593B">
            <w:pPr>
              <w:spacing w:line="276" w:lineRule="auto"/>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sz w:val="23"/>
                <w:szCs w:val="23"/>
              </w:rPr>
            </w:pPr>
            <w:r>
              <w:rPr>
                <w:rFonts w:ascii="Source Sans Pro" w:hAnsi="Source Sans Pro"/>
                <w:color w:val="000000"/>
                <w:sz w:val="23"/>
                <w:szCs w:val="23"/>
              </w:rPr>
              <w:t>-0.031 (0.021)</w:t>
            </w:r>
          </w:p>
        </w:tc>
        <w:tc>
          <w:tcPr>
            <w:tcW w:w="0" w:type="auto"/>
            <w:hideMark/>
          </w:tcPr>
          <w:p w14:paraId="7F799E65" w14:textId="77777777" w:rsidR="006927F6" w:rsidRDefault="006927F6" w:rsidP="0086593B">
            <w:pPr>
              <w:spacing w:line="276" w:lineRule="auto"/>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sz w:val="23"/>
                <w:szCs w:val="23"/>
              </w:rPr>
            </w:pPr>
            <w:r>
              <w:rPr>
                <w:rFonts w:ascii="Source Sans Pro" w:hAnsi="Source Sans Pro"/>
                <w:color w:val="000000"/>
                <w:sz w:val="23"/>
                <w:szCs w:val="23"/>
              </w:rPr>
              <w:t>[-0.072, 0.008]</w:t>
            </w:r>
          </w:p>
        </w:tc>
        <w:tc>
          <w:tcPr>
            <w:tcW w:w="0" w:type="auto"/>
            <w:hideMark/>
          </w:tcPr>
          <w:p w14:paraId="77BE8FA2" w14:textId="77777777" w:rsidR="006927F6" w:rsidRDefault="006927F6" w:rsidP="0086593B">
            <w:pPr>
              <w:spacing w:line="276" w:lineRule="auto"/>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sz w:val="23"/>
                <w:szCs w:val="23"/>
              </w:rPr>
            </w:pPr>
            <w:r>
              <w:rPr>
                <w:rFonts w:ascii="Source Sans Pro" w:hAnsi="Source Sans Pro"/>
                <w:color w:val="000000"/>
                <w:sz w:val="23"/>
                <w:szCs w:val="23"/>
              </w:rPr>
              <w:t>82.2%</w:t>
            </w:r>
          </w:p>
        </w:tc>
        <w:tc>
          <w:tcPr>
            <w:tcW w:w="0" w:type="auto"/>
            <w:hideMark/>
          </w:tcPr>
          <w:p w14:paraId="64993F4C" w14:textId="77777777" w:rsidR="006927F6" w:rsidRDefault="006927F6" w:rsidP="0086593B">
            <w:pPr>
              <w:spacing w:line="276" w:lineRule="auto"/>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sz w:val="23"/>
                <w:szCs w:val="23"/>
              </w:rPr>
            </w:pPr>
            <w:r>
              <w:rPr>
                <w:rFonts w:ascii="Source Sans Pro" w:hAnsi="Source Sans Pro"/>
                <w:color w:val="000000"/>
                <w:sz w:val="23"/>
                <w:szCs w:val="23"/>
              </w:rPr>
              <w:t>32</w:t>
            </w:r>
          </w:p>
        </w:tc>
      </w:tr>
      <w:tr w:rsidR="006927F6" w14:paraId="29CA4B54" w14:textId="77777777" w:rsidTr="006927F6">
        <w:tc>
          <w:tcPr>
            <w:cnfStyle w:val="001000000000" w:firstRow="0" w:lastRow="0" w:firstColumn="1" w:lastColumn="0" w:oddVBand="0" w:evenVBand="0" w:oddHBand="0" w:evenHBand="0" w:firstRowFirstColumn="0" w:firstRowLastColumn="0" w:lastRowFirstColumn="0" w:lastRowLastColumn="0"/>
            <w:tcW w:w="0" w:type="auto"/>
            <w:hideMark/>
          </w:tcPr>
          <w:p w14:paraId="2FB54C16" w14:textId="77777777" w:rsidR="006927F6" w:rsidRDefault="006927F6" w:rsidP="0086593B">
            <w:pPr>
              <w:spacing w:line="276" w:lineRule="auto"/>
              <w:rPr>
                <w:rFonts w:ascii="Source Sans Pro" w:hAnsi="Source Sans Pro"/>
                <w:color w:val="000000"/>
                <w:sz w:val="23"/>
                <w:szCs w:val="23"/>
              </w:rPr>
            </w:pPr>
            <w:r>
              <w:rPr>
                <w:rFonts w:ascii="Source Sans Pro" w:hAnsi="Source Sans Pro"/>
                <w:color w:val="000000"/>
                <w:sz w:val="23"/>
                <w:szCs w:val="23"/>
              </w:rPr>
              <w:t>Emotion</w:t>
            </w:r>
          </w:p>
        </w:tc>
        <w:tc>
          <w:tcPr>
            <w:tcW w:w="0" w:type="auto"/>
            <w:hideMark/>
          </w:tcPr>
          <w:p w14:paraId="5934A5F5" w14:textId="77777777" w:rsidR="006927F6" w:rsidRDefault="006927F6" w:rsidP="0086593B">
            <w:pPr>
              <w:spacing w:line="276" w:lineRule="auto"/>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sz w:val="23"/>
                <w:szCs w:val="23"/>
              </w:rPr>
            </w:pPr>
            <w:r>
              <w:rPr>
                <w:rFonts w:ascii="Source Sans Pro" w:hAnsi="Source Sans Pro"/>
                <w:color w:val="000000"/>
                <w:sz w:val="23"/>
                <w:szCs w:val="23"/>
              </w:rPr>
              <w:t>-0.039 (0.022)</w:t>
            </w:r>
          </w:p>
        </w:tc>
        <w:tc>
          <w:tcPr>
            <w:tcW w:w="0" w:type="auto"/>
            <w:hideMark/>
          </w:tcPr>
          <w:p w14:paraId="53CF8A29" w14:textId="77777777" w:rsidR="006927F6" w:rsidRDefault="006927F6" w:rsidP="0086593B">
            <w:pPr>
              <w:spacing w:line="276" w:lineRule="auto"/>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sz w:val="23"/>
                <w:szCs w:val="23"/>
              </w:rPr>
            </w:pPr>
            <w:r>
              <w:rPr>
                <w:rFonts w:ascii="Source Sans Pro" w:hAnsi="Source Sans Pro"/>
                <w:color w:val="000000"/>
                <w:sz w:val="23"/>
                <w:szCs w:val="23"/>
              </w:rPr>
              <w:t>[-0.081, 0.004]</w:t>
            </w:r>
          </w:p>
        </w:tc>
        <w:tc>
          <w:tcPr>
            <w:tcW w:w="0" w:type="auto"/>
            <w:hideMark/>
          </w:tcPr>
          <w:p w14:paraId="5BF41EC9" w14:textId="77777777" w:rsidR="006927F6" w:rsidRDefault="006927F6" w:rsidP="0086593B">
            <w:pPr>
              <w:spacing w:line="276" w:lineRule="auto"/>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sz w:val="23"/>
                <w:szCs w:val="23"/>
              </w:rPr>
            </w:pPr>
            <w:r>
              <w:rPr>
                <w:rFonts w:ascii="Source Sans Pro" w:hAnsi="Source Sans Pro"/>
                <w:color w:val="000000"/>
                <w:sz w:val="23"/>
                <w:szCs w:val="23"/>
              </w:rPr>
              <w:t>69.1%</w:t>
            </w:r>
          </w:p>
        </w:tc>
        <w:tc>
          <w:tcPr>
            <w:tcW w:w="0" w:type="auto"/>
            <w:hideMark/>
          </w:tcPr>
          <w:p w14:paraId="3F4DE155" w14:textId="77777777" w:rsidR="006927F6" w:rsidRDefault="006927F6" w:rsidP="0086593B">
            <w:pPr>
              <w:spacing w:line="276" w:lineRule="auto"/>
              <w:cnfStyle w:val="000000000000" w:firstRow="0" w:lastRow="0" w:firstColumn="0" w:lastColumn="0" w:oddVBand="0" w:evenVBand="0" w:oddHBand="0" w:evenHBand="0" w:firstRowFirstColumn="0" w:firstRowLastColumn="0" w:lastRowFirstColumn="0" w:lastRowLastColumn="0"/>
              <w:rPr>
                <w:rFonts w:ascii="Source Sans Pro" w:hAnsi="Source Sans Pro"/>
                <w:color w:val="000000"/>
                <w:sz w:val="23"/>
                <w:szCs w:val="23"/>
              </w:rPr>
            </w:pPr>
            <w:r>
              <w:rPr>
                <w:rFonts w:ascii="Source Sans Pro" w:hAnsi="Source Sans Pro"/>
                <w:color w:val="000000"/>
                <w:sz w:val="23"/>
                <w:szCs w:val="23"/>
              </w:rPr>
              <w:t>26</w:t>
            </w:r>
          </w:p>
        </w:tc>
      </w:tr>
      <w:tr w:rsidR="0086593B" w14:paraId="6A1EA3EA" w14:textId="77777777" w:rsidTr="00CA0547">
        <w:tc>
          <w:tcPr>
            <w:cnfStyle w:val="001000000000" w:firstRow="0" w:lastRow="0" w:firstColumn="1" w:lastColumn="0" w:oddVBand="0" w:evenVBand="0" w:oddHBand="0" w:evenHBand="0" w:firstRowFirstColumn="0" w:firstRowLastColumn="0" w:lastRowFirstColumn="0" w:lastRowLastColumn="0"/>
            <w:tcW w:w="0" w:type="auto"/>
            <w:gridSpan w:val="5"/>
            <w:hideMark/>
          </w:tcPr>
          <w:p w14:paraId="157950D4" w14:textId="32CD4ACB" w:rsidR="0086593B" w:rsidRDefault="0086593B" w:rsidP="0086593B">
            <w:pPr>
              <w:spacing w:line="276" w:lineRule="auto"/>
              <w:rPr>
                <w:sz w:val="20"/>
                <w:szCs w:val="20"/>
              </w:rPr>
            </w:pPr>
            <w:r w:rsidRPr="0086593B">
              <w:rPr>
                <w:rFonts w:ascii="Source Sans Pro" w:hAnsi="Source Sans Pro"/>
                <w:b w:val="0"/>
                <w:bCs w:val="0"/>
                <w:i/>
                <w:iCs/>
                <w:color w:val="000000"/>
                <w:sz w:val="23"/>
                <w:szCs w:val="23"/>
              </w:rPr>
              <w:t>Note:</w:t>
            </w:r>
            <w:r w:rsidRPr="0086593B">
              <w:rPr>
                <w:rFonts w:ascii="Source Sans Pro" w:hAnsi="Source Sans Pro"/>
                <w:b w:val="0"/>
                <w:bCs w:val="0"/>
                <w:color w:val="000000"/>
                <w:sz w:val="23"/>
                <w:szCs w:val="23"/>
              </w:rPr>
              <w:t> APD reported as posterior mean (SD). 95% HDI = Highest Density Interval. P(ROPE) = posterior probability that |APD| &lt; 0.05. NNT = Number Needed to Treat, computed as 1/|mean APD|. ROPE = Region of Practical Equivalence [-0.05, +0.05].</w:t>
            </w:r>
          </w:p>
        </w:tc>
      </w:tr>
    </w:tbl>
    <w:p w14:paraId="52C7D03E" w14:textId="77777777" w:rsidR="00F46168" w:rsidRDefault="00F46168" w:rsidP="0086593B">
      <w:pPr>
        <w:spacing w:line="276" w:lineRule="auto"/>
        <w:jc w:val="both"/>
      </w:pPr>
    </w:p>
    <w:p w14:paraId="25503E30" w14:textId="77777777" w:rsidR="0086593B" w:rsidRDefault="0086593B" w:rsidP="00E37F7F">
      <w:pPr>
        <w:spacing w:line="360" w:lineRule="auto"/>
        <w:jc w:val="both"/>
      </w:pPr>
    </w:p>
    <w:p w14:paraId="19BACA6B" w14:textId="143D3344" w:rsidR="0086593B" w:rsidRDefault="0086593B" w:rsidP="00E37F7F">
      <w:pPr>
        <w:spacing w:line="360" w:lineRule="auto"/>
        <w:jc w:val="both"/>
      </w:pPr>
      <w:r w:rsidRPr="0086593B">
        <w:lastRenderedPageBreak/>
        <w:drawing>
          <wp:inline distT="0" distB="0" distL="0" distR="0" wp14:anchorId="0AE47CB7" wp14:editId="548C8897">
            <wp:extent cx="5943600" cy="3105785"/>
            <wp:effectExtent l="0" t="0" r="0" b="5715"/>
            <wp:docPr id="13401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0603" name=""/>
                    <pic:cNvPicPr/>
                  </pic:nvPicPr>
                  <pic:blipFill>
                    <a:blip r:embed="rId15"/>
                    <a:stretch>
                      <a:fillRect/>
                    </a:stretch>
                  </pic:blipFill>
                  <pic:spPr>
                    <a:xfrm>
                      <a:off x="0" y="0"/>
                      <a:ext cx="5943600" cy="3105785"/>
                    </a:xfrm>
                    <a:prstGeom prst="rect">
                      <a:avLst/>
                    </a:prstGeom>
                  </pic:spPr>
                </pic:pic>
              </a:graphicData>
            </a:graphic>
          </wp:inline>
        </w:drawing>
      </w:r>
    </w:p>
    <w:p w14:paraId="60B21C1A" w14:textId="5DB87871" w:rsidR="0086593B" w:rsidRPr="00721653" w:rsidRDefault="0086593B" w:rsidP="0086593B">
      <w:pPr>
        <w:spacing w:line="360" w:lineRule="auto"/>
        <w:jc w:val="center"/>
        <w:rPr>
          <w:b/>
          <w:bCs/>
        </w:rPr>
      </w:pPr>
      <w:r w:rsidRPr="00721653">
        <w:rPr>
          <w:b/>
          <w:bCs/>
        </w:rPr>
        <w:t xml:space="preserve">Table </w:t>
      </w:r>
      <w:r>
        <w:rPr>
          <w:b/>
          <w:bCs/>
        </w:rPr>
        <w:t>A2</w:t>
      </w:r>
      <w:r w:rsidRPr="00721653">
        <w:rPr>
          <w:b/>
          <w:bCs/>
        </w:rPr>
        <w:t xml:space="preserve">. Posterior </w:t>
      </w:r>
      <w:r>
        <w:rPr>
          <w:b/>
          <w:bCs/>
        </w:rPr>
        <w:t>B</w:t>
      </w:r>
      <w:r w:rsidRPr="00721653">
        <w:rPr>
          <w:b/>
          <w:bCs/>
        </w:rPr>
        <w:t>etween-</w:t>
      </w:r>
      <w:r>
        <w:rPr>
          <w:b/>
          <w:bCs/>
        </w:rPr>
        <w:t>C</w:t>
      </w:r>
      <w:r w:rsidRPr="00721653">
        <w:rPr>
          <w:b/>
          <w:bCs/>
        </w:rPr>
        <w:t xml:space="preserve">luster </w:t>
      </w:r>
      <w:r>
        <w:rPr>
          <w:b/>
          <w:bCs/>
        </w:rPr>
        <w:t>V</w:t>
      </w:r>
      <w:r w:rsidRPr="00721653">
        <w:rPr>
          <w:b/>
          <w:bCs/>
        </w:rPr>
        <w:t xml:space="preserve">ariance </w:t>
      </w:r>
      <w:r>
        <w:rPr>
          <w:b/>
          <w:bCs/>
        </w:rPr>
        <w:t xml:space="preserve">– </w:t>
      </w:r>
      <w:r>
        <w:rPr>
          <w:b/>
          <w:bCs/>
        </w:rPr>
        <w:t>weakly informative priors</w:t>
      </w:r>
    </w:p>
    <w:tbl>
      <w:tblPr>
        <w:tblStyle w:val="GridTable1Light"/>
        <w:tblW w:w="9350" w:type="dxa"/>
        <w:tblLook w:val="04A0" w:firstRow="1" w:lastRow="0" w:firstColumn="1" w:lastColumn="0" w:noHBand="0" w:noVBand="1"/>
      </w:tblPr>
      <w:tblGrid>
        <w:gridCol w:w="2516"/>
        <w:gridCol w:w="3429"/>
        <w:gridCol w:w="3405"/>
      </w:tblGrid>
      <w:tr w:rsidR="0086593B" w:rsidRPr="00721653" w14:paraId="30701C15" w14:textId="77777777" w:rsidTr="00D62C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CFD0B" w14:textId="77777777" w:rsidR="0086593B" w:rsidRPr="00721653" w:rsidRDefault="0086593B" w:rsidP="00D62C45">
            <w:pPr>
              <w:spacing w:line="360" w:lineRule="auto"/>
              <w:rPr>
                <w:color w:val="000000"/>
                <w:sz w:val="23"/>
                <w:szCs w:val="23"/>
              </w:rPr>
            </w:pPr>
            <w:r w:rsidRPr="00721653">
              <w:rPr>
                <w:color w:val="000000"/>
                <w:sz w:val="23"/>
                <w:szCs w:val="23"/>
              </w:rPr>
              <w:t>Outcome</w:t>
            </w:r>
          </w:p>
        </w:tc>
        <w:tc>
          <w:tcPr>
            <w:tcW w:w="0" w:type="auto"/>
            <w:hideMark/>
          </w:tcPr>
          <w:p w14:paraId="3DB4628B" w14:textId="77777777" w:rsidR="0086593B" w:rsidRPr="00721653" w:rsidRDefault="0086593B" w:rsidP="00D62C45">
            <w:pPr>
              <w:spacing w:line="360" w:lineRule="auto"/>
              <w:cnfStyle w:val="100000000000" w:firstRow="1" w:lastRow="0" w:firstColumn="0" w:lastColumn="0" w:oddVBand="0" w:evenVBand="0" w:oddHBand="0" w:evenHBand="0" w:firstRowFirstColumn="0" w:firstRowLastColumn="0" w:lastRowFirstColumn="0" w:lastRowLastColumn="0"/>
              <w:rPr>
                <w:color w:val="000000"/>
                <w:sz w:val="23"/>
                <w:szCs w:val="23"/>
              </w:rPr>
            </w:pPr>
            <m:oMathPara>
              <m:oMathParaPr>
                <m:jc m:val="left"/>
              </m:oMathParaPr>
              <m:oMath>
                <m:sSub>
                  <m:sSubPr>
                    <m:ctrlPr>
                      <w:rPr>
                        <w:rFonts w:ascii="Cambria Math" w:hAnsi="Cambria Math"/>
                        <w:i/>
                        <w:color w:val="000000"/>
                        <w:sz w:val="23"/>
                        <w:szCs w:val="23"/>
                      </w:rPr>
                    </m:ctrlPr>
                  </m:sSubPr>
                  <m:e>
                    <m:r>
                      <m:rPr>
                        <m:sty m:val="bi"/>
                      </m:rPr>
                      <w:rPr>
                        <w:rFonts w:ascii="Cambria Math" w:hAnsi="Cambria Math"/>
                        <w:color w:val="000000"/>
                        <w:sz w:val="23"/>
                        <w:szCs w:val="23"/>
                      </w:rPr>
                      <m:t>σ</m:t>
                    </m:r>
                  </m:e>
                  <m:sub>
                    <m:r>
                      <m:rPr>
                        <m:sty m:val="bi"/>
                      </m:rPr>
                      <w:rPr>
                        <w:rFonts w:ascii="Cambria Math" w:hAnsi="Cambria Math"/>
                        <w:color w:val="000000"/>
                        <w:sz w:val="23"/>
                        <w:szCs w:val="23"/>
                      </w:rPr>
                      <m:t>cluster</m:t>
                    </m:r>
                  </m:sub>
                </m:sSub>
              </m:oMath>
            </m:oMathPara>
          </w:p>
        </w:tc>
        <w:tc>
          <w:tcPr>
            <w:tcW w:w="0" w:type="auto"/>
            <w:hideMark/>
          </w:tcPr>
          <w:p w14:paraId="4C353647" w14:textId="77777777" w:rsidR="0086593B" w:rsidRPr="00721653" w:rsidRDefault="0086593B" w:rsidP="00D62C45">
            <w:pPr>
              <w:spacing w:line="360" w:lineRule="auto"/>
              <w:cnfStyle w:val="100000000000" w:firstRow="1" w:lastRow="0" w:firstColumn="0" w:lastColumn="0" w:oddVBand="0" w:evenVBand="0" w:oddHBand="0" w:evenHBand="0" w:firstRowFirstColumn="0" w:firstRowLastColumn="0" w:lastRowFirstColumn="0" w:lastRowLastColumn="0"/>
              <w:rPr>
                <w:color w:val="000000"/>
                <w:sz w:val="23"/>
                <w:szCs w:val="23"/>
              </w:rPr>
            </w:pPr>
            <w:r w:rsidRPr="00721653">
              <w:rPr>
                <w:color w:val="000000"/>
                <w:sz w:val="23"/>
                <w:szCs w:val="23"/>
              </w:rPr>
              <w:t>ICC</w:t>
            </w:r>
          </w:p>
        </w:tc>
      </w:tr>
      <w:tr w:rsidR="0086593B" w:rsidRPr="00721653" w14:paraId="63FE182B" w14:textId="77777777" w:rsidTr="00C4260C">
        <w:tc>
          <w:tcPr>
            <w:cnfStyle w:val="001000000000" w:firstRow="0" w:lastRow="0" w:firstColumn="1" w:lastColumn="0" w:oddVBand="0" w:evenVBand="0" w:oddHBand="0" w:evenHBand="0" w:firstRowFirstColumn="0" w:firstRowLastColumn="0" w:lastRowFirstColumn="0" w:lastRowLastColumn="0"/>
            <w:tcW w:w="0" w:type="auto"/>
            <w:hideMark/>
          </w:tcPr>
          <w:p w14:paraId="57F226BF" w14:textId="77777777" w:rsidR="0086593B" w:rsidRPr="00721653" w:rsidRDefault="0086593B" w:rsidP="0086593B">
            <w:pPr>
              <w:spacing w:line="360" w:lineRule="auto"/>
              <w:rPr>
                <w:b w:val="0"/>
                <w:bCs w:val="0"/>
                <w:color w:val="000000"/>
                <w:sz w:val="23"/>
                <w:szCs w:val="23"/>
              </w:rPr>
            </w:pPr>
            <w:r w:rsidRPr="00721653">
              <w:rPr>
                <w:color w:val="000000"/>
                <w:sz w:val="23"/>
                <w:szCs w:val="23"/>
              </w:rPr>
              <w:t>Anxiety</w:t>
            </w:r>
          </w:p>
        </w:tc>
        <w:tc>
          <w:tcPr>
            <w:tcW w:w="0" w:type="auto"/>
            <w:tcBorders>
              <w:top w:val="single" w:sz="6" w:space="0" w:color="DDDDDD"/>
            </w:tcBorders>
            <w:shd w:val="clear" w:color="auto" w:fill="F9F9F9"/>
            <w:hideMark/>
          </w:tcPr>
          <w:p w14:paraId="7FC55469" w14:textId="71E6091B" w:rsidR="0086593B" w:rsidRPr="0086593B" w:rsidRDefault="0086593B" w:rsidP="0086593B">
            <w:pPr>
              <w:spacing w:line="360" w:lineRule="auto"/>
              <w:cnfStyle w:val="000000000000" w:firstRow="0" w:lastRow="0" w:firstColumn="0" w:lastColumn="0" w:oddVBand="0" w:evenVBand="0" w:oddHBand="0" w:evenHBand="0" w:firstRowFirstColumn="0" w:firstRowLastColumn="0" w:lastRowFirstColumn="0" w:lastRowLastColumn="0"/>
              <w:rPr>
                <w:color w:val="000000"/>
              </w:rPr>
            </w:pPr>
            <w:r w:rsidRPr="0086593B">
              <w:rPr>
                <w:color w:val="000000"/>
              </w:rPr>
              <w:t>0.274 [0.025, 0.470]</w:t>
            </w:r>
          </w:p>
        </w:tc>
        <w:tc>
          <w:tcPr>
            <w:tcW w:w="0" w:type="auto"/>
            <w:tcBorders>
              <w:top w:val="single" w:sz="6" w:space="0" w:color="DDDDDD"/>
            </w:tcBorders>
            <w:shd w:val="clear" w:color="auto" w:fill="F9F9F9"/>
            <w:hideMark/>
          </w:tcPr>
          <w:p w14:paraId="504436FB" w14:textId="7131B2DE" w:rsidR="0086593B" w:rsidRPr="0086593B" w:rsidRDefault="0086593B" w:rsidP="0086593B">
            <w:pPr>
              <w:spacing w:line="360" w:lineRule="auto"/>
              <w:cnfStyle w:val="000000000000" w:firstRow="0" w:lastRow="0" w:firstColumn="0" w:lastColumn="0" w:oddVBand="0" w:evenVBand="0" w:oddHBand="0" w:evenHBand="0" w:firstRowFirstColumn="0" w:firstRowLastColumn="0" w:lastRowFirstColumn="0" w:lastRowLastColumn="0"/>
              <w:rPr>
                <w:color w:val="000000"/>
              </w:rPr>
            </w:pPr>
            <w:r w:rsidRPr="0086593B">
              <w:rPr>
                <w:color w:val="000000"/>
              </w:rPr>
              <w:t>0.026 [0.000, 0.060]</w:t>
            </w:r>
          </w:p>
        </w:tc>
      </w:tr>
      <w:tr w:rsidR="0086593B" w:rsidRPr="00721653" w14:paraId="475C3818" w14:textId="77777777" w:rsidTr="00C4260C">
        <w:tc>
          <w:tcPr>
            <w:cnfStyle w:val="001000000000" w:firstRow="0" w:lastRow="0" w:firstColumn="1" w:lastColumn="0" w:oddVBand="0" w:evenVBand="0" w:oddHBand="0" w:evenHBand="0" w:firstRowFirstColumn="0" w:firstRowLastColumn="0" w:lastRowFirstColumn="0" w:lastRowLastColumn="0"/>
            <w:tcW w:w="0" w:type="auto"/>
            <w:hideMark/>
          </w:tcPr>
          <w:p w14:paraId="25F2136C" w14:textId="77777777" w:rsidR="0086593B" w:rsidRPr="00721653" w:rsidRDefault="0086593B" w:rsidP="0086593B">
            <w:pPr>
              <w:spacing w:line="360" w:lineRule="auto"/>
              <w:rPr>
                <w:color w:val="000000"/>
                <w:sz w:val="23"/>
                <w:szCs w:val="23"/>
              </w:rPr>
            </w:pPr>
            <w:r w:rsidRPr="00721653">
              <w:rPr>
                <w:color w:val="000000"/>
                <w:sz w:val="23"/>
                <w:szCs w:val="23"/>
              </w:rPr>
              <w:t>Depression</w:t>
            </w:r>
          </w:p>
        </w:tc>
        <w:tc>
          <w:tcPr>
            <w:tcW w:w="0" w:type="auto"/>
            <w:tcBorders>
              <w:top w:val="single" w:sz="6" w:space="0" w:color="DDDDDD"/>
            </w:tcBorders>
            <w:hideMark/>
          </w:tcPr>
          <w:p w14:paraId="52DFDBFE" w14:textId="37AE10EE" w:rsidR="0086593B" w:rsidRPr="0086593B" w:rsidRDefault="0086593B" w:rsidP="0086593B">
            <w:pPr>
              <w:spacing w:line="360" w:lineRule="auto"/>
              <w:cnfStyle w:val="000000000000" w:firstRow="0" w:lastRow="0" w:firstColumn="0" w:lastColumn="0" w:oddVBand="0" w:evenVBand="0" w:oddHBand="0" w:evenHBand="0" w:firstRowFirstColumn="0" w:firstRowLastColumn="0" w:lastRowFirstColumn="0" w:lastRowLastColumn="0"/>
              <w:rPr>
                <w:color w:val="000000"/>
              </w:rPr>
            </w:pPr>
            <w:r w:rsidRPr="0086593B">
              <w:rPr>
                <w:color w:val="000000"/>
              </w:rPr>
              <w:t>0.212 [0.000, 0.428]</w:t>
            </w:r>
          </w:p>
        </w:tc>
        <w:tc>
          <w:tcPr>
            <w:tcW w:w="0" w:type="auto"/>
            <w:tcBorders>
              <w:top w:val="single" w:sz="6" w:space="0" w:color="DDDDDD"/>
            </w:tcBorders>
            <w:hideMark/>
          </w:tcPr>
          <w:p w14:paraId="71077D3B" w14:textId="5535E8E6" w:rsidR="0086593B" w:rsidRPr="0086593B" w:rsidRDefault="0086593B" w:rsidP="0086593B">
            <w:pPr>
              <w:spacing w:line="360" w:lineRule="auto"/>
              <w:cnfStyle w:val="000000000000" w:firstRow="0" w:lastRow="0" w:firstColumn="0" w:lastColumn="0" w:oddVBand="0" w:evenVBand="0" w:oddHBand="0" w:evenHBand="0" w:firstRowFirstColumn="0" w:firstRowLastColumn="0" w:lastRowFirstColumn="0" w:lastRowLastColumn="0"/>
              <w:rPr>
                <w:color w:val="000000"/>
              </w:rPr>
            </w:pPr>
            <w:r w:rsidRPr="0086593B">
              <w:rPr>
                <w:color w:val="000000"/>
              </w:rPr>
              <w:t>0.018 [0.000, 0.053]</w:t>
            </w:r>
          </w:p>
        </w:tc>
      </w:tr>
      <w:tr w:rsidR="0086593B" w:rsidRPr="00721653" w14:paraId="3E3310E9" w14:textId="77777777" w:rsidTr="00C4260C">
        <w:tc>
          <w:tcPr>
            <w:cnfStyle w:val="001000000000" w:firstRow="0" w:lastRow="0" w:firstColumn="1" w:lastColumn="0" w:oddVBand="0" w:evenVBand="0" w:oddHBand="0" w:evenHBand="0" w:firstRowFirstColumn="0" w:firstRowLastColumn="0" w:lastRowFirstColumn="0" w:lastRowLastColumn="0"/>
            <w:tcW w:w="0" w:type="auto"/>
            <w:hideMark/>
          </w:tcPr>
          <w:p w14:paraId="37E0CDB5" w14:textId="77777777" w:rsidR="0086593B" w:rsidRPr="00721653" w:rsidRDefault="0086593B" w:rsidP="0086593B">
            <w:pPr>
              <w:spacing w:line="360" w:lineRule="auto"/>
              <w:rPr>
                <w:color w:val="000000"/>
                <w:sz w:val="23"/>
                <w:szCs w:val="23"/>
              </w:rPr>
            </w:pPr>
            <w:r w:rsidRPr="00721653">
              <w:rPr>
                <w:color w:val="000000"/>
                <w:sz w:val="23"/>
                <w:szCs w:val="23"/>
              </w:rPr>
              <w:t>Emotion</w:t>
            </w:r>
          </w:p>
        </w:tc>
        <w:tc>
          <w:tcPr>
            <w:tcW w:w="0" w:type="auto"/>
            <w:tcBorders>
              <w:top w:val="single" w:sz="6" w:space="0" w:color="DDDDDD"/>
            </w:tcBorders>
            <w:shd w:val="clear" w:color="auto" w:fill="F9F9F9"/>
            <w:hideMark/>
          </w:tcPr>
          <w:p w14:paraId="46405C30" w14:textId="4E66186C" w:rsidR="0086593B" w:rsidRPr="0086593B" w:rsidRDefault="0086593B" w:rsidP="0086593B">
            <w:pPr>
              <w:spacing w:line="360" w:lineRule="auto"/>
              <w:cnfStyle w:val="000000000000" w:firstRow="0" w:lastRow="0" w:firstColumn="0" w:lastColumn="0" w:oddVBand="0" w:evenVBand="0" w:oddHBand="0" w:evenHBand="0" w:firstRowFirstColumn="0" w:firstRowLastColumn="0" w:lastRowFirstColumn="0" w:lastRowLastColumn="0"/>
              <w:rPr>
                <w:color w:val="000000"/>
              </w:rPr>
            </w:pPr>
            <w:r w:rsidRPr="0086593B">
              <w:rPr>
                <w:color w:val="000000"/>
              </w:rPr>
              <w:t>0.189 [0.000, 0.389]</w:t>
            </w:r>
          </w:p>
        </w:tc>
        <w:tc>
          <w:tcPr>
            <w:tcW w:w="0" w:type="auto"/>
            <w:tcBorders>
              <w:top w:val="single" w:sz="6" w:space="0" w:color="DDDDDD"/>
            </w:tcBorders>
            <w:shd w:val="clear" w:color="auto" w:fill="F9F9F9"/>
            <w:hideMark/>
          </w:tcPr>
          <w:p w14:paraId="2E1D898F" w14:textId="19572D23" w:rsidR="0086593B" w:rsidRPr="0086593B" w:rsidRDefault="0086593B" w:rsidP="0086593B">
            <w:pPr>
              <w:spacing w:line="360" w:lineRule="auto"/>
              <w:cnfStyle w:val="000000000000" w:firstRow="0" w:lastRow="0" w:firstColumn="0" w:lastColumn="0" w:oddVBand="0" w:evenVBand="0" w:oddHBand="0" w:evenHBand="0" w:firstRowFirstColumn="0" w:firstRowLastColumn="0" w:lastRowFirstColumn="0" w:lastRowLastColumn="0"/>
              <w:rPr>
                <w:color w:val="000000"/>
              </w:rPr>
            </w:pPr>
            <w:r w:rsidRPr="0086593B">
              <w:rPr>
                <w:color w:val="000000"/>
              </w:rPr>
              <w:t>0.014 [0.000, 0.044]</w:t>
            </w:r>
          </w:p>
        </w:tc>
      </w:tr>
      <w:tr w:rsidR="0086593B" w:rsidRPr="00721653" w14:paraId="0A317977" w14:textId="77777777" w:rsidTr="00D62C45">
        <w:tc>
          <w:tcPr>
            <w:cnfStyle w:val="001000000000" w:firstRow="0" w:lastRow="0" w:firstColumn="1" w:lastColumn="0" w:oddVBand="0" w:evenVBand="0" w:oddHBand="0" w:evenHBand="0" w:firstRowFirstColumn="0" w:firstRowLastColumn="0" w:lastRowFirstColumn="0" w:lastRowLastColumn="0"/>
            <w:tcW w:w="0" w:type="auto"/>
            <w:gridSpan w:val="3"/>
            <w:hideMark/>
          </w:tcPr>
          <w:p w14:paraId="481C8BF1" w14:textId="77777777" w:rsidR="0086593B" w:rsidRPr="00721653" w:rsidRDefault="0086593B" w:rsidP="00D62C45">
            <w:pPr>
              <w:spacing w:line="360" w:lineRule="auto"/>
              <w:rPr>
                <w:b w:val="0"/>
                <w:bCs w:val="0"/>
                <w:sz w:val="20"/>
                <w:szCs w:val="20"/>
              </w:rPr>
            </w:pPr>
            <w:r w:rsidRPr="00721653">
              <w:rPr>
                <w:b w:val="0"/>
                <w:bCs w:val="0"/>
                <w:i/>
                <w:iCs/>
                <w:color w:val="000000"/>
                <w:sz w:val="23"/>
                <w:szCs w:val="23"/>
              </w:rPr>
              <w:t>Note:</w:t>
            </w:r>
            <w:r w:rsidRPr="00721653">
              <w:rPr>
                <w:b w:val="0"/>
                <w:bCs w:val="0"/>
                <w:color w:val="000000"/>
                <w:sz w:val="23"/>
                <w:szCs w:val="23"/>
              </w:rPr>
              <w:t xml:space="preserve"> All estimates reported as posterior mean [95% Highest Density Interval]. </w:t>
            </w:r>
            <w:r w:rsidRPr="00721653">
              <w:rPr>
                <w:i/>
                <w:color w:val="000000"/>
                <w:sz w:val="23"/>
                <w:szCs w:val="23"/>
              </w:rPr>
              <w:br/>
            </w:r>
            <m:oMath>
              <m:sSub>
                <m:sSubPr>
                  <m:ctrlPr>
                    <w:rPr>
                      <w:rFonts w:ascii="Cambria Math" w:hAnsi="Cambria Math"/>
                      <w:i/>
                      <w:color w:val="000000"/>
                      <w:sz w:val="23"/>
                      <w:szCs w:val="23"/>
                    </w:rPr>
                  </m:ctrlPr>
                </m:sSubPr>
                <m:e>
                  <m:r>
                    <m:rPr>
                      <m:sty m:val="bi"/>
                    </m:rPr>
                    <w:rPr>
                      <w:rFonts w:ascii="Cambria Math" w:hAnsi="Cambria Math"/>
                      <w:color w:val="000000"/>
                      <w:sz w:val="23"/>
                      <w:szCs w:val="23"/>
                    </w:rPr>
                    <m:t>σ</m:t>
                  </m:r>
                </m:e>
                <m:sub>
                  <m:r>
                    <m:rPr>
                      <m:sty m:val="bi"/>
                    </m:rPr>
                    <w:rPr>
                      <w:rFonts w:ascii="Cambria Math" w:hAnsi="Cambria Math"/>
                      <w:color w:val="000000"/>
                      <w:sz w:val="23"/>
                      <w:szCs w:val="23"/>
                    </w:rPr>
                    <m:t>cluster</m:t>
                  </m:r>
                </m:sub>
              </m:sSub>
            </m:oMath>
            <w:r w:rsidRPr="00721653">
              <w:rPr>
                <w:b w:val="0"/>
                <w:bCs w:val="0"/>
                <w:color w:val="000000"/>
                <w:sz w:val="23"/>
                <w:szCs w:val="23"/>
              </w:rPr>
              <w:t xml:space="preserve"> = between-kebele standard deviation on the log-odds scale. ICC = Intraclass Correlation Coefficient, computed draw-by-draw as </w:t>
            </w:r>
            <m:oMath>
              <m:f>
                <m:fPr>
                  <m:ctrlPr>
                    <w:rPr>
                      <w:rStyle w:val="mord"/>
                      <w:rFonts w:ascii="Cambria Math" w:eastAsiaTheme="minorEastAsia" w:hAnsi="Cambria Math"/>
                      <w:b w:val="0"/>
                      <w:bCs w:val="0"/>
                      <w:kern w:val="2"/>
                      <w14:ligatures w14:val="standardContextual"/>
                    </w:rPr>
                  </m:ctrlPr>
                </m:fPr>
                <m:num>
                  <m:sSubSup>
                    <m:sSubSupPr>
                      <m:ctrlPr>
                        <w:rPr>
                          <w:rStyle w:val="mord"/>
                          <w:rFonts w:ascii="Cambria Math" w:eastAsiaTheme="minorEastAsia" w:hAnsi="Cambria Math"/>
                          <w:b w:val="0"/>
                          <w:bCs w:val="0"/>
                          <w:i/>
                          <w:kern w:val="2"/>
                          <w14:ligatures w14:val="standardContextual"/>
                        </w:rPr>
                      </m:ctrlPr>
                    </m:sSubSupPr>
                    <m:e>
                      <m:r>
                        <m:rPr>
                          <m:sty m:val="bi"/>
                        </m:rPr>
                        <w:rPr>
                          <w:rStyle w:val="mord"/>
                          <w:rFonts w:ascii="Cambria Math" w:hAnsi="Cambria Math"/>
                        </w:rPr>
                        <m:t>σ</m:t>
                      </m:r>
                    </m:e>
                    <m:sub>
                      <m:r>
                        <m:rPr>
                          <m:sty m:val="bi"/>
                        </m:rPr>
                        <w:rPr>
                          <w:rStyle w:val="mord"/>
                          <w:rFonts w:ascii="Cambria Math" w:hAnsi="Cambria Math"/>
                        </w:rPr>
                        <m:t>cluster</m:t>
                      </m:r>
                    </m:sub>
                    <m:sup>
                      <m:d>
                        <m:dPr>
                          <m:ctrlPr>
                            <w:rPr>
                              <w:rStyle w:val="mord"/>
                              <w:rFonts w:ascii="Cambria Math" w:hAnsi="Cambria Math"/>
                              <w:i/>
                            </w:rPr>
                          </m:ctrlPr>
                        </m:dPr>
                        <m:e>
                          <m:r>
                            <m:rPr>
                              <m:sty m:val="bi"/>
                            </m:rPr>
                            <w:rPr>
                              <w:rStyle w:val="mord"/>
                              <w:rFonts w:ascii="Cambria Math" w:hAnsi="Cambria Math"/>
                            </w:rPr>
                            <m:t>s</m:t>
                          </m:r>
                        </m:e>
                      </m:d>
                      <m:r>
                        <m:rPr>
                          <m:sty m:val="bi"/>
                        </m:rPr>
                        <w:rPr>
                          <w:rStyle w:val="mord"/>
                          <w:rFonts w:ascii="Cambria Math" w:hAnsi="Cambria Math"/>
                        </w:rPr>
                        <m:t>2</m:t>
                      </m:r>
                    </m:sup>
                  </m:sSubSup>
                </m:num>
                <m:den>
                  <m:f>
                    <m:fPr>
                      <m:ctrlPr>
                        <w:rPr>
                          <w:rStyle w:val="mord"/>
                          <w:rFonts w:ascii="Cambria Math" w:eastAsiaTheme="minorEastAsia" w:hAnsi="Cambria Math"/>
                          <w:b w:val="0"/>
                          <w:bCs w:val="0"/>
                          <w:i/>
                          <w:kern w:val="2"/>
                          <w14:ligatures w14:val="standardContextual"/>
                        </w:rPr>
                      </m:ctrlPr>
                    </m:fPr>
                    <m:num>
                      <m:sSup>
                        <m:sSupPr>
                          <m:ctrlPr>
                            <w:rPr>
                              <w:rStyle w:val="mord"/>
                              <w:rFonts w:ascii="Cambria Math" w:eastAsiaTheme="minorEastAsia" w:hAnsi="Cambria Math"/>
                              <w:b w:val="0"/>
                              <w:bCs w:val="0"/>
                              <w:i/>
                              <w:kern w:val="2"/>
                              <w14:ligatures w14:val="standardContextual"/>
                            </w:rPr>
                          </m:ctrlPr>
                        </m:sSupPr>
                        <m:e>
                          <m:r>
                            <m:rPr>
                              <m:sty m:val="bi"/>
                            </m:rPr>
                            <w:rPr>
                              <w:rStyle w:val="mord"/>
                              <w:rFonts w:ascii="Cambria Math" w:hAnsi="Cambria Math"/>
                            </w:rPr>
                            <m:t>π</m:t>
                          </m:r>
                        </m:e>
                        <m:sup>
                          <m:r>
                            <m:rPr>
                              <m:sty m:val="bi"/>
                            </m:rPr>
                            <w:rPr>
                              <w:rStyle w:val="mord"/>
                              <w:rFonts w:ascii="Cambria Math" w:hAnsi="Cambria Math"/>
                            </w:rPr>
                            <m:t>2</m:t>
                          </m:r>
                        </m:sup>
                      </m:sSup>
                    </m:num>
                    <m:den>
                      <m:r>
                        <m:rPr>
                          <m:sty m:val="bi"/>
                        </m:rPr>
                        <w:rPr>
                          <w:rStyle w:val="mord"/>
                          <w:rFonts w:ascii="Cambria Math" w:hAnsi="Cambria Math"/>
                        </w:rPr>
                        <m:t>3</m:t>
                      </m:r>
                    </m:den>
                  </m:f>
                  <m:r>
                    <m:rPr>
                      <m:sty m:val="bi"/>
                    </m:rPr>
                    <w:rPr>
                      <w:rStyle w:val="mord"/>
                      <w:rFonts w:ascii="Cambria Math" w:hAnsi="Cambria Math"/>
                    </w:rPr>
                    <m:t xml:space="preserve"> + </m:t>
                  </m:r>
                  <m:sSubSup>
                    <m:sSubSupPr>
                      <m:ctrlPr>
                        <w:rPr>
                          <w:rStyle w:val="mord"/>
                          <w:rFonts w:ascii="Cambria Math" w:eastAsiaTheme="minorEastAsia" w:hAnsi="Cambria Math"/>
                          <w:b w:val="0"/>
                          <w:bCs w:val="0"/>
                          <w:i/>
                          <w:kern w:val="2"/>
                          <w14:ligatures w14:val="standardContextual"/>
                        </w:rPr>
                      </m:ctrlPr>
                    </m:sSubSupPr>
                    <m:e>
                      <m:r>
                        <m:rPr>
                          <m:sty m:val="bi"/>
                        </m:rPr>
                        <w:rPr>
                          <w:rStyle w:val="mord"/>
                          <w:rFonts w:ascii="Cambria Math" w:hAnsi="Cambria Math"/>
                        </w:rPr>
                        <m:t>σ</m:t>
                      </m:r>
                    </m:e>
                    <m:sub>
                      <m:r>
                        <m:rPr>
                          <m:sty m:val="bi"/>
                        </m:rPr>
                        <w:rPr>
                          <w:rStyle w:val="mord"/>
                          <w:rFonts w:ascii="Cambria Math" w:hAnsi="Cambria Math"/>
                        </w:rPr>
                        <m:t>cluster</m:t>
                      </m:r>
                    </m:sub>
                    <m:sup>
                      <m:d>
                        <m:dPr>
                          <m:ctrlPr>
                            <w:rPr>
                              <w:rStyle w:val="mord"/>
                              <w:rFonts w:ascii="Cambria Math" w:hAnsi="Cambria Math"/>
                              <w:i/>
                            </w:rPr>
                          </m:ctrlPr>
                        </m:dPr>
                        <m:e>
                          <m:r>
                            <m:rPr>
                              <m:sty m:val="bi"/>
                            </m:rPr>
                            <w:rPr>
                              <w:rStyle w:val="mord"/>
                              <w:rFonts w:ascii="Cambria Math" w:hAnsi="Cambria Math"/>
                            </w:rPr>
                            <m:t>s</m:t>
                          </m:r>
                        </m:e>
                      </m:d>
                      <m:r>
                        <m:rPr>
                          <m:sty m:val="bi"/>
                        </m:rPr>
                        <w:rPr>
                          <w:rStyle w:val="mord"/>
                          <w:rFonts w:ascii="Cambria Math" w:hAnsi="Cambria Math"/>
                        </w:rPr>
                        <m:t>2</m:t>
                      </m:r>
                    </m:sup>
                  </m:sSubSup>
                </m:den>
              </m:f>
            </m:oMath>
            <w:r w:rsidRPr="00721653">
              <w:rPr>
                <w:b w:val="0"/>
                <w:bCs w:val="0"/>
                <w:color w:val="000000"/>
                <w:sz w:val="23"/>
                <w:szCs w:val="23"/>
              </w:rPr>
              <w:t xml:space="preserve">, where </w:t>
            </w:r>
            <m:oMath>
              <m:f>
                <m:fPr>
                  <m:ctrlPr>
                    <w:rPr>
                      <w:rStyle w:val="mord"/>
                      <w:rFonts w:ascii="Cambria Math" w:eastAsiaTheme="minorEastAsia" w:hAnsi="Cambria Math"/>
                      <w:b w:val="0"/>
                      <w:bCs w:val="0"/>
                      <w:i/>
                      <w:kern w:val="2"/>
                      <w14:ligatures w14:val="standardContextual"/>
                    </w:rPr>
                  </m:ctrlPr>
                </m:fPr>
                <m:num>
                  <m:sSup>
                    <m:sSupPr>
                      <m:ctrlPr>
                        <w:rPr>
                          <w:rStyle w:val="mord"/>
                          <w:rFonts w:ascii="Cambria Math" w:eastAsiaTheme="minorEastAsia" w:hAnsi="Cambria Math"/>
                          <w:b w:val="0"/>
                          <w:bCs w:val="0"/>
                          <w:i/>
                          <w:kern w:val="2"/>
                          <w14:ligatures w14:val="standardContextual"/>
                        </w:rPr>
                      </m:ctrlPr>
                    </m:sSupPr>
                    <m:e>
                      <m:r>
                        <m:rPr>
                          <m:sty m:val="bi"/>
                        </m:rPr>
                        <w:rPr>
                          <w:rStyle w:val="mord"/>
                          <w:rFonts w:ascii="Cambria Math" w:hAnsi="Cambria Math"/>
                        </w:rPr>
                        <m:t>π</m:t>
                      </m:r>
                    </m:e>
                    <m:sup>
                      <m:r>
                        <m:rPr>
                          <m:sty m:val="bi"/>
                        </m:rPr>
                        <w:rPr>
                          <w:rStyle w:val="mord"/>
                          <w:rFonts w:ascii="Cambria Math" w:hAnsi="Cambria Math"/>
                        </w:rPr>
                        <m:t>2</m:t>
                      </m:r>
                    </m:sup>
                  </m:sSup>
                </m:num>
                <m:den>
                  <m:r>
                    <m:rPr>
                      <m:sty m:val="bi"/>
                    </m:rPr>
                    <w:rPr>
                      <w:rStyle w:val="mord"/>
                      <w:rFonts w:ascii="Cambria Math" w:hAnsi="Cambria Math"/>
                    </w:rPr>
                    <m:t>3</m:t>
                  </m:r>
                </m:den>
              </m:f>
            </m:oMath>
            <w:r w:rsidRPr="00721653">
              <w:rPr>
                <w:rStyle w:val="mord"/>
                <w:b w:val="0"/>
                <w:bCs w:val="0"/>
                <w:kern w:val="2"/>
                <w14:ligatures w14:val="standardContextual"/>
              </w:rPr>
              <w:t xml:space="preserve"> </w:t>
            </w:r>
            <w:r w:rsidRPr="00721653">
              <w:rPr>
                <w:b w:val="0"/>
                <w:bCs w:val="0"/>
                <w:color w:val="000000"/>
                <w:sz w:val="23"/>
                <w:szCs w:val="23"/>
              </w:rPr>
              <w:t>is the variance of the standard logistic distribution.</w:t>
            </w:r>
          </w:p>
        </w:tc>
      </w:tr>
    </w:tbl>
    <w:p w14:paraId="572789DA" w14:textId="77777777" w:rsidR="0086593B" w:rsidRDefault="0086593B" w:rsidP="00E37F7F">
      <w:pPr>
        <w:spacing w:line="360" w:lineRule="auto"/>
        <w:jc w:val="both"/>
      </w:pPr>
    </w:p>
    <w:p w14:paraId="6DD347C6" w14:textId="63D08621" w:rsidR="0086593B" w:rsidRDefault="0086593B" w:rsidP="00E37F7F">
      <w:pPr>
        <w:spacing w:line="360" w:lineRule="auto"/>
        <w:jc w:val="both"/>
      </w:pPr>
      <w:r w:rsidRPr="0086593B">
        <w:lastRenderedPageBreak/>
        <w:drawing>
          <wp:inline distT="0" distB="0" distL="0" distR="0" wp14:anchorId="51B69CE5" wp14:editId="01CCBE7D">
            <wp:extent cx="5943600" cy="3105785"/>
            <wp:effectExtent l="0" t="0" r="0" b="5715"/>
            <wp:docPr id="154928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80803" name=""/>
                    <pic:cNvPicPr/>
                  </pic:nvPicPr>
                  <pic:blipFill>
                    <a:blip r:embed="rId16"/>
                    <a:stretch>
                      <a:fillRect/>
                    </a:stretch>
                  </pic:blipFill>
                  <pic:spPr>
                    <a:xfrm>
                      <a:off x="0" y="0"/>
                      <a:ext cx="5943600" cy="3105785"/>
                    </a:xfrm>
                    <a:prstGeom prst="rect">
                      <a:avLst/>
                    </a:prstGeom>
                  </pic:spPr>
                </pic:pic>
              </a:graphicData>
            </a:graphic>
          </wp:inline>
        </w:drawing>
      </w:r>
    </w:p>
    <w:p w14:paraId="35C2C2A6" w14:textId="0B7B3124" w:rsidR="00A81E1E" w:rsidRPr="002C01E7" w:rsidRDefault="00A81E1E" w:rsidP="00A81E1E">
      <w:pPr>
        <w:spacing w:line="360" w:lineRule="auto"/>
        <w:jc w:val="center"/>
        <w:rPr>
          <w:b/>
          <w:bCs/>
        </w:rPr>
      </w:pPr>
      <w:r w:rsidRPr="002C01E7">
        <w:rPr>
          <w:b/>
          <w:bCs/>
        </w:rPr>
        <w:t xml:space="preserve">Table </w:t>
      </w:r>
      <w:r>
        <w:rPr>
          <w:b/>
          <w:bCs/>
        </w:rPr>
        <w:t>A3</w:t>
      </w:r>
      <w:r w:rsidRPr="002C01E7">
        <w:rPr>
          <w:b/>
          <w:bCs/>
        </w:rPr>
        <w:t>. Posterior predictive p-values (PPP-values)</w:t>
      </w:r>
      <w:r>
        <w:rPr>
          <w:b/>
          <w:bCs/>
        </w:rPr>
        <w:t xml:space="preserve"> – weakly informative priors</w:t>
      </w:r>
    </w:p>
    <w:tbl>
      <w:tblPr>
        <w:tblStyle w:val="GridTable1Light"/>
        <w:tblW w:w="9350" w:type="dxa"/>
        <w:tblLook w:val="04A0" w:firstRow="1" w:lastRow="0" w:firstColumn="1" w:lastColumn="0" w:noHBand="0" w:noVBand="1"/>
      </w:tblPr>
      <w:tblGrid>
        <w:gridCol w:w="3439"/>
        <w:gridCol w:w="986"/>
        <w:gridCol w:w="985"/>
        <w:gridCol w:w="985"/>
        <w:gridCol w:w="985"/>
        <w:gridCol w:w="985"/>
        <w:gridCol w:w="985"/>
      </w:tblGrid>
      <w:tr w:rsidR="00A81E1E" w:rsidRPr="002C01E7" w14:paraId="0B0E59F9" w14:textId="77777777" w:rsidTr="00D62C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22EAD" w14:textId="77777777" w:rsidR="00A81E1E" w:rsidRPr="002C01E7" w:rsidRDefault="00A81E1E" w:rsidP="00D62C45">
            <w:pPr>
              <w:spacing w:line="360" w:lineRule="auto"/>
              <w:rPr>
                <w:color w:val="999999"/>
              </w:rPr>
            </w:pPr>
          </w:p>
        </w:tc>
        <w:tc>
          <w:tcPr>
            <w:tcW w:w="0" w:type="auto"/>
            <w:gridSpan w:val="2"/>
            <w:hideMark/>
          </w:tcPr>
          <w:p w14:paraId="4DB56A8E" w14:textId="77777777" w:rsidR="00A81E1E" w:rsidRPr="002C01E7" w:rsidRDefault="00A81E1E" w:rsidP="00D62C45">
            <w:pPr>
              <w:spacing w:line="360" w:lineRule="auto"/>
              <w:jc w:val="center"/>
              <w:cnfStyle w:val="100000000000" w:firstRow="1" w:lastRow="0" w:firstColumn="0" w:lastColumn="0" w:oddVBand="0" w:evenVBand="0" w:oddHBand="0" w:evenHBand="0" w:firstRowFirstColumn="0" w:firstRowLastColumn="0" w:lastRowFirstColumn="0" w:lastRowLastColumn="0"/>
              <w:rPr>
                <w:color w:val="000000"/>
              </w:rPr>
            </w:pPr>
            <w:r w:rsidRPr="002C01E7">
              <w:rPr>
                <w:color w:val="000000"/>
              </w:rPr>
              <w:t>Anxiety</w:t>
            </w:r>
          </w:p>
        </w:tc>
        <w:tc>
          <w:tcPr>
            <w:tcW w:w="0" w:type="auto"/>
            <w:gridSpan w:val="2"/>
            <w:hideMark/>
          </w:tcPr>
          <w:p w14:paraId="43C59CE8" w14:textId="77777777" w:rsidR="00A81E1E" w:rsidRPr="002C01E7" w:rsidRDefault="00A81E1E" w:rsidP="00D62C45">
            <w:pPr>
              <w:spacing w:line="360" w:lineRule="auto"/>
              <w:jc w:val="center"/>
              <w:cnfStyle w:val="100000000000" w:firstRow="1" w:lastRow="0" w:firstColumn="0" w:lastColumn="0" w:oddVBand="0" w:evenVBand="0" w:oddHBand="0" w:evenHBand="0" w:firstRowFirstColumn="0" w:firstRowLastColumn="0" w:lastRowFirstColumn="0" w:lastRowLastColumn="0"/>
              <w:rPr>
                <w:color w:val="000000"/>
              </w:rPr>
            </w:pPr>
            <w:r w:rsidRPr="002C01E7">
              <w:rPr>
                <w:color w:val="000000"/>
              </w:rPr>
              <w:t>Depression</w:t>
            </w:r>
          </w:p>
        </w:tc>
        <w:tc>
          <w:tcPr>
            <w:tcW w:w="0" w:type="auto"/>
            <w:gridSpan w:val="2"/>
            <w:hideMark/>
          </w:tcPr>
          <w:p w14:paraId="0F214986" w14:textId="77777777" w:rsidR="00A81E1E" w:rsidRPr="002C01E7" w:rsidRDefault="00A81E1E" w:rsidP="00D62C45">
            <w:pPr>
              <w:spacing w:line="360" w:lineRule="auto"/>
              <w:jc w:val="center"/>
              <w:cnfStyle w:val="100000000000" w:firstRow="1" w:lastRow="0" w:firstColumn="0" w:lastColumn="0" w:oddVBand="0" w:evenVBand="0" w:oddHBand="0" w:evenHBand="0" w:firstRowFirstColumn="0" w:firstRowLastColumn="0" w:lastRowFirstColumn="0" w:lastRowLastColumn="0"/>
              <w:rPr>
                <w:color w:val="000000"/>
              </w:rPr>
            </w:pPr>
            <w:r w:rsidRPr="002C01E7">
              <w:rPr>
                <w:color w:val="000000"/>
              </w:rPr>
              <w:t>Emotion</w:t>
            </w:r>
          </w:p>
        </w:tc>
      </w:tr>
      <w:tr w:rsidR="00A81E1E" w:rsidRPr="002C01E7" w14:paraId="64188A02" w14:textId="77777777" w:rsidTr="00D62C45">
        <w:tc>
          <w:tcPr>
            <w:cnfStyle w:val="001000000000" w:firstRow="0" w:lastRow="0" w:firstColumn="1" w:lastColumn="0" w:oddVBand="0" w:evenVBand="0" w:oddHBand="0" w:evenHBand="0" w:firstRowFirstColumn="0" w:firstRowLastColumn="0" w:lastRowFirstColumn="0" w:lastRowLastColumn="0"/>
            <w:tcW w:w="0" w:type="auto"/>
            <w:hideMark/>
          </w:tcPr>
          <w:p w14:paraId="409E5317" w14:textId="77777777" w:rsidR="00A81E1E" w:rsidRPr="002C01E7" w:rsidRDefault="00A81E1E" w:rsidP="00D62C45">
            <w:pPr>
              <w:spacing w:line="360" w:lineRule="auto"/>
              <w:rPr>
                <w:color w:val="000000"/>
              </w:rPr>
            </w:pPr>
            <w:r w:rsidRPr="002C01E7">
              <w:rPr>
                <w:color w:val="000000"/>
              </w:rPr>
              <w:t>Statistic</w:t>
            </w:r>
          </w:p>
        </w:tc>
        <w:tc>
          <w:tcPr>
            <w:tcW w:w="0" w:type="auto"/>
            <w:hideMark/>
          </w:tcPr>
          <w:p w14:paraId="14E66496" w14:textId="77777777" w:rsidR="00A81E1E" w:rsidRPr="002C01E7" w:rsidRDefault="00A81E1E" w:rsidP="00D62C45">
            <w:pPr>
              <w:spacing w:line="360" w:lineRule="auto"/>
              <w:jc w:val="center"/>
              <w:cnfStyle w:val="000000000000" w:firstRow="0" w:lastRow="0" w:firstColumn="0" w:lastColumn="0" w:oddVBand="0" w:evenVBand="0" w:oddHBand="0" w:evenHBand="0" w:firstRowFirstColumn="0" w:firstRowLastColumn="0" w:lastRowFirstColumn="0" w:lastRowLastColumn="0"/>
              <w:rPr>
                <w:b/>
                <w:bCs/>
                <w:color w:val="000000"/>
              </w:rPr>
            </w:pPr>
            <w:r w:rsidRPr="002C01E7">
              <w:rPr>
                <w:b/>
                <w:bCs/>
                <w:color w:val="000000"/>
              </w:rPr>
              <w:t>Obs.</w:t>
            </w:r>
          </w:p>
        </w:tc>
        <w:tc>
          <w:tcPr>
            <w:tcW w:w="0" w:type="auto"/>
            <w:hideMark/>
          </w:tcPr>
          <w:p w14:paraId="65AD900D" w14:textId="77777777" w:rsidR="00A81E1E" w:rsidRPr="002C01E7" w:rsidRDefault="00A81E1E" w:rsidP="00D62C45">
            <w:pPr>
              <w:spacing w:line="360" w:lineRule="auto"/>
              <w:jc w:val="center"/>
              <w:cnfStyle w:val="000000000000" w:firstRow="0" w:lastRow="0" w:firstColumn="0" w:lastColumn="0" w:oddVBand="0" w:evenVBand="0" w:oddHBand="0" w:evenHBand="0" w:firstRowFirstColumn="0" w:firstRowLastColumn="0" w:lastRowFirstColumn="0" w:lastRowLastColumn="0"/>
              <w:rPr>
                <w:b/>
                <w:bCs/>
                <w:color w:val="000000"/>
              </w:rPr>
            </w:pPr>
            <w:r w:rsidRPr="002C01E7">
              <w:rPr>
                <w:b/>
                <w:bCs/>
                <w:color w:val="000000"/>
              </w:rPr>
              <w:t>PPP</w:t>
            </w:r>
          </w:p>
        </w:tc>
        <w:tc>
          <w:tcPr>
            <w:tcW w:w="0" w:type="auto"/>
            <w:hideMark/>
          </w:tcPr>
          <w:p w14:paraId="4E7C4074" w14:textId="77777777" w:rsidR="00A81E1E" w:rsidRPr="002C01E7" w:rsidRDefault="00A81E1E" w:rsidP="00D62C45">
            <w:pPr>
              <w:spacing w:line="360" w:lineRule="auto"/>
              <w:jc w:val="center"/>
              <w:cnfStyle w:val="000000000000" w:firstRow="0" w:lastRow="0" w:firstColumn="0" w:lastColumn="0" w:oddVBand="0" w:evenVBand="0" w:oddHBand="0" w:evenHBand="0" w:firstRowFirstColumn="0" w:firstRowLastColumn="0" w:lastRowFirstColumn="0" w:lastRowLastColumn="0"/>
              <w:rPr>
                <w:b/>
                <w:bCs/>
                <w:color w:val="000000"/>
              </w:rPr>
            </w:pPr>
            <w:r w:rsidRPr="002C01E7">
              <w:rPr>
                <w:b/>
                <w:bCs/>
                <w:color w:val="000000"/>
              </w:rPr>
              <w:t>Obs.</w:t>
            </w:r>
          </w:p>
        </w:tc>
        <w:tc>
          <w:tcPr>
            <w:tcW w:w="0" w:type="auto"/>
            <w:hideMark/>
          </w:tcPr>
          <w:p w14:paraId="0FC1740A" w14:textId="77777777" w:rsidR="00A81E1E" w:rsidRPr="002C01E7" w:rsidRDefault="00A81E1E" w:rsidP="00D62C45">
            <w:pPr>
              <w:spacing w:line="360" w:lineRule="auto"/>
              <w:jc w:val="center"/>
              <w:cnfStyle w:val="000000000000" w:firstRow="0" w:lastRow="0" w:firstColumn="0" w:lastColumn="0" w:oddVBand="0" w:evenVBand="0" w:oddHBand="0" w:evenHBand="0" w:firstRowFirstColumn="0" w:firstRowLastColumn="0" w:lastRowFirstColumn="0" w:lastRowLastColumn="0"/>
              <w:rPr>
                <w:b/>
                <w:bCs/>
                <w:color w:val="000000"/>
              </w:rPr>
            </w:pPr>
            <w:r w:rsidRPr="002C01E7">
              <w:rPr>
                <w:b/>
                <w:bCs/>
                <w:color w:val="000000"/>
              </w:rPr>
              <w:t>PPP</w:t>
            </w:r>
          </w:p>
        </w:tc>
        <w:tc>
          <w:tcPr>
            <w:tcW w:w="0" w:type="auto"/>
            <w:hideMark/>
          </w:tcPr>
          <w:p w14:paraId="0B8D6B91" w14:textId="77777777" w:rsidR="00A81E1E" w:rsidRPr="002C01E7" w:rsidRDefault="00A81E1E" w:rsidP="00D62C45">
            <w:pPr>
              <w:spacing w:line="360" w:lineRule="auto"/>
              <w:jc w:val="center"/>
              <w:cnfStyle w:val="000000000000" w:firstRow="0" w:lastRow="0" w:firstColumn="0" w:lastColumn="0" w:oddVBand="0" w:evenVBand="0" w:oddHBand="0" w:evenHBand="0" w:firstRowFirstColumn="0" w:firstRowLastColumn="0" w:lastRowFirstColumn="0" w:lastRowLastColumn="0"/>
              <w:rPr>
                <w:b/>
                <w:bCs/>
                <w:color w:val="000000"/>
              </w:rPr>
            </w:pPr>
            <w:r w:rsidRPr="002C01E7">
              <w:rPr>
                <w:b/>
                <w:bCs/>
                <w:color w:val="000000"/>
              </w:rPr>
              <w:t>Obs.</w:t>
            </w:r>
          </w:p>
        </w:tc>
        <w:tc>
          <w:tcPr>
            <w:tcW w:w="0" w:type="auto"/>
            <w:hideMark/>
          </w:tcPr>
          <w:p w14:paraId="4B645B8A" w14:textId="77777777" w:rsidR="00A81E1E" w:rsidRPr="002C01E7" w:rsidRDefault="00A81E1E" w:rsidP="00D62C45">
            <w:pPr>
              <w:spacing w:line="360" w:lineRule="auto"/>
              <w:jc w:val="center"/>
              <w:cnfStyle w:val="000000000000" w:firstRow="0" w:lastRow="0" w:firstColumn="0" w:lastColumn="0" w:oddVBand="0" w:evenVBand="0" w:oddHBand="0" w:evenHBand="0" w:firstRowFirstColumn="0" w:firstRowLastColumn="0" w:lastRowFirstColumn="0" w:lastRowLastColumn="0"/>
              <w:rPr>
                <w:b/>
                <w:bCs/>
                <w:color w:val="000000"/>
              </w:rPr>
            </w:pPr>
            <w:r w:rsidRPr="002C01E7">
              <w:rPr>
                <w:b/>
                <w:bCs/>
                <w:color w:val="000000"/>
              </w:rPr>
              <w:t>PPP</w:t>
            </w:r>
          </w:p>
        </w:tc>
      </w:tr>
      <w:tr w:rsidR="00A81E1E" w:rsidRPr="002C01E7" w14:paraId="3BF3FC46" w14:textId="77777777" w:rsidTr="00CE17E2">
        <w:tc>
          <w:tcPr>
            <w:cnfStyle w:val="001000000000" w:firstRow="0" w:lastRow="0" w:firstColumn="1" w:lastColumn="0" w:oddVBand="0" w:evenVBand="0" w:oddHBand="0" w:evenHBand="0" w:firstRowFirstColumn="0" w:firstRowLastColumn="0" w:lastRowFirstColumn="0" w:lastRowLastColumn="0"/>
            <w:tcW w:w="0" w:type="auto"/>
            <w:hideMark/>
          </w:tcPr>
          <w:p w14:paraId="1C735681" w14:textId="77777777" w:rsidR="00A81E1E" w:rsidRPr="002C01E7" w:rsidRDefault="00A81E1E" w:rsidP="00A81E1E">
            <w:pPr>
              <w:spacing w:line="360" w:lineRule="auto"/>
              <w:rPr>
                <w:b w:val="0"/>
                <w:bCs w:val="0"/>
                <w:color w:val="000000"/>
              </w:rPr>
            </w:pPr>
            <w:r w:rsidRPr="002C01E7">
              <w:rPr>
                <w:color w:val="000000"/>
              </w:rPr>
              <w:t>Overall prevalence</w:t>
            </w:r>
          </w:p>
        </w:tc>
        <w:tc>
          <w:tcPr>
            <w:tcW w:w="0" w:type="auto"/>
            <w:tcBorders>
              <w:top w:val="single" w:sz="6" w:space="0" w:color="DDDDDD"/>
            </w:tcBorders>
            <w:shd w:val="clear" w:color="auto" w:fill="F9F9F9"/>
            <w:hideMark/>
          </w:tcPr>
          <w:p w14:paraId="0FCA5C4C" w14:textId="01400419"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0.235</w:t>
            </w:r>
          </w:p>
        </w:tc>
        <w:tc>
          <w:tcPr>
            <w:tcW w:w="0" w:type="auto"/>
            <w:tcBorders>
              <w:top w:val="single" w:sz="6" w:space="0" w:color="DDDDDD"/>
            </w:tcBorders>
            <w:shd w:val="clear" w:color="auto" w:fill="F9F9F9"/>
            <w:hideMark/>
          </w:tcPr>
          <w:p w14:paraId="61438362" w14:textId="1B055036"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0.523</w:t>
            </w:r>
          </w:p>
        </w:tc>
        <w:tc>
          <w:tcPr>
            <w:tcW w:w="0" w:type="auto"/>
            <w:tcBorders>
              <w:top w:val="single" w:sz="6" w:space="0" w:color="DDDDDD"/>
            </w:tcBorders>
            <w:shd w:val="clear" w:color="auto" w:fill="F9F9F9"/>
            <w:hideMark/>
          </w:tcPr>
          <w:p w14:paraId="76143425" w14:textId="5D7E6C7C"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0.156</w:t>
            </w:r>
          </w:p>
        </w:tc>
        <w:tc>
          <w:tcPr>
            <w:tcW w:w="0" w:type="auto"/>
            <w:tcBorders>
              <w:top w:val="single" w:sz="6" w:space="0" w:color="DDDDDD"/>
            </w:tcBorders>
            <w:shd w:val="clear" w:color="auto" w:fill="F9F9F9"/>
            <w:hideMark/>
          </w:tcPr>
          <w:p w14:paraId="00215EB7" w14:textId="74AFB852"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0.537</w:t>
            </w:r>
          </w:p>
        </w:tc>
        <w:tc>
          <w:tcPr>
            <w:tcW w:w="0" w:type="auto"/>
            <w:tcBorders>
              <w:top w:val="single" w:sz="6" w:space="0" w:color="DDDDDD"/>
            </w:tcBorders>
            <w:shd w:val="clear" w:color="auto" w:fill="F9F9F9"/>
            <w:hideMark/>
          </w:tcPr>
          <w:p w14:paraId="1B3B3BEB" w14:textId="5283FBFD"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0.185</w:t>
            </w:r>
          </w:p>
        </w:tc>
        <w:tc>
          <w:tcPr>
            <w:tcW w:w="0" w:type="auto"/>
            <w:tcBorders>
              <w:top w:val="single" w:sz="6" w:space="0" w:color="DDDDDD"/>
            </w:tcBorders>
            <w:shd w:val="clear" w:color="auto" w:fill="F9F9F9"/>
            <w:hideMark/>
          </w:tcPr>
          <w:p w14:paraId="4A766B02" w14:textId="05D19209"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0.534</w:t>
            </w:r>
          </w:p>
        </w:tc>
      </w:tr>
      <w:tr w:rsidR="00A81E1E" w:rsidRPr="002C01E7" w14:paraId="3BEA9DE3" w14:textId="77777777" w:rsidTr="00CE17E2">
        <w:tc>
          <w:tcPr>
            <w:cnfStyle w:val="001000000000" w:firstRow="0" w:lastRow="0" w:firstColumn="1" w:lastColumn="0" w:oddVBand="0" w:evenVBand="0" w:oddHBand="0" w:evenHBand="0" w:firstRowFirstColumn="0" w:firstRowLastColumn="0" w:lastRowFirstColumn="0" w:lastRowLastColumn="0"/>
            <w:tcW w:w="0" w:type="auto"/>
            <w:hideMark/>
          </w:tcPr>
          <w:p w14:paraId="1A21ED63" w14:textId="77777777" w:rsidR="00A81E1E" w:rsidRPr="002C01E7" w:rsidRDefault="00A81E1E" w:rsidP="00A81E1E">
            <w:pPr>
              <w:spacing w:line="360" w:lineRule="auto"/>
              <w:rPr>
                <w:color w:val="000000"/>
              </w:rPr>
            </w:pPr>
            <w:r w:rsidRPr="002C01E7">
              <w:rPr>
                <w:color w:val="000000"/>
              </w:rPr>
              <w:t>Treatment arm</w:t>
            </w:r>
          </w:p>
        </w:tc>
        <w:tc>
          <w:tcPr>
            <w:tcW w:w="0" w:type="auto"/>
            <w:tcBorders>
              <w:top w:val="single" w:sz="6" w:space="0" w:color="DDDDDD"/>
            </w:tcBorders>
            <w:hideMark/>
          </w:tcPr>
          <w:p w14:paraId="229CAE48" w14:textId="3E8F417B"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0.222</w:t>
            </w:r>
          </w:p>
        </w:tc>
        <w:tc>
          <w:tcPr>
            <w:tcW w:w="0" w:type="auto"/>
            <w:tcBorders>
              <w:top w:val="single" w:sz="6" w:space="0" w:color="DDDDDD"/>
            </w:tcBorders>
            <w:hideMark/>
          </w:tcPr>
          <w:p w14:paraId="6FD6C649" w14:textId="78F8CA9E"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0.515</w:t>
            </w:r>
          </w:p>
        </w:tc>
        <w:tc>
          <w:tcPr>
            <w:tcW w:w="0" w:type="auto"/>
            <w:tcBorders>
              <w:top w:val="single" w:sz="6" w:space="0" w:color="DDDDDD"/>
            </w:tcBorders>
            <w:hideMark/>
          </w:tcPr>
          <w:p w14:paraId="1D81DF53" w14:textId="4794B901"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0.141</w:t>
            </w:r>
          </w:p>
        </w:tc>
        <w:tc>
          <w:tcPr>
            <w:tcW w:w="0" w:type="auto"/>
            <w:tcBorders>
              <w:top w:val="single" w:sz="6" w:space="0" w:color="DDDDDD"/>
            </w:tcBorders>
            <w:hideMark/>
          </w:tcPr>
          <w:p w14:paraId="1A612FEC" w14:textId="65F3C8DE"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0.513</w:t>
            </w:r>
          </w:p>
        </w:tc>
        <w:tc>
          <w:tcPr>
            <w:tcW w:w="0" w:type="auto"/>
            <w:tcBorders>
              <w:top w:val="single" w:sz="6" w:space="0" w:color="DDDDDD"/>
            </w:tcBorders>
            <w:hideMark/>
          </w:tcPr>
          <w:p w14:paraId="1D783020" w14:textId="16FF0610"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0.167</w:t>
            </w:r>
          </w:p>
        </w:tc>
        <w:tc>
          <w:tcPr>
            <w:tcW w:w="0" w:type="auto"/>
            <w:tcBorders>
              <w:top w:val="single" w:sz="6" w:space="0" w:color="DDDDDD"/>
            </w:tcBorders>
            <w:hideMark/>
          </w:tcPr>
          <w:p w14:paraId="26DB08BA" w14:textId="7CA3372C"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0.512</w:t>
            </w:r>
          </w:p>
        </w:tc>
      </w:tr>
      <w:tr w:rsidR="00A81E1E" w:rsidRPr="002C01E7" w14:paraId="5E8418DA" w14:textId="77777777" w:rsidTr="00CE17E2">
        <w:tc>
          <w:tcPr>
            <w:cnfStyle w:val="001000000000" w:firstRow="0" w:lastRow="0" w:firstColumn="1" w:lastColumn="0" w:oddVBand="0" w:evenVBand="0" w:oddHBand="0" w:evenHBand="0" w:firstRowFirstColumn="0" w:firstRowLastColumn="0" w:lastRowFirstColumn="0" w:lastRowLastColumn="0"/>
            <w:tcW w:w="0" w:type="auto"/>
            <w:hideMark/>
          </w:tcPr>
          <w:p w14:paraId="32B7F0E5" w14:textId="77777777" w:rsidR="00A81E1E" w:rsidRPr="002C01E7" w:rsidRDefault="00A81E1E" w:rsidP="00A81E1E">
            <w:pPr>
              <w:spacing w:line="360" w:lineRule="auto"/>
              <w:rPr>
                <w:color w:val="000000"/>
              </w:rPr>
            </w:pPr>
            <w:r w:rsidRPr="002C01E7">
              <w:rPr>
                <w:color w:val="000000"/>
              </w:rPr>
              <w:t>Control arm</w:t>
            </w:r>
          </w:p>
        </w:tc>
        <w:tc>
          <w:tcPr>
            <w:tcW w:w="0" w:type="auto"/>
            <w:tcBorders>
              <w:top w:val="single" w:sz="6" w:space="0" w:color="DDDDDD"/>
            </w:tcBorders>
            <w:shd w:val="clear" w:color="auto" w:fill="F9F9F9"/>
            <w:hideMark/>
          </w:tcPr>
          <w:p w14:paraId="55A15C74" w14:textId="3E7DAA71"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0.248</w:t>
            </w:r>
          </w:p>
        </w:tc>
        <w:tc>
          <w:tcPr>
            <w:tcW w:w="0" w:type="auto"/>
            <w:tcBorders>
              <w:top w:val="single" w:sz="6" w:space="0" w:color="DDDDDD"/>
            </w:tcBorders>
            <w:shd w:val="clear" w:color="auto" w:fill="F9F9F9"/>
            <w:hideMark/>
          </w:tcPr>
          <w:p w14:paraId="2A64B11F" w14:textId="10136507"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0.524</w:t>
            </w:r>
          </w:p>
        </w:tc>
        <w:tc>
          <w:tcPr>
            <w:tcW w:w="0" w:type="auto"/>
            <w:tcBorders>
              <w:top w:val="single" w:sz="6" w:space="0" w:color="DDDDDD"/>
            </w:tcBorders>
            <w:shd w:val="clear" w:color="auto" w:fill="F9F9F9"/>
            <w:hideMark/>
          </w:tcPr>
          <w:p w14:paraId="73EBCA13" w14:textId="445AA9DE"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0.170</w:t>
            </w:r>
          </w:p>
        </w:tc>
        <w:tc>
          <w:tcPr>
            <w:tcW w:w="0" w:type="auto"/>
            <w:tcBorders>
              <w:top w:val="single" w:sz="6" w:space="0" w:color="DDDDDD"/>
            </w:tcBorders>
            <w:shd w:val="clear" w:color="auto" w:fill="F9F9F9"/>
            <w:hideMark/>
          </w:tcPr>
          <w:p w14:paraId="37B4369C" w14:textId="06D1C6DC"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0.539</w:t>
            </w:r>
          </w:p>
        </w:tc>
        <w:tc>
          <w:tcPr>
            <w:tcW w:w="0" w:type="auto"/>
            <w:tcBorders>
              <w:top w:val="single" w:sz="6" w:space="0" w:color="DDDDDD"/>
            </w:tcBorders>
            <w:shd w:val="clear" w:color="auto" w:fill="F9F9F9"/>
            <w:hideMark/>
          </w:tcPr>
          <w:p w14:paraId="179FD451" w14:textId="344E42DE"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0.204</w:t>
            </w:r>
          </w:p>
        </w:tc>
        <w:tc>
          <w:tcPr>
            <w:tcW w:w="0" w:type="auto"/>
            <w:tcBorders>
              <w:top w:val="single" w:sz="6" w:space="0" w:color="DDDDDD"/>
            </w:tcBorders>
            <w:shd w:val="clear" w:color="auto" w:fill="F9F9F9"/>
            <w:hideMark/>
          </w:tcPr>
          <w:p w14:paraId="69A0F280" w14:textId="68D98C95"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0.541</w:t>
            </w:r>
          </w:p>
        </w:tc>
      </w:tr>
      <w:tr w:rsidR="00A81E1E" w:rsidRPr="002C01E7" w14:paraId="6746D92B" w14:textId="77777777" w:rsidTr="00CE17E2">
        <w:tc>
          <w:tcPr>
            <w:cnfStyle w:val="001000000000" w:firstRow="0" w:lastRow="0" w:firstColumn="1" w:lastColumn="0" w:oddVBand="0" w:evenVBand="0" w:oddHBand="0" w:evenHBand="0" w:firstRowFirstColumn="0" w:firstRowLastColumn="0" w:lastRowFirstColumn="0" w:lastRowLastColumn="0"/>
            <w:tcW w:w="0" w:type="auto"/>
            <w:hideMark/>
          </w:tcPr>
          <w:p w14:paraId="0CBA42CF" w14:textId="77777777" w:rsidR="00A81E1E" w:rsidRPr="002C01E7" w:rsidRDefault="00A81E1E" w:rsidP="00A81E1E">
            <w:pPr>
              <w:spacing w:line="360" w:lineRule="auto"/>
              <w:rPr>
                <w:color w:val="000000"/>
              </w:rPr>
            </w:pPr>
            <w:r w:rsidRPr="002C01E7">
              <w:rPr>
                <w:color w:val="000000"/>
              </w:rPr>
              <w:t xml:space="preserve">Woreda: </w:t>
            </w:r>
            <w:proofErr w:type="spellStart"/>
            <w:r w:rsidRPr="002C01E7">
              <w:rPr>
                <w:color w:val="000000"/>
              </w:rPr>
              <w:t>Farta</w:t>
            </w:r>
            <w:proofErr w:type="spellEnd"/>
          </w:p>
        </w:tc>
        <w:tc>
          <w:tcPr>
            <w:tcW w:w="0" w:type="auto"/>
            <w:tcBorders>
              <w:top w:val="single" w:sz="6" w:space="0" w:color="DDDDDD"/>
            </w:tcBorders>
            <w:hideMark/>
          </w:tcPr>
          <w:p w14:paraId="60A1A9FB" w14:textId="14143249"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0.240</w:t>
            </w:r>
          </w:p>
        </w:tc>
        <w:tc>
          <w:tcPr>
            <w:tcW w:w="0" w:type="auto"/>
            <w:tcBorders>
              <w:top w:val="single" w:sz="6" w:space="0" w:color="DDDDDD"/>
            </w:tcBorders>
            <w:hideMark/>
          </w:tcPr>
          <w:p w14:paraId="3502F786" w14:textId="6F814427"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0.529</w:t>
            </w:r>
          </w:p>
        </w:tc>
        <w:tc>
          <w:tcPr>
            <w:tcW w:w="0" w:type="auto"/>
            <w:tcBorders>
              <w:top w:val="single" w:sz="6" w:space="0" w:color="DDDDDD"/>
            </w:tcBorders>
            <w:hideMark/>
          </w:tcPr>
          <w:p w14:paraId="4DDE9463" w14:textId="70FB9531"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0.165</w:t>
            </w:r>
          </w:p>
        </w:tc>
        <w:tc>
          <w:tcPr>
            <w:tcW w:w="0" w:type="auto"/>
            <w:tcBorders>
              <w:top w:val="single" w:sz="6" w:space="0" w:color="DDDDDD"/>
            </w:tcBorders>
            <w:hideMark/>
          </w:tcPr>
          <w:p w14:paraId="6EEF8975" w14:textId="13159808"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0.545</w:t>
            </w:r>
          </w:p>
        </w:tc>
        <w:tc>
          <w:tcPr>
            <w:tcW w:w="0" w:type="auto"/>
            <w:tcBorders>
              <w:top w:val="single" w:sz="6" w:space="0" w:color="DDDDDD"/>
            </w:tcBorders>
            <w:hideMark/>
          </w:tcPr>
          <w:p w14:paraId="76793221" w14:textId="552A9F41"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0.197</w:t>
            </w:r>
          </w:p>
        </w:tc>
        <w:tc>
          <w:tcPr>
            <w:tcW w:w="0" w:type="auto"/>
            <w:tcBorders>
              <w:top w:val="single" w:sz="6" w:space="0" w:color="DDDDDD"/>
            </w:tcBorders>
            <w:hideMark/>
          </w:tcPr>
          <w:p w14:paraId="22851A18" w14:textId="4579D016"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0.542</w:t>
            </w:r>
          </w:p>
        </w:tc>
      </w:tr>
      <w:tr w:rsidR="00A81E1E" w:rsidRPr="002C01E7" w14:paraId="0207B918" w14:textId="77777777" w:rsidTr="00CE17E2">
        <w:tc>
          <w:tcPr>
            <w:cnfStyle w:val="001000000000" w:firstRow="0" w:lastRow="0" w:firstColumn="1" w:lastColumn="0" w:oddVBand="0" w:evenVBand="0" w:oddHBand="0" w:evenHBand="0" w:firstRowFirstColumn="0" w:firstRowLastColumn="0" w:lastRowFirstColumn="0" w:lastRowLastColumn="0"/>
            <w:tcW w:w="0" w:type="auto"/>
            <w:hideMark/>
          </w:tcPr>
          <w:p w14:paraId="24062748" w14:textId="77777777" w:rsidR="00A81E1E" w:rsidRPr="002C01E7" w:rsidRDefault="00A81E1E" w:rsidP="00A81E1E">
            <w:pPr>
              <w:spacing w:line="360" w:lineRule="auto"/>
              <w:rPr>
                <w:color w:val="000000"/>
              </w:rPr>
            </w:pPr>
            <w:r w:rsidRPr="002C01E7">
              <w:rPr>
                <w:color w:val="000000"/>
              </w:rPr>
              <w:t>Woreda: Fogera</w:t>
            </w:r>
          </w:p>
        </w:tc>
        <w:tc>
          <w:tcPr>
            <w:tcW w:w="0" w:type="auto"/>
            <w:tcBorders>
              <w:top w:val="single" w:sz="6" w:space="0" w:color="DDDDDD"/>
            </w:tcBorders>
            <w:shd w:val="clear" w:color="auto" w:fill="F9F9F9"/>
            <w:hideMark/>
          </w:tcPr>
          <w:p w14:paraId="1B1DB4C6" w14:textId="006641EF"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0.245</w:t>
            </w:r>
          </w:p>
        </w:tc>
        <w:tc>
          <w:tcPr>
            <w:tcW w:w="0" w:type="auto"/>
            <w:tcBorders>
              <w:top w:val="single" w:sz="6" w:space="0" w:color="DDDDDD"/>
            </w:tcBorders>
            <w:shd w:val="clear" w:color="auto" w:fill="F9F9F9"/>
            <w:hideMark/>
          </w:tcPr>
          <w:p w14:paraId="5DACCB92" w14:textId="7DCCCAAD"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0.510</w:t>
            </w:r>
          </w:p>
        </w:tc>
        <w:tc>
          <w:tcPr>
            <w:tcW w:w="0" w:type="auto"/>
            <w:tcBorders>
              <w:top w:val="single" w:sz="6" w:space="0" w:color="DDDDDD"/>
            </w:tcBorders>
            <w:shd w:val="clear" w:color="auto" w:fill="F9F9F9"/>
            <w:hideMark/>
          </w:tcPr>
          <w:p w14:paraId="490A905B" w14:textId="6AEEC73F"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0.198</w:t>
            </w:r>
          </w:p>
        </w:tc>
        <w:tc>
          <w:tcPr>
            <w:tcW w:w="0" w:type="auto"/>
            <w:tcBorders>
              <w:top w:val="single" w:sz="6" w:space="0" w:color="DDDDDD"/>
            </w:tcBorders>
            <w:shd w:val="clear" w:color="auto" w:fill="F9F9F9"/>
            <w:hideMark/>
          </w:tcPr>
          <w:p w14:paraId="3550D79D" w14:textId="7A382001"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0.502</w:t>
            </w:r>
          </w:p>
        </w:tc>
        <w:tc>
          <w:tcPr>
            <w:tcW w:w="0" w:type="auto"/>
            <w:tcBorders>
              <w:top w:val="single" w:sz="6" w:space="0" w:color="DDDDDD"/>
            </w:tcBorders>
            <w:shd w:val="clear" w:color="auto" w:fill="F9F9F9"/>
            <w:hideMark/>
          </w:tcPr>
          <w:p w14:paraId="796C72BB" w14:textId="2755A4D3"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0.204</w:t>
            </w:r>
          </w:p>
        </w:tc>
        <w:tc>
          <w:tcPr>
            <w:tcW w:w="0" w:type="auto"/>
            <w:tcBorders>
              <w:top w:val="single" w:sz="6" w:space="0" w:color="DDDDDD"/>
            </w:tcBorders>
            <w:shd w:val="clear" w:color="auto" w:fill="F9F9F9"/>
            <w:hideMark/>
          </w:tcPr>
          <w:p w14:paraId="507A61D3" w14:textId="0AA00403"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0.507</w:t>
            </w:r>
          </w:p>
        </w:tc>
      </w:tr>
      <w:tr w:rsidR="00A81E1E" w:rsidRPr="002C01E7" w14:paraId="335287AD" w14:textId="77777777" w:rsidTr="00CE17E2">
        <w:tc>
          <w:tcPr>
            <w:cnfStyle w:val="001000000000" w:firstRow="0" w:lastRow="0" w:firstColumn="1" w:lastColumn="0" w:oddVBand="0" w:evenVBand="0" w:oddHBand="0" w:evenHBand="0" w:firstRowFirstColumn="0" w:firstRowLastColumn="0" w:lastRowFirstColumn="0" w:lastRowLastColumn="0"/>
            <w:tcW w:w="0" w:type="auto"/>
            <w:hideMark/>
          </w:tcPr>
          <w:p w14:paraId="7D546E3C" w14:textId="77777777" w:rsidR="00A81E1E" w:rsidRPr="002C01E7" w:rsidRDefault="00A81E1E" w:rsidP="00A81E1E">
            <w:pPr>
              <w:spacing w:line="360" w:lineRule="auto"/>
              <w:rPr>
                <w:color w:val="000000"/>
              </w:rPr>
            </w:pPr>
            <w:r w:rsidRPr="002C01E7">
              <w:rPr>
                <w:color w:val="000000"/>
              </w:rPr>
              <w:t>Woreda: Bahir Dar Zuria</w:t>
            </w:r>
          </w:p>
        </w:tc>
        <w:tc>
          <w:tcPr>
            <w:tcW w:w="0" w:type="auto"/>
            <w:tcBorders>
              <w:top w:val="single" w:sz="6" w:space="0" w:color="DDDDDD"/>
            </w:tcBorders>
            <w:hideMark/>
          </w:tcPr>
          <w:p w14:paraId="2B15ED8F" w14:textId="598919D2"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0.222</w:t>
            </w:r>
          </w:p>
        </w:tc>
        <w:tc>
          <w:tcPr>
            <w:tcW w:w="0" w:type="auto"/>
            <w:tcBorders>
              <w:top w:val="single" w:sz="6" w:space="0" w:color="DDDDDD"/>
            </w:tcBorders>
            <w:hideMark/>
          </w:tcPr>
          <w:p w14:paraId="034757CD" w14:textId="3AC17F88"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0.512</w:t>
            </w:r>
          </w:p>
        </w:tc>
        <w:tc>
          <w:tcPr>
            <w:tcW w:w="0" w:type="auto"/>
            <w:tcBorders>
              <w:top w:val="single" w:sz="6" w:space="0" w:color="DDDDDD"/>
            </w:tcBorders>
            <w:hideMark/>
          </w:tcPr>
          <w:p w14:paraId="63000692" w14:textId="1F478ED7"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0.113</w:t>
            </w:r>
          </w:p>
        </w:tc>
        <w:tc>
          <w:tcPr>
            <w:tcW w:w="0" w:type="auto"/>
            <w:tcBorders>
              <w:top w:val="single" w:sz="6" w:space="0" w:color="DDDDDD"/>
            </w:tcBorders>
            <w:hideMark/>
          </w:tcPr>
          <w:p w14:paraId="13090A9A" w14:textId="7EDE8ECF"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0.524</w:t>
            </w:r>
          </w:p>
        </w:tc>
        <w:tc>
          <w:tcPr>
            <w:tcW w:w="0" w:type="auto"/>
            <w:tcBorders>
              <w:top w:val="single" w:sz="6" w:space="0" w:color="DDDDDD"/>
            </w:tcBorders>
            <w:hideMark/>
          </w:tcPr>
          <w:p w14:paraId="5CE86E37" w14:textId="5F4C1D19"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0.157</w:t>
            </w:r>
          </w:p>
        </w:tc>
        <w:tc>
          <w:tcPr>
            <w:tcW w:w="0" w:type="auto"/>
            <w:tcBorders>
              <w:top w:val="single" w:sz="6" w:space="0" w:color="DDDDDD"/>
            </w:tcBorders>
            <w:hideMark/>
          </w:tcPr>
          <w:p w14:paraId="5BD91DA1" w14:textId="0D71D23B"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0.513</w:t>
            </w:r>
          </w:p>
        </w:tc>
      </w:tr>
      <w:tr w:rsidR="00A81E1E" w:rsidRPr="002C01E7" w14:paraId="25A2B352" w14:textId="77777777" w:rsidTr="00CE17E2">
        <w:tc>
          <w:tcPr>
            <w:cnfStyle w:val="001000000000" w:firstRow="0" w:lastRow="0" w:firstColumn="1" w:lastColumn="0" w:oddVBand="0" w:evenVBand="0" w:oddHBand="0" w:evenHBand="0" w:firstRowFirstColumn="0" w:firstRowLastColumn="0" w:lastRowFirstColumn="0" w:lastRowLastColumn="0"/>
            <w:tcW w:w="0" w:type="auto"/>
            <w:hideMark/>
          </w:tcPr>
          <w:p w14:paraId="002BB7B1" w14:textId="77777777" w:rsidR="00A81E1E" w:rsidRPr="002C01E7" w:rsidRDefault="00A81E1E" w:rsidP="00A81E1E">
            <w:pPr>
              <w:spacing w:line="360" w:lineRule="auto"/>
              <w:rPr>
                <w:color w:val="000000"/>
              </w:rPr>
            </w:pPr>
            <w:r w:rsidRPr="002C01E7">
              <w:rPr>
                <w:color w:val="000000"/>
              </w:rPr>
              <w:t>Cluster prevalence SD</w:t>
            </w:r>
          </w:p>
        </w:tc>
        <w:tc>
          <w:tcPr>
            <w:tcW w:w="0" w:type="auto"/>
            <w:tcBorders>
              <w:top w:val="single" w:sz="6" w:space="0" w:color="DDDDDD"/>
            </w:tcBorders>
            <w:shd w:val="clear" w:color="auto" w:fill="F9F9F9"/>
            <w:hideMark/>
          </w:tcPr>
          <w:p w14:paraId="2832AB7D" w14:textId="67E12C15"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0.092</w:t>
            </w:r>
          </w:p>
        </w:tc>
        <w:tc>
          <w:tcPr>
            <w:tcW w:w="0" w:type="auto"/>
            <w:tcBorders>
              <w:top w:val="single" w:sz="6" w:space="0" w:color="DDDDDD"/>
            </w:tcBorders>
            <w:shd w:val="clear" w:color="auto" w:fill="F9F9F9"/>
            <w:hideMark/>
          </w:tcPr>
          <w:p w14:paraId="3AE99801" w14:textId="7573E9B2"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0.550</w:t>
            </w:r>
          </w:p>
        </w:tc>
        <w:tc>
          <w:tcPr>
            <w:tcW w:w="0" w:type="auto"/>
            <w:tcBorders>
              <w:top w:val="single" w:sz="6" w:space="0" w:color="DDDDDD"/>
            </w:tcBorders>
            <w:shd w:val="clear" w:color="auto" w:fill="F9F9F9"/>
            <w:hideMark/>
          </w:tcPr>
          <w:p w14:paraId="2E792C11" w14:textId="7E126439"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0.079</w:t>
            </w:r>
          </w:p>
        </w:tc>
        <w:tc>
          <w:tcPr>
            <w:tcW w:w="0" w:type="auto"/>
            <w:tcBorders>
              <w:top w:val="single" w:sz="6" w:space="0" w:color="DDDDDD"/>
            </w:tcBorders>
            <w:shd w:val="clear" w:color="auto" w:fill="F9F9F9"/>
            <w:hideMark/>
          </w:tcPr>
          <w:p w14:paraId="799C4983" w14:textId="4F47F376"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0.617</w:t>
            </w:r>
          </w:p>
        </w:tc>
        <w:tc>
          <w:tcPr>
            <w:tcW w:w="0" w:type="auto"/>
            <w:tcBorders>
              <w:top w:val="single" w:sz="6" w:space="0" w:color="DDDDDD"/>
            </w:tcBorders>
            <w:shd w:val="clear" w:color="auto" w:fill="F9F9F9"/>
            <w:hideMark/>
          </w:tcPr>
          <w:p w14:paraId="7BBD0F69" w14:textId="2A56AD47"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0.080</w:t>
            </w:r>
          </w:p>
        </w:tc>
        <w:tc>
          <w:tcPr>
            <w:tcW w:w="0" w:type="auto"/>
            <w:tcBorders>
              <w:top w:val="single" w:sz="6" w:space="0" w:color="DDDDDD"/>
            </w:tcBorders>
            <w:shd w:val="clear" w:color="auto" w:fill="F9F9F9"/>
            <w:hideMark/>
          </w:tcPr>
          <w:p w14:paraId="1F0533D8" w14:textId="3CA0C66E" w:rsidR="00A81E1E" w:rsidRPr="00A81E1E" w:rsidRDefault="00A81E1E" w:rsidP="00A81E1E">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rPr>
            </w:pPr>
            <w:r w:rsidRPr="00A81E1E">
              <w:rPr>
                <w:color w:val="000000"/>
              </w:rPr>
              <w:t>0.653</w:t>
            </w:r>
          </w:p>
        </w:tc>
      </w:tr>
      <w:tr w:rsidR="00A81E1E" w:rsidRPr="002C01E7" w14:paraId="64C8E665" w14:textId="77777777" w:rsidTr="00D62C45">
        <w:tc>
          <w:tcPr>
            <w:cnfStyle w:val="001000000000" w:firstRow="0" w:lastRow="0" w:firstColumn="1" w:lastColumn="0" w:oddVBand="0" w:evenVBand="0" w:oddHBand="0" w:evenHBand="0" w:firstRowFirstColumn="0" w:firstRowLastColumn="0" w:lastRowFirstColumn="0" w:lastRowLastColumn="0"/>
            <w:tcW w:w="0" w:type="auto"/>
            <w:gridSpan w:val="7"/>
            <w:hideMark/>
          </w:tcPr>
          <w:p w14:paraId="6DC62010" w14:textId="77777777" w:rsidR="00A81E1E" w:rsidRPr="002C01E7" w:rsidRDefault="00A81E1E" w:rsidP="00D62C45">
            <w:pPr>
              <w:spacing w:line="360" w:lineRule="auto"/>
              <w:rPr>
                <w:b w:val="0"/>
                <w:bCs w:val="0"/>
              </w:rPr>
            </w:pPr>
            <w:r w:rsidRPr="002C01E7">
              <w:rPr>
                <w:b w:val="0"/>
                <w:bCs w:val="0"/>
                <w:i/>
                <w:iCs/>
                <w:color w:val="000000"/>
              </w:rPr>
              <w:t>Note:</w:t>
            </w:r>
            <w:r w:rsidRPr="002C01E7">
              <w:rPr>
                <w:b w:val="0"/>
                <w:bCs w:val="0"/>
                <w:color w:val="000000"/>
              </w:rPr>
              <w:t> PPP-values near 0.5 indicate good calibration. Values near 0 or 1 indicate systematic discrepancy.</w:t>
            </w:r>
          </w:p>
        </w:tc>
      </w:tr>
    </w:tbl>
    <w:p w14:paraId="7428B7CF" w14:textId="77777777" w:rsidR="0086593B" w:rsidRDefault="0086593B" w:rsidP="00E37F7F">
      <w:pPr>
        <w:spacing w:line="360" w:lineRule="auto"/>
        <w:jc w:val="both"/>
      </w:pPr>
    </w:p>
    <w:p w14:paraId="53DC5359" w14:textId="096E211D" w:rsidR="00A81E1E" w:rsidRDefault="00A81E1E" w:rsidP="00E37F7F">
      <w:pPr>
        <w:spacing w:line="360" w:lineRule="auto"/>
        <w:jc w:val="both"/>
      </w:pPr>
      <w:r w:rsidRPr="00A81E1E">
        <w:lastRenderedPageBreak/>
        <w:drawing>
          <wp:inline distT="0" distB="0" distL="0" distR="0" wp14:anchorId="60F9087C" wp14:editId="6EC5AC6F">
            <wp:extent cx="5943600" cy="2225040"/>
            <wp:effectExtent l="0" t="0" r="0" b="0"/>
            <wp:docPr id="59162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25457" name=""/>
                    <pic:cNvPicPr/>
                  </pic:nvPicPr>
                  <pic:blipFill>
                    <a:blip r:embed="rId17"/>
                    <a:stretch>
                      <a:fillRect/>
                    </a:stretch>
                  </pic:blipFill>
                  <pic:spPr>
                    <a:xfrm>
                      <a:off x="0" y="0"/>
                      <a:ext cx="5943600" cy="2225040"/>
                    </a:xfrm>
                    <a:prstGeom prst="rect">
                      <a:avLst/>
                    </a:prstGeom>
                  </pic:spPr>
                </pic:pic>
              </a:graphicData>
            </a:graphic>
          </wp:inline>
        </w:drawing>
      </w:r>
    </w:p>
    <w:p w14:paraId="17381D31" w14:textId="503C024A" w:rsidR="00A81E1E" w:rsidRDefault="00A81E1E" w:rsidP="00E37F7F">
      <w:pPr>
        <w:spacing w:line="360" w:lineRule="auto"/>
        <w:jc w:val="both"/>
      </w:pPr>
      <w:r w:rsidRPr="00A81E1E">
        <w:drawing>
          <wp:inline distT="0" distB="0" distL="0" distR="0" wp14:anchorId="2930A315" wp14:editId="66C935D1">
            <wp:extent cx="5943600" cy="2225040"/>
            <wp:effectExtent l="0" t="0" r="0" b="0"/>
            <wp:docPr id="96845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53272" name=""/>
                    <pic:cNvPicPr/>
                  </pic:nvPicPr>
                  <pic:blipFill>
                    <a:blip r:embed="rId18"/>
                    <a:stretch>
                      <a:fillRect/>
                    </a:stretch>
                  </pic:blipFill>
                  <pic:spPr>
                    <a:xfrm>
                      <a:off x="0" y="0"/>
                      <a:ext cx="5943600" cy="2225040"/>
                    </a:xfrm>
                    <a:prstGeom prst="rect">
                      <a:avLst/>
                    </a:prstGeom>
                  </pic:spPr>
                </pic:pic>
              </a:graphicData>
            </a:graphic>
          </wp:inline>
        </w:drawing>
      </w:r>
    </w:p>
    <w:p w14:paraId="317B985D" w14:textId="4955132A" w:rsidR="00A81E1E" w:rsidRPr="00FF60AD" w:rsidRDefault="00A81E1E" w:rsidP="00E37F7F">
      <w:pPr>
        <w:spacing w:line="360" w:lineRule="auto"/>
        <w:jc w:val="both"/>
      </w:pPr>
      <w:r w:rsidRPr="00A81E1E">
        <w:drawing>
          <wp:inline distT="0" distB="0" distL="0" distR="0" wp14:anchorId="5FCD0B7F" wp14:editId="71DE785C">
            <wp:extent cx="5943600" cy="3229610"/>
            <wp:effectExtent l="0" t="0" r="0" b="0"/>
            <wp:docPr id="161900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00903" name=""/>
                    <pic:cNvPicPr/>
                  </pic:nvPicPr>
                  <pic:blipFill>
                    <a:blip r:embed="rId19"/>
                    <a:stretch>
                      <a:fillRect/>
                    </a:stretch>
                  </pic:blipFill>
                  <pic:spPr>
                    <a:xfrm>
                      <a:off x="0" y="0"/>
                      <a:ext cx="5943600" cy="3229610"/>
                    </a:xfrm>
                    <a:prstGeom prst="rect">
                      <a:avLst/>
                    </a:prstGeom>
                  </pic:spPr>
                </pic:pic>
              </a:graphicData>
            </a:graphic>
          </wp:inline>
        </w:drawing>
      </w:r>
    </w:p>
    <w:p w14:paraId="0E71B2AC" w14:textId="6050B214" w:rsidR="00ED677D" w:rsidRDefault="00ED677D" w:rsidP="00E37F7F">
      <w:pPr>
        <w:pStyle w:val="Heading1"/>
        <w:numPr>
          <w:ilvl w:val="0"/>
          <w:numId w:val="1"/>
        </w:numPr>
        <w:spacing w:line="360" w:lineRule="auto"/>
        <w:jc w:val="both"/>
      </w:pPr>
      <w:r w:rsidRPr="00ED677D">
        <w:lastRenderedPageBreak/>
        <w:t>References</w:t>
      </w:r>
    </w:p>
    <w:p w14:paraId="6B30CB3C" w14:textId="77777777" w:rsidR="00433896" w:rsidRPr="00433896" w:rsidRDefault="00ED677D" w:rsidP="00433896">
      <w:pPr>
        <w:pStyle w:val="Bibliography"/>
        <w:rPr>
          <w:rFonts w:eastAsiaTheme="minorEastAsia"/>
        </w:rPr>
      </w:pPr>
      <w:r>
        <w:fldChar w:fldCharType="begin"/>
      </w:r>
      <w:r>
        <w:instrText xml:space="preserve"> ADDIN ZOTERO_BIBL {"uncited":[],"omitted":[],"custom":[]} CSL_BIBLIOGRAPHY </w:instrText>
      </w:r>
      <w:r>
        <w:fldChar w:fldCharType="separate"/>
      </w:r>
      <w:proofErr w:type="spellStart"/>
      <w:r w:rsidR="00433896" w:rsidRPr="00433896">
        <w:rPr>
          <w:rFonts w:eastAsiaTheme="minorEastAsia"/>
        </w:rPr>
        <w:t>Bhaskarapillai</w:t>
      </w:r>
      <w:proofErr w:type="spellEnd"/>
      <w:r w:rsidR="00433896" w:rsidRPr="00433896">
        <w:rPr>
          <w:rFonts w:eastAsiaTheme="minorEastAsia"/>
        </w:rPr>
        <w:t xml:space="preserve">, B., Malo, P. K., Kishore, M. T., Joseph, A., Majhi, G., Jaisoorya, T. S., &amp; Kandavel, T. (2025). Intraclass Correlation in Cluster Randomized Controlled Trials: A Meta-Analysis of Studies on Major Depression. </w:t>
      </w:r>
      <w:r w:rsidR="00433896" w:rsidRPr="00433896">
        <w:rPr>
          <w:rFonts w:eastAsiaTheme="minorEastAsia"/>
          <w:i/>
          <w:iCs/>
        </w:rPr>
        <w:t>Indian Journal of Psychological Medicine</w:t>
      </w:r>
      <w:r w:rsidR="00433896" w:rsidRPr="00433896">
        <w:rPr>
          <w:rFonts w:eastAsiaTheme="minorEastAsia"/>
        </w:rPr>
        <w:t xml:space="preserve">, </w:t>
      </w:r>
      <w:r w:rsidR="00433896" w:rsidRPr="00433896">
        <w:rPr>
          <w:rFonts w:eastAsiaTheme="minorEastAsia"/>
          <w:i/>
          <w:iCs/>
        </w:rPr>
        <w:t>47</w:t>
      </w:r>
      <w:r w:rsidR="00433896" w:rsidRPr="00433896">
        <w:rPr>
          <w:rFonts w:eastAsiaTheme="minorEastAsia"/>
        </w:rPr>
        <w:t>(6), 549–556. https://doi.org/10.1177/02537176241293194</w:t>
      </w:r>
    </w:p>
    <w:p w14:paraId="49F1AD0A" w14:textId="77777777" w:rsidR="00433896" w:rsidRPr="00433896" w:rsidRDefault="00433896" w:rsidP="00433896">
      <w:pPr>
        <w:pStyle w:val="Bibliography"/>
        <w:rPr>
          <w:rFonts w:eastAsiaTheme="minorEastAsia"/>
        </w:rPr>
      </w:pPr>
      <w:proofErr w:type="spellStart"/>
      <w:r w:rsidRPr="00433896">
        <w:rPr>
          <w:rFonts w:eastAsiaTheme="minorEastAsia"/>
        </w:rPr>
        <w:t>Bürkner</w:t>
      </w:r>
      <w:proofErr w:type="spellEnd"/>
      <w:r w:rsidRPr="00433896">
        <w:rPr>
          <w:rFonts w:eastAsiaTheme="minorEastAsia"/>
        </w:rPr>
        <w:t xml:space="preserve">, P.-C. (2017). brms: An R Package for Bayesian Multilevel Models Using Stan. </w:t>
      </w:r>
      <w:r w:rsidRPr="00433896">
        <w:rPr>
          <w:rFonts w:eastAsiaTheme="minorEastAsia"/>
          <w:i/>
          <w:iCs/>
        </w:rPr>
        <w:t>Journal of Statistical Software</w:t>
      </w:r>
      <w:r w:rsidRPr="00433896">
        <w:rPr>
          <w:rFonts w:eastAsiaTheme="minorEastAsia"/>
        </w:rPr>
        <w:t xml:space="preserve">, </w:t>
      </w:r>
      <w:r w:rsidRPr="00433896">
        <w:rPr>
          <w:rFonts w:eastAsiaTheme="minorEastAsia"/>
          <w:i/>
          <w:iCs/>
        </w:rPr>
        <w:t>80</w:t>
      </w:r>
      <w:r w:rsidRPr="00433896">
        <w:rPr>
          <w:rFonts w:eastAsiaTheme="minorEastAsia"/>
        </w:rPr>
        <w:t>, 1–28. https://doi.org/10.18637/jss.v080.i01</w:t>
      </w:r>
    </w:p>
    <w:p w14:paraId="57883638" w14:textId="77777777" w:rsidR="00433896" w:rsidRPr="00433896" w:rsidRDefault="00433896" w:rsidP="00433896">
      <w:pPr>
        <w:pStyle w:val="Bibliography"/>
        <w:rPr>
          <w:rFonts w:eastAsiaTheme="minorEastAsia"/>
        </w:rPr>
      </w:pPr>
      <w:r w:rsidRPr="00433896">
        <w:rPr>
          <w:rFonts w:eastAsiaTheme="minorEastAsia"/>
        </w:rPr>
        <w:t xml:space="preserve">Delea, M. G., Snyder, J. S., Belew, M., Caruso, B. A., Garn, J. V., Sclar, G. D., </w:t>
      </w:r>
      <w:proofErr w:type="spellStart"/>
      <w:r w:rsidRPr="00433896">
        <w:rPr>
          <w:rFonts w:eastAsiaTheme="minorEastAsia"/>
        </w:rPr>
        <w:t>Woreta</w:t>
      </w:r>
      <w:proofErr w:type="spellEnd"/>
      <w:r w:rsidRPr="00433896">
        <w:rPr>
          <w:rFonts w:eastAsiaTheme="minorEastAsia"/>
        </w:rPr>
        <w:t xml:space="preserve">, M., Zewudie, K., Gebremariam, A., &amp; Freeman, M. C. (2019). Design of a parallel cluster-randomized trial assessing the impact of a demand-side sanitation and hygiene intervention on sustained behavior change and mental well-being in rural and peri-urban Amhara, Ethiopia: Andilaye study protocol. </w:t>
      </w:r>
      <w:r w:rsidRPr="00433896">
        <w:rPr>
          <w:rFonts w:eastAsiaTheme="minorEastAsia"/>
          <w:i/>
          <w:iCs/>
        </w:rPr>
        <w:t>BMC Public Health</w:t>
      </w:r>
      <w:r w:rsidRPr="00433896">
        <w:rPr>
          <w:rFonts w:eastAsiaTheme="minorEastAsia"/>
        </w:rPr>
        <w:t xml:space="preserve">, </w:t>
      </w:r>
      <w:r w:rsidRPr="00433896">
        <w:rPr>
          <w:rFonts w:eastAsiaTheme="minorEastAsia"/>
          <w:i/>
          <w:iCs/>
        </w:rPr>
        <w:t>19</w:t>
      </w:r>
      <w:r w:rsidRPr="00433896">
        <w:rPr>
          <w:rFonts w:eastAsiaTheme="minorEastAsia"/>
        </w:rPr>
        <w:t>(1), 801. https://doi.org/10.1186/s12889-019-7040-6</w:t>
      </w:r>
    </w:p>
    <w:p w14:paraId="1F94D72A" w14:textId="77777777" w:rsidR="00433896" w:rsidRPr="00433896" w:rsidRDefault="00433896" w:rsidP="00433896">
      <w:pPr>
        <w:pStyle w:val="Bibliography"/>
        <w:rPr>
          <w:rFonts w:eastAsiaTheme="minorEastAsia"/>
        </w:rPr>
      </w:pPr>
      <w:r w:rsidRPr="00433896">
        <w:rPr>
          <w:rFonts w:eastAsiaTheme="minorEastAsia"/>
        </w:rPr>
        <w:t xml:space="preserve">Freeman, M. C., Delea, M. G., Snyder, J. S., Garn, J. V., Belew, M., Caruso, B. A., Clasen, T. F., Sclar, G. D., Tesfaye, Y., </w:t>
      </w:r>
      <w:proofErr w:type="spellStart"/>
      <w:r w:rsidRPr="00433896">
        <w:rPr>
          <w:rFonts w:eastAsiaTheme="minorEastAsia"/>
        </w:rPr>
        <w:t>Woreta</w:t>
      </w:r>
      <w:proofErr w:type="spellEnd"/>
      <w:r w:rsidRPr="00433896">
        <w:rPr>
          <w:rFonts w:eastAsiaTheme="minorEastAsia"/>
        </w:rPr>
        <w:t xml:space="preserve">, M., Zewudie, K., &amp; </w:t>
      </w:r>
      <w:proofErr w:type="spellStart"/>
      <w:r w:rsidRPr="00433896">
        <w:rPr>
          <w:rFonts w:eastAsiaTheme="minorEastAsia"/>
        </w:rPr>
        <w:t>Gobezayehu</w:t>
      </w:r>
      <w:proofErr w:type="spellEnd"/>
      <w:r w:rsidRPr="00433896">
        <w:rPr>
          <w:rFonts w:eastAsiaTheme="minorEastAsia"/>
        </w:rPr>
        <w:t xml:space="preserve">, A. G. (2022). The impact of a demand-side sanitation and hygiene promotion intervention on sustained behavior change and health in Amhara, Ethiopia: A cluster-randomized trial. </w:t>
      </w:r>
      <w:r w:rsidRPr="00433896">
        <w:rPr>
          <w:rFonts w:eastAsiaTheme="minorEastAsia"/>
          <w:i/>
          <w:iCs/>
        </w:rPr>
        <w:t>PLOS Global Public Health</w:t>
      </w:r>
      <w:r w:rsidRPr="00433896">
        <w:rPr>
          <w:rFonts w:eastAsiaTheme="minorEastAsia"/>
        </w:rPr>
        <w:t xml:space="preserve">, </w:t>
      </w:r>
      <w:r w:rsidRPr="00433896">
        <w:rPr>
          <w:rFonts w:eastAsiaTheme="minorEastAsia"/>
          <w:i/>
          <w:iCs/>
        </w:rPr>
        <w:t>2</w:t>
      </w:r>
      <w:r w:rsidRPr="00433896">
        <w:rPr>
          <w:rFonts w:eastAsiaTheme="minorEastAsia"/>
        </w:rPr>
        <w:t>(1), e0000056. https://doi.org/10.1371/journal.pgph.0000056</w:t>
      </w:r>
    </w:p>
    <w:p w14:paraId="2C0F316A" w14:textId="77777777" w:rsidR="00433896" w:rsidRPr="00433896" w:rsidRDefault="00433896" w:rsidP="00433896">
      <w:pPr>
        <w:pStyle w:val="Bibliography"/>
        <w:rPr>
          <w:rFonts w:eastAsiaTheme="minorEastAsia"/>
        </w:rPr>
      </w:pPr>
      <w:r w:rsidRPr="00433896">
        <w:rPr>
          <w:rFonts w:eastAsiaTheme="minorEastAsia"/>
        </w:rPr>
        <w:t xml:space="preserve">Gelman, A. (2006). Prior distributions for variance parameters in hierarchical models (comment on article by Browne and Draper). </w:t>
      </w:r>
      <w:r w:rsidRPr="00433896">
        <w:rPr>
          <w:rFonts w:eastAsiaTheme="minorEastAsia"/>
          <w:i/>
          <w:iCs/>
        </w:rPr>
        <w:t>Bayesian Analysis</w:t>
      </w:r>
      <w:r w:rsidRPr="00433896">
        <w:rPr>
          <w:rFonts w:eastAsiaTheme="minorEastAsia"/>
        </w:rPr>
        <w:t xml:space="preserve">, </w:t>
      </w:r>
      <w:r w:rsidRPr="00433896">
        <w:rPr>
          <w:rFonts w:eastAsiaTheme="minorEastAsia"/>
          <w:i/>
          <w:iCs/>
        </w:rPr>
        <w:t>1</w:t>
      </w:r>
      <w:r w:rsidRPr="00433896">
        <w:rPr>
          <w:rFonts w:eastAsiaTheme="minorEastAsia"/>
        </w:rPr>
        <w:t>(3), 515–534. https://doi.org/10.1214/06-BA117A</w:t>
      </w:r>
    </w:p>
    <w:p w14:paraId="5DE76A1A" w14:textId="77777777" w:rsidR="00433896" w:rsidRPr="00433896" w:rsidRDefault="00433896" w:rsidP="00433896">
      <w:pPr>
        <w:pStyle w:val="Bibliography"/>
        <w:rPr>
          <w:rFonts w:eastAsiaTheme="minorEastAsia"/>
        </w:rPr>
      </w:pPr>
      <w:r w:rsidRPr="00433896">
        <w:rPr>
          <w:rFonts w:eastAsiaTheme="minorEastAsia"/>
        </w:rPr>
        <w:t xml:space="preserve">Kruschke, J. K. (2018). Rejecting or Accepting Parameter Values in Bayesian Estimation. </w:t>
      </w:r>
      <w:r w:rsidRPr="00433896">
        <w:rPr>
          <w:rFonts w:eastAsiaTheme="minorEastAsia"/>
          <w:i/>
          <w:iCs/>
        </w:rPr>
        <w:t>Advances in Methods and Practices in Psychological Science</w:t>
      </w:r>
      <w:r w:rsidRPr="00433896">
        <w:rPr>
          <w:rFonts w:eastAsiaTheme="minorEastAsia"/>
        </w:rPr>
        <w:t xml:space="preserve">, </w:t>
      </w:r>
      <w:r w:rsidRPr="00433896">
        <w:rPr>
          <w:rFonts w:eastAsiaTheme="minorEastAsia"/>
          <w:i/>
          <w:iCs/>
        </w:rPr>
        <w:t>1</w:t>
      </w:r>
      <w:r w:rsidRPr="00433896">
        <w:rPr>
          <w:rFonts w:eastAsiaTheme="minorEastAsia"/>
        </w:rPr>
        <w:t>(2), 270–280. https://doi.org/10.1177/2515245918771304</w:t>
      </w:r>
    </w:p>
    <w:p w14:paraId="11DE42F0" w14:textId="77777777" w:rsidR="00433896" w:rsidRPr="00433896" w:rsidRDefault="00433896" w:rsidP="00433896">
      <w:pPr>
        <w:pStyle w:val="Bibliography"/>
        <w:rPr>
          <w:rFonts w:eastAsiaTheme="minorEastAsia"/>
        </w:rPr>
      </w:pPr>
      <w:r w:rsidRPr="00433896">
        <w:rPr>
          <w:rFonts w:eastAsiaTheme="minorEastAsia"/>
        </w:rPr>
        <w:lastRenderedPageBreak/>
        <w:t xml:space="preserve">Williams, N. J., Cardamone, N. C., </w:t>
      </w:r>
      <w:proofErr w:type="spellStart"/>
      <w:r w:rsidRPr="00433896">
        <w:rPr>
          <w:rFonts w:eastAsiaTheme="minorEastAsia"/>
        </w:rPr>
        <w:t>Beidas</w:t>
      </w:r>
      <w:proofErr w:type="spellEnd"/>
      <w:r w:rsidRPr="00433896">
        <w:rPr>
          <w:rFonts w:eastAsiaTheme="minorEastAsia"/>
        </w:rPr>
        <w:t xml:space="preserve">, R. S., &amp; Marcus, S. C. (2024). Calculating power for multilevel implementation trials in mental health: Meaningful effect sizes, intraclass correlation coefficients, and proportions of variance explained by covariates. </w:t>
      </w:r>
      <w:r w:rsidRPr="00433896">
        <w:rPr>
          <w:rFonts w:eastAsiaTheme="minorEastAsia"/>
          <w:i/>
          <w:iCs/>
        </w:rPr>
        <w:t>Implementation Research and Practice</w:t>
      </w:r>
      <w:r w:rsidRPr="00433896">
        <w:rPr>
          <w:rFonts w:eastAsiaTheme="minorEastAsia"/>
        </w:rPr>
        <w:t xml:space="preserve">, </w:t>
      </w:r>
      <w:r w:rsidRPr="00433896">
        <w:rPr>
          <w:rFonts w:eastAsiaTheme="minorEastAsia"/>
          <w:i/>
          <w:iCs/>
        </w:rPr>
        <w:t>5</w:t>
      </w:r>
      <w:r w:rsidRPr="00433896">
        <w:rPr>
          <w:rFonts w:eastAsiaTheme="minorEastAsia"/>
        </w:rPr>
        <w:t>, 26334895241279153. https://doi.org/10.1177/26334895241279153</w:t>
      </w:r>
    </w:p>
    <w:p w14:paraId="4F40C144" w14:textId="16BA9C59" w:rsidR="00ED677D" w:rsidRPr="00ED677D" w:rsidRDefault="00ED677D" w:rsidP="00433896">
      <w:pPr>
        <w:pStyle w:val="Bibliography"/>
        <w:spacing w:line="360" w:lineRule="auto"/>
        <w:jc w:val="both"/>
      </w:pPr>
      <w:r>
        <w:fldChar w:fldCharType="end"/>
      </w:r>
    </w:p>
    <w:sectPr w:rsidR="00ED677D" w:rsidRPr="00ED677D">
      <w:headerReference w:type="default" r:id="rId20"/>
      <w:footerReference w:type="even" r:id="rId21"/>
      <w:footerReference w:type="default" r:id="rId2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E0FCB" w14:textId="77777777" w:rsidR="00BE7564" w:rsidRDefault="00BE7564" w:rsidP="002024AE">
      <w:r>
        <w:separator/>
      </w:r>
    </w:p>
  </w:endnote>
  <w:endnote w:type="continuationSeparator" w:id="0">
    <w:p w14:paraId="7EB3ACF6" w14:textId="77777777" w:rsidR="00BE7564" w:rsidRDefault="00BE7564" w:rsidP="002024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Toppan Bunkyu Gothic Regular">
    <w:panose1 w:val="020B0400000000000000"/>
    <w:charset w:val="80"/>
    <w:family w:val="swiss"/>
    <w:pitch w:val="variable"/>
    <w:sig w:usb0="000002D7" w:usb1="2AC73C11" w:usb2="00000012" w:usb3="00000000" w:csb0="0002009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1083687"/>
      <w:docPartObj>
        <w:docPartGallery w:val="Page Numbers (Bottom of Page)"/>
        <w:docPartUnique/>
      </w:docPartObj>
    </w:sdtPr>
    <w:sdtContent>
      <w:p w14:paraId="3BFDFBD7" w14:textId="09C178C4" w:rsidR="002024AE" w:rsidRDefault="002024AE" w:rsidP="00C8447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323811" w14:textId="77777777" w:rsidR="002024AE" w:rsidRDefault="002024AE" w:rsidP="002024A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59356712"/>
      <w:docPartObj>
        <w:docPartGallery w:val="Page Numbers (Bottom of Page)"/>
        <w:docPartUnique/>
      </w:docPartObj>
    </w:sdtPr>
    <w:sdtContent>
      <w:p w14:paraId="051A5F7E" w14:textId="5693BE09" w:rsidR="002024AE" w:rsidRDefault="002024AE" w:rsidP="00C8447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2C31BC" w14:textId="77777777" w:rsidR="002024AE" w:rsidRDefault="002024AE" w:rsidP="002024A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C2E43" w14:textId="77777777" w:rsidR="00BE7564" w:rsidRDefault="00BE7564" w:rsidP="002024AE">
      <w:r>
        <w:separator/>
      </w:r>
    </w:p>
  </w:footnote>
  <w:footnote w:type="continuationSeparator" w:id="0">
    <w:p w14:paraId="06803EBE" w14:textId="77777777" w:rsidR="00BE7564" w:rsidRDefault="00BE7564" w:rsidP="002024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17371" w14:textId="53E401AB" w:rsidR="002024AE" w:rsidRDefault="002024AE" w:rsidP="002024AE">
    <w:pPr>
      <w:pStyle w:val="Header"/>
      <w:jc w:val="right"/>
    </w:pPr>
    <w:r>
      <w:t>CSSS 564 Final Project</w:t>
    </w:r>
  </w:p>
  <w:p w14:paraId="230568F6" w14:textId="6ADBCDFB" w:rsidR="002024AE" w:rsidRDefault="002024AE" w:rsidP="002024AE">
    <w:pPr>
      <w:pStyle w:val="Header"/>
      <w:jc w:val="right"/>
    </w:pPr>
    <w:r>
      <w:t>Yuwei Wang &amp; William Garcia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D42A1E"/>
    <w:multiLevelType w:val="hybridMultilevel"/>
    <w:tmpl w:val="C82483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5084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4AE"/>
    <w:rsid w:val="00021E31"/>
    <w:rsid w:val="000616CD"/>
    <w:rsid w:val="00072F39"/>
    <w:rsid w:val="000903D1"/>
    <w:rsid w:val="000B3C9E"/>
    <w:rsid w:val="000D2393"/>
    <w:rsid w:val="000E33A8"/>
    <w:rsid w:val="00171124"/>
    <w:rsid w:val="00182A0C"/>
    <w:rsid w:val="002024AE"/>
    <w:rsid w:val="00254423"/>
    <w:rsid w:val="002A1DB5"/>
    <w:rsid w:val="002C01E7"/>
    <w:rsid w:val="00396225"/>
    <w:rsid w:val="003A6F17"/>
    <w:rsid w:val="004073A8"/>
    <w:rsid w:val="0043153C"/>
    <w:rsid w:val="00433896"/>
    <w:rsid w:val="0044479F"/>
    <w:rsid w:val="0054232D"/>
    <w:rsid w:val="0058478B"/>
    <w:rsid w:val="006927F6"/>
    <w:rsid w:val="007149FD"/>
    <w:rsid w:val="00721653"/>
    <w:rsid w:val="0081588E"/>
    <w:rsid w:val="0086593B"/>
    <w:rsid w:val="008B0733"/>
    <w:rsid w:val="008C03BF"/>
    <w:rsid w:val="00927CBA"/>
    <w:rsid w:val="00927F58"/>
    <w:rsid w:val="009467E7"/>
    <w:rsid w:val="009516CD"/>
    <w:rsid w:val="009A1857"/>
    <w:rsid w:val="009A4354"/>
    <w:rsid w:val="00A04BA7"/>
    <w:rsid w:val="00A81E1E"/>
    <w:rsid w:val="00AC0B60"/>
    <w:rsid w:val="00B57F0D"/>
    <w:rsid w:val="00B86EC3"/>
    <w:rsid w:val="00BC4996"/>
    <w:rsid w:val="00BE7564"/>
    <w:rsid w:val="00C8232C"/>
    <w:rsid w:val="00D028BC"/>
    <w:rsid w:val="00D17843"/>
    <w:rsid w:val="00D203E6"/>
    <w:rsid w:val="00D375DA"/>
    <w:rsid w:val="00D477EA"/>
    <w:rsid w:val="00D80380"/>
    <w:rsid w:val="00DB1AF8"/>
    <w:rsid w:val="00E37F7F"/>
    <w:rsid w:val="00E56ABA"/>
    <w:rsid w:val="00E664E7"/>
    <w:rsid w:val="00ED677D"/>
    <w:rsid w:val="00EE7F5C"/>
    <w:rsid w:val="00F46168"/>
    <w:rsid w:val="00FD6A74"/>
    <w:rsid w:val="00FF60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D2B05"/>
  <w15:chartTrackingRefBased/>
  <w15:docId w15:val="{8B8317FE-F903-8649-970C-599C075C7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93B"/>
    <w:pPr>
      <w:spacing w:line="240" w:lineRule="auto"/>
      <w:jc w:val="left"/>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4232D"/>
    <w:pPr>
      <w:keepNext/>
      <w:keepLines/>
      <w:outlineLvl w:val="0"/>
    </w:pPr>
    <w:rPr>
      <w:rFonts w:eastAsiaTheme="majorEastAsia" w:cstheme="majorBidi"/>
      <w:b/>
      <w:szCs w:val="32"/>
    </w:rPr>
  </w:style>
  <w:style w:type="paragraph" w:styleId="Heading2">
    <w:name w:val="heading 2"/>
    <w:basedOn w:val="Normal"/>
    <w:next w:val="Normal"/>
    <w:link w:val="Heading2Char"/>
    <w:uiPriority w:val="9"/>
    <w:semiHidden/>
    <w:unhideWhenUsed/>
    <w:qFormat/>
    <w:rsid w:val="00202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4A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4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024A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024A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24A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24A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24A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32D"/>
    <w:rPr>
      <w:rFonts w:ascii="Times New Roman" w:eastAsiaTheme="majorEastAsia" w:hAnsi="Times New Roman" w:cstheme="majorBidi"/>
      <w:b/>
      <w:szCs w:val="32"/>
    </w:rPr>
  </w:style>
  <w:style w:type="paragraph" w:styleId="Title">
    <w:name w:val="Title"/>
    <w:basedOn w:val="Normal"/>
    <w:next w:val="Normal"/>
    <w:link w:val="TitleChar"/>
    <w:uiPriority w:val="10"/>
    <w:qFormat/>
    <w:rsid w:val="0054232D"/>
    <w:pPr>
      <w:contextualSpacing/>
      <w:jc w:val="center"/>
    </w:pPr>
    <w:rPr>
      <w:rFonts w:eastAsiaTheme="majorEastAsia" w:cstheme="majorBidi"/>
      <w:b/>
      <w:spacing w:val="-10"/>
      <w:kern w:val="28"/>
      <w:sz w:val="30"/>
      <w:szCs w:val="56"/>
    </w:rPr>
  </w:style>
  <w:style w:type="character" w:customStyle="1" w:styleId="TitleChar">
    <w:name w:val="Title Char"/>
    <w:basedOn w:val="DefaultParagraphFont"/>
    <w:link w:val="Title"/>
    <w:uiPriority w:val="10"/>
    <w:rsid w:val="0054232D"/>
    <w:rPr>
      <w:rFonts w:ascii="Times New Roman" w:eastAsiaTheme="majorEastAsia" w:hAnsi="Times New Roman" w:cstheme="majorBidi"/>
      <w:b/>
      <w:spacing w:val="-10"/>
      <w:kern w:val="28"/>
      <w:sz w:val="30"/>
      <w:szCs w:val="56"/>
    </w:rPr>
  </w:style>
  <w:style w:type="character" w:customStyle="1" w:styleId="Heading2Char">
    <w:name w:val="Heading 2 Char"/>
    <w:basedOn w:val="DefaultParagraphFont"/>
    <w:link w:val="Heading2"/>
    <w:uiPriority w:val="9"/>
    <w:semiHidden/>
    <w:rsid w:val="00202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4AE"/>
    <w:rPr>
      <w:rFonts w:eastAsiaTheme="majorEastAsia" w:cstheme="majorBidi"/>
      <w:color w:val="272727" w:themeColor="text1" w:themeTint="D8"/>
    </w:rPr>
  </w:style>
  <w:style w:type="paragraph" w:styleId="Subtitle">
    <w:name w:val="Subtitle"/>
    <w:basedOn w:val="Normal"/>
    <w:next w:val="Normal"/>
    <w:link w:val="SubtitleChar"/>
    <w:uiPriority w:val="11"/>
    <w:qFormat/>
    <w:rsid w:val="002024A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4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24AE"/>
    <w:rPr>
      <w:rFonts w:ascii="Times New Roman" w:hAnsi="Times New Roman"/>
      <w:i/>
      <w:iCs/>
      <w:color w:val="404040" w:themeColor="text1" w:themeTint="BF"/>
    </w:rPr>
  </w:style>
  <w:style w:type="paragraph" w:styleId="ListParagraph">
    <w:name w:val="List Paragraph"/>
    <w:basedOn w:val="Normal"/>
    <w:uiPriority w:val="34"/>
    <w:qFormat/>
    <w:rsid w:val="002024AE"/>
    <w:pPr>
      <w:ind w:left="720"/>
      <w:contextualSpacing/>
    </w:pPr>
  </w:style>
  <w:style w:type="character" w:styleId="IntenseEmphasis">
    <w:name w:val="Intense Emphasis"/>
    <w:basedOn w:val="DefaultParagraphFont"/>
    <w:uiPriority w:val="21"/>
    <w:qFormat/>
    <w:rsid w:val="002024AE"/>
    <w:rPr>
      <w:i/>
      <w:iCs/>
      <w:color w:val="0F4761" w:themeColor="accent1" w:themeShade="BF"/>
    </w:rPr>
  </w:style>
  <w:style w:type="paragraph" w:styleId="IntenseQuote">
    <w:name w:val="Intense Quote"/>
    <w:basedOn w:val="Normal"/>
    <w:next w:val="Normal"/>
    <w:link w:val="IntenseQuoteChar"/>
    <w:uiPriority w:val="30"/>
    <w:qFormat/>
    <w:rsid w:val="00202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4AE"/>
    <w:rPr>
      <w:rFonts w:ascii="Times New Roman" w:hAnsi="Times New Roman"/>
      <w:i/>
      <w:iCs/>
      <w:color w:val="0F4761" w:themeColor="accent1" w:themeShade="BF"/>
    </w:rPr>
  </w:style>
  <w:style w:type="character" w:styleId="IntenseReference">
    <w:name w:val="Intense Reference"/>
    <w:basedOn w:val="DefaultParagraphFont"/>
    <w:uiPriority w:val="32"/>
    <w:qFormat/>
    <w:rsid w:val="002024AE"/>
    <w:rPr>
      <w:b/>
      <w:bCs/>
      <w:smallCaps/>
      <w:color w:val="0F4761" w:themeColor="accent1" w:themeShade="BF"/>
      <w:spacing w:val="5"/>
    </w:rPr>
  </w:style>
  <w:style w:type="paragraph" w:styleId="Header">
    <w:name w:val="header"/>
    <w:basedOn w:val="Normal"/>
    <w:link w:val="HeaderChar"/>
    <w:uiPriority w:val="99"/>
    <w:unhideWhenUsed/>
    <w:rsid w:val="002024AE"/>
    <w:pPr>
      <w:tabs>
        <w:tab w:val="center" w:pos="4680"/>
        <w:tab w:val="right" w:pos="9360"/>
      </w:tabs>
    </w:pPr>
  </w:style>
  <w:style w:type="character" w:customStyle="1" w:styleId="HeaderChar">
    <w:name w:val="Header Char"/>
    <w:basedOn w:val="DefaultParagraphFont"/>
    <w:link w:val="Header"/>
    <w:uiPriority w:val="99"/>
    <w:rsid w:val="002024AE"/>
    <w:rPr>
      <w:rFonts w:ascii="Times New Roman" w:hAnsi="Times New Roman"/>
    </w:rPr>
  </w:style>
  <w:style w:type="paragraph" w:styleId="Footer">
    <w:name w:val="footer"/>
    <w:basedOn w:val="Normal"/>
    <w:link w:val="FooterChar"/>
    <w:uiPriority w:val="99"/>
    <w:unhideWhenUsed/>
    <w:rsid w:val="002024AE"/>
    <w:pPr>
      <w:tabs>
        <w:tab w:val="center" w:pos="4680"/>
        <w:tab w:val="right" w:pos="9360"/>
      </w:tabs>
    </w:pPr>
  </w:style>
  <w:style w:type="character" w:customStyle="1" w:styleId="FooterChar">
    <w:name w:val="Footer Char"/>
    <w:basedOn w:val="DefaultParagraphFont"/>
    <w:link w:val="Footer"/>
    <w:uiPriority w:val="99"/>
    <w:rsid w:val="002024AE"/>
    <w:rPr>
      <w:rFonts w:ascii="Times New Roman" w:hAnsi="Times New Roman"/>
    </w:rPr>
  </w:style>
  <w:style w:type="character" w:styleId="PageNumber">
    <w:name w:val="page number"/>
    <w:basedOn w:val="DefaultParagraphFont"/>
    <w:uiPriority w:val="99"/>
    <w:semiHidden/>
    <w:unhideWhenUsed/>
    <w:rsid w:val="002024AE"/>
  </w:style>
  <w:style w:type="character" w:styleId="Emphasis">
    <w:name w:val="Emphasis"/>
    <w:basedOn w:val="DefaultParagraphFont"/>
    <w:uiPriority w:val="20"/>
    <w:qFormat/>
    <w:rsid w:val="00E56ABA"/>
    <w:rPr>
      <w:i/>
      <w:iCs/>
    </w:rPr>
  </w:style>
  <w:style w:type="table" w:styleId="GridTable1Light">
    <w:name w:val="Grid Table 1 Light"/>
    <w:basedOn w:val="TableNormal"/>
    <w:uiPriority w:val="46"/>
    <w:rsid w:val="00E56ABA"/>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ED677D"/>
    <w:pPr>
      <w:spacing w:line="480" w:lineRule="auto"/>
      <w:ind w:left="720" w:hanging="720"/>
    </w:pPr>
  </w:style>
  <w:style w:type="character" w:styleId="PlaceholderText">
    <w:name w:val="Placeholder Text"/>
    <w:basedOn w:val="DefaultParagraphFont"/>
    <w:uiPriority w:val="99"/>
    <w:semiHidden/>
    <w:rsid w:val="00D375DA"/>
    <w:rPr>
      <w:color w:val="666666"/>
    </w:rPr>
  </w:style>
  <w:style w:type="character" w:customStyle="1" w:styleId="mord">
    <w:name w:val="mord"/>
    <w:basedOn w:val="DefaultParagraphFont"/>
    <w:rsid w:val="009A1857"/>
  </w:style>
  <w:style w:type="character" w:customStyle="1" w:styleId="mopen">
    <w:name w:val="mopen"/>
    <w:basedOn w:val="DefaultParagraphFont"/>
    <w:rsid w:val="009A1857"/>
  </w:style>
  <w:style w:type="character" w:customStyle="1" w:styleId="mclose">
    <w:name w:val="mclose"/>
    <w:basedOn w:val="DefaultParagraphFont"/>
    <w:rsid w:val="009A1857"/>
  </w:style>
  <w:style w:type="character" w:customStyle="1" w:styleId="vlist-s">
    <w:name w:val="vlist-s"/>
    <w:basedOn w:val="DefaultParagraphFont"/>
    <w:rsid w:val="009A1857"/>
  </w:style>
  <w:style w:type="character" w:customStyle="1" w:styleId="mbin">
    <w:name w:val="mbin"/>
    <w:basedOn w:val="DefaultParagraphFont"/>
    <w:rsid w:val="009A1857"/>
  </w:style>
  <w:style w:type="paragraph" w:styleId="NormalWeb">
    <w:name w:val="Normal (Web)"/>
    <w:basedOn w:val="Normal"/>
    <w:uiPriority w:val="99"/>
    <w:unhideWhenUsed/>
    <w:rsid w:val="009516CD"/>
    <w:pPr>
      <w:spacing w:before="100" w:beforeAutospacing="1" w:after="100" w:afterAutospacing="1"/>
    </w:pPr>
  </w:style>
  <w:style w:type="character" w:styleId="Strong">
    <w:name w:val="Strong"/>
    <w:basedOn w:val="DefaultParagraphFont"/>
    <w:uiPriority w:val="22"/>
    <w:qFormat/>
    <w:rsid w:val="009516CD"/>
    <w:rPr>
      <w:b/>
      <w:bCs/>
    </w:rPr>
  </w:style>
  <w:style w:type="character" w:styleId="HTMLCode">
    <w:name w:val="HTML Code"/>
    <w:basedOn w:val="DefaultParagraphFont"/>
    <w:uiPriority w:val="99"/>
    <w:semiHidden/>
    <w:unhideWhenUsed/>
    <w:rsid w:val="008B0733"/>
    <w:rPr>
      <w:rFonts w:ascii="Courier New" w:eastAsia="Times New Roman" w:hAnsi="Courier New" w:cs="Courier New"/>
      <w:sz w:val="20"/>
      <w:szCs w:val="20"/>
    </w:rPr>
  </w:style>
  <w:style w:type="table" w:styleId="PlainTable2">
    <w:name w:val="Plain Table 2"/>
    <w:basedOn w:val="TableNormal"/>
    <w:uiPriority w:val="42"/>
    <w:rsid w:val="00E37F7F"/>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font-claude-response-body">
    <w:name w:val="font-claude-response-body"/>
    <w:basedOn w:val="Normal"/>
    <w:rsid w:val="003A6F17"/>
    <w:pPr>
      <w:spacing w:before="100" w:beforeAutospacing="1" w:after="100" w:afterAutospacing="1"/>
    </w:pPr>
  </w:style>
  <w:style w:type="paragraph" w:customStyle="1" w:styleId="is-empty">
    <w:name w:val="is-empty"/>
    <w:basedOn w:val="Normal"/>
    <w:rsid w:val="00DB1AF8"/>
    <w:pPr>
      <w:spacing w:before="100" w:beforeAutospacing="1" w:after="100" w:afterAutospacing="1"/>
    </w:pPr>
  </w:style>
  <w:style w:type="character" w:customStyle="1" w:styleId="ml-1">
    <w:name w:val="ml-1"/>
    <w:basedOn w:val="DefaultParagraphFont"/>
    <w:rsid w:val="00DB1A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20</Pages>
  <Words>8957</Words>
  <Characters>51055</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Yuwei E Wang</dc:creator>
  <cp:keywords/>
  <dc:description/>
  <cp:lastModifiedBy>Yuwei E Wang</cp:lastModifiedBy>
  <cp:revision>9</cp:revision>
  <dcterms:created xsi:type="dcterms:W3CDTF">2026-05-24T20:46:00Z</dcterms:created>
  <dcterms:modified xsi:type="dcterms:W3CDTF">2026-06-02T02:45:00Z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C199CE3E-D769-4372-AE73-6E02840214C5</vt:lpwstr>
  </property>
  <property fmtid="{D5CDD505-2E9C-101B-9397-08002B2CF9AE}" pid="3" name="ZOTERO_PREF_1">
    <vt:lpwstr>&lt;data data-version="3" zotero-version="9.0.4"&gt;&lt;session id="ARuY7uea"/&gt;&lt;style id="http://www.zotero.org/styles/apa" locale="en-US" hasBibliography="1" bibliographyStyleHasBeenSet="1"/&gt;&lt;prefs&gt;&lt;pref name="fieldType" value="Field"/&gt;&lt;/prefs&gt;&lt;/data&gt;</vt:lpwstr>
  </property>
</Properties>
</file>