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LENS • Learning Engineering for Next-Generation Systems</w:t>
      </w:r>
    </w:p>
    <w:p>
      <w:pPr>
        <w:pStyle w:val="BodyText"/>
      </w:pPr>
      <w:r>
        <w:t xml:space="preserve">About the Editors</w:t>
      </w:r>
    </w:p>
    <w:p>
      <w:pPr>
        <w:pStyle w:val="BodyText"/>
      </w:pPr>
      <w:r>
        <w:t xml:space="preserve">Editor biographies — standalone, for iteration. Revised June 2026.</w:t>
      </w:r>
    </w:p>
    <w:p>
      <w:pPr>
        <w:pStyle w:val="BodyText"/>
      </w:pPr>
      <w:r>
        <w:t xml:space="preserve">The casebook’s central argument, that capability engineering is the applied form of the educational sciences, taught from the School of Education and informed by operational practice, is embodied in its two editors. Each has spent a career working in one half of that pairing and a substantial portion of it in the other. Each contributes to the five pillars on which LENS rests: Mission Literacy, JHU Ecosystem, Intersectional Expertise, Capability Focus, and Flywheel Iteration.</w:t>
      </w:r>
    </w:p>
    <w:p>
      <w:pPr>
        <w:pStyle w:val="BodyText"/>
      </w:pPr>
      <w:r>
        <w:t xml:space="preserve">William Gray-Roncal, Ph.D.</w:t>
      </w:r>
    </w:p>
    <w:p>
      <w:pPr>
        <w:pStyle w:val="BodyText"/>
      </w:pPr>
      <w:r>
        <w:t xml:space="preserve">Applied Research · Learning Engineering · STEM Workforce</w:t>
      </w:r>
    </w:p>
    <w:p>
      <w:pPr>
        <w:pStyle w:val="BodyText"/>
      </w:pPr>
      <w:r>
        <w:t xml:space="preserve">William Gray-Roncal, Ph.D., is Principal Research Engineer at the Johns Hopkins University Applied Physics Laboratory, where he applies systems engineering methods to challenges spanning defense, space, biomedical, and learning systems. His research, sponsored by DARPA, IARPA, NIH, and DoD, bridges computational neuroscience, artificial intelligence, and large-scale data infrastructure. He developed the College Prep and CIRCUIT workforce-development models, through which he has mentored nearly 500 students, and his current work develops quantitative measures of human cognitive performance in operational contexts. He leads the development of the LENS (Learning Engineering for Next-Generation Systems) specialization within the Johns Hopkins Master of Education in Learning Design and Technology, the program directed by James Diamond at the School of Education. Gray-Roncal holds a Ph.D. in Computer Science from Johns Hopkins, an M.S. in Electrical Engineering from the University of Southern California, and a B.S. in Electrical Engineering from Vanderbilt.</w:t>
      </w:r>
    </w:p>
    <w:p>
      <w:pPr>
        <w:pStyle w:val="BodyText"/>
      </w:pPr>
      <w:r>
        <w:t xml:space="preserve">On LENS. His CIRCUIT and MERIT workforce models are learning engineering in practice: instrumented, evidence-driven capability development run as iterative cycles against real research missions. In the casebook’s terms he carries Mission Literacy and the Practice Flywheel, and he holds the operational and systems-engineering half of its intersectional expertise.</w:t>
      </w:r>
    </w:p>
    <w:p>
      <w:pPr>
        <w:pStyle w:val="BodyText"/>
      </w:pPr>
      <w:r>
        <w:t xml:space="preserve">James Diamond, Ph.D.</w:t>
      </w:r>
    </w:p>
    <w:p>
      <w:pPr>
        <w:pStyle w:val="BodyText"/>
      </w:pPr>
      <w:r>
        <w:t xml:space="preserve">Learning Sciences · Educational Design · Evaluation</w:t>
      </w:r>
    </w:p>
    <w:p>
      <w:pPr>
        <w:pStyle w:val="BodyText"/>
      </w:pPr>
      <w:r>
        <w:t xml:space="preserve">James Diamond, Ph.D., is Assistant Professor in the Johns Hopkins University School of Education and Program Director of the Master of Education in Learning Design and Technology, where he applies design-based research and learning-sciences methods to the design and evaluation of technology-mediated learning environments. His research, supported by the National Science Foundation, the Institute of Education Sciences, the Bill &amp; Melinda Gates Foundation, the MacArthur Foundation’s HASTAC Digital Media and Learning Initiative, the Robin Hood Learning + Technology Fund, the Wellcome Trust, and the UK Economic and Social Research Council, bridges digital games and simulations for learning, digital badges and micro-credentialing, classroom technology integration, and disciplinary literacy in history, social studies, civics, and STEM. Before joining Johns Hopkins, he was Senior Research Associate at the Education Development Center’s Center for Children and Technology in New York City, where he led projects including Zoom In and the Who Built America? Teacher Mastery Badge System, contributed to Mission US and Possible Worlds, and taught at New York University as an adjunct. As Program Director, he oversees the LDT program within which the LENS specialization is offered. Diamond holds a Ph.D. in Educational Communication and Technology from New York University, an Ed.M. in Educational Technology from Boston University, and a B.A. in History from Boston University.</w:t>
      </w:r>
    </w:p>
    <w:p>
      <w:pPr>
        <w:pStyle w:val="BodyText"/>
      </w:pPr>
      <w:r>
        <w:t xml:space="preserve">On LENS. His design-based research and evaluation tradition supplies the method the casebook runs on: cases are diagnosed, paired with a learning-engineering response, and tested in studio against students’ own domains. He anchors the JHU School of Education ecosystem and the learning-sciences and measurement half of the program’s intersectional expertise. Between the two editors the five pillars are accounted for, and the fifth, Capability Focus, is the one they hold in common: the conviction that what people can do inside a system is a thing you can design, measure, and build, and the reason the program exists at all.</w:t>
      </w:r>
    </w:p>
    <w:p>
      <w:pPr>
        <w:pStyle w:val="BodyText"/>
      </w:pPr>
      <w:r>
        <w:t xml:space="preserve">These biographies reference careers documented in publications, program reports, faculty pages, and the curricular materials of the LDT program and the LENS specialization.</w:t>
      </w:r>
    </w:p>
    <w:p>
      <w:pPr>
        <w:pStyle w:val="BodyText"/>
      </w:pPr>
      <w:r>
        <w:t xml:space="preserve">Changes from the casebook version, and one item to verify</w:t>
      </w:r>
    </w:p>
    <w:p>
      <w:pPr>
        <w:pStyle w:val="BodyText"/>
      </w:pPr>
      <w:r>
        <w:t xml:space="preserve">Removable LENS ties. Each bio ends with an</w:t>
      </w:r>
      <w:r>
        <w:t xml:space="preserve"> </w:t>
      </w:r>
      <w:r>
        <w:t xml:space="preserve">“</w:t>
      </w:r>
      <w:r>
        <w:t xml:space="preserve">On LENS</w:t>
      </w:r>
      <w:r>
        <w:t xml:space="preserve">”</w:t>
      </w:r>
      <w:r>
        <w:t xml:space="preserve"> </w:t>
      </w:r>
      <w:r>
        <w:t xml:space="preserve">block, set off by a teal left rule, mapping the editor to the casebook’s five pillars and to its thesis that capability engineering is the applied form of the educational sciences. These are designed to lift out cleanly: delete the two</w:t>
      </w:r>
      <w:r>
        <w:t xml:space="preserve"> </w:t>
      </w:r>
      <w:r>
        <w:t xml:space="preserve">“</w:t>
      </w:r>
      <w:r>
        <w:t xml:space="preserve">On LENS</w:t>
      </w:r>
      <w:r>
        <w:t xml:space="preserve">”</w:t>
      </w:r>
      <w:r>
        <w:t xml:space="preserve"> </w:t>
      </w:r>
      <w:r>
        <w:t xml:space="preserve">paragraphs and the career narratives stand on their own, unchanged. Keep them where the bios accompany the casebook or LENS materials; drop them for a generic faculty or conference bio.</w:t>
      </w:r>
    </w:p>
    <w:p>
      <w:pPr>
        <w:pStyle w:val="BodyText"/>
      </w:pPr>
      <w:r>
        <w:t xml:space="preserve">Role framing.</w:t>
      </w:r>
      <w:r>
        <w:t xml:space="preserve"> </w:t>
      </w:r>
      <w:r>
        <w:t xml:space="preserve">“</w:t>
      </w:r>
      <w:r>
        <w:t xml:space="preserve">Leads the LENS specialization</w:t>
      </w:r>
      <w:r>
        <w:t xml:space="preserve">”</w:t>
      </w:r>
      <w:r>
        <w:t xml:space="preserve"> </w:t>
      </w:r>
      <w:r>
        <w:t xml:space="preserve">is now</w:t>
      </w:r>
      <w:r>
        <w:t xml:space="preserve"> </w:t>
      </w:r>
      <w:r>
        <w:t xml:space="preserve">“</w:t>
      </w:r>
      <w:r>
        <w:t xml:space="preserve">leads the development of the LENS specialization within … the program directed by James Diamond.</w:t>
      </w:r>
      <w:r>
        <w:t xml:space="preserve">”</w:t>
      </w:r>
      <w:r>
        <w:t xml:space="preserve"> </w:t>
      </w:r>
      <w:r>
        <w:t xml:space="preserve">This names Jim’s authority and SOE’s ownership while crediting Will’s development role; it removes the standing-authority claim the earlier phrasing carried. Diamond’s bio adds one sentence making the oversight relationship explicit, so the two read as a matched pair.</w:t>
      </w:r>
    </w:p>
    <w:p>
      <w:pPr>
        <w:pStyle w:val="BodyText"/>
      </w:pPr>
      <w:r>
        <w:t xml:space="preserve">Research phrasing.</w:t>
      </w:r>
      <w:r>
        <w:t xml:space="preserve"> </w:t>
      </w:r>
      <w:r>
        <w:t xml:space="preserve">“</w:t>
      </w:r>
      <w:r>
        <w:t xml:space="preserve">Currently pursuing research on quantitative measures of human cognitive performance in operational contexts</w:t>
      </w:r>
      <w:r>
        <w:t xml:space="preserve">”</w:t>
      </w:r>
      <w:r>
        <w:t xml:space="preserve"> </w:t>
      </w:r>
      <w:r>
        <w:t xml:space="preserve">is now</w:t>
      </w:r>
      <w:r>
        <w:t xml:space="preserve"> </w:t>
      </w:r>
      <w:r>
        <w:t xml:space="preserve">“</w:t>
      </w:r>
      <w:r>
        <w:t xml:space="preserve">his current work develops quantitative measures …</w:t>
      </w:r>
      <w:r>
        <w:t xml:space="preserve">”</w:t>
      </w:r>
      <w:r>
        <w:t xml:space="preserve"> </w:t>
      </w:r>
      <w:r>
        <w:t xml:space="preserve">If any part of this involves human subjects, confirm IRB determination before the line stays in a published volume; soften to methods/instrumentation language if not yet cleared.</w:t>
      </w:r>
    </w:p>
    <w:p>
      <w:pPr>
        <w:pStyle w:val="BodyText"/>
      </w:pPr>
      <w:r>
        <w:t xml:space="preserve">Verify before print. The</w:t>
      </w:r>
      <w:r>
        <w:t xml:space="preserve"> </w:t>
      </w:r>
      <w:r>
        <w:t xml:space="preserve">“</w:t>
      </w:r>
      <w:r>
        <w:t xml:space="preserve">nearly 500 students</w:t>
      </w:r>
      <w:r>
        <w:t xml:space="preserve">”</w:t>
      </w:r>
      <w:r>
        <w:t xml:space="preserve"> </w:t>
      </w:r>
      <w:r>
        <w:t xml:space="preserve">figure now appears in print; confirm it is current and citable. Minor copyedits: spelled out USC, normalized em-dashes to commas per house style.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108"/>
        <w:bottom w:type="dxa" w:w="40"/>
        <w:right w:type="dxa" w:w="108"/>
      </w:tblCellMar>
    </w:tblPr>
    <w:tblStylePr w:type="firstRow">
      <w:rPr>
        <w:b/>
        <w:color w:val="FFFFFF"/>
      </w:rPr>
      <w:tcPr>
        <w:shd w:color="auto" w:fill="1F3B63" w:val="clear"/>
        <w:vAlign w:val="center"/>
      </w:tcPr>
    </w:tblStylePr>
    <w:tblStylePr w:type="band1Horz">
      <w:tcPr>
        <w:shd w:color="auto" w:fill="EEF2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F3B63"/>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2026-07-17T15:15:44Z</dcterms:created>
  <dcterms:modified xsi:type="dcterms:W3CDTF">2026-07-17T15:15:44Z</dcterms:modified>
</cp:coreProperties>
</file>

<file path=docProps/custom.xml><?xml version="1.0" encoding="utf-8"?>
<Properties xmlns="http://schemas.openxmlformats.org/officeDocument/2006/custom-properties" xmlns:vt="http://schemas.openxmlformats.org/officeDocument/2006/docPropsVTypes"/>
</file>