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From the 2019 Competencies Paper to a Standards-Ready Framework</w:t>
      </w:r>
    </w:p>
    <w:p>
      <w:pPr>
        <w:pStyle w:val="BodyText"/>
      </w:pPr>
      <w:r>
        <w:t xml:space="preserve">One-page discussion summary</w:t>
      </w:r>
    </w:p>
    <w:p>
      <w:pPr>
        <w:pStyle w:val="BodyText"/>
      </w:pPr>
      <w:r>
        <w:t xml:space="preserve">The 2019 paper set the agenda and deferred the work. The LECF and LENS execute its stated next step.</w:t>
      </w:r>
    </w:p>
    <w:p>
      <w:pPr>
        <w:pStyle w:val="BodyText"/>
      </w:pPr>
      <w:r>
        <w:t xml:space="preserve">The foundation. Goodell, Kessler, Kurzweil and Kolodner (2019),</w:t>
      </w:r>
      <w:r>
        <w:t xml:space="preserve"> </w:t>
      </w:r>
      <w:r>
        <w:t xml:space="preserve">“</w:t>
      </w:r>
      <w:r>
        <w:t xml:space="preserve">Competencies of Learning Engineering Teams and Team Members,</w:t>
      </w:r>
      <w:r>
        <w:t xml:space="preserve">”</w:t>
      </w:r>
      <w:r>
        <w:t xml:space="preserve"> </w:t>
      </w:r>
      <w:r>
        <w:t xml:space="preserve">organizes competence as five shared dispositions (focus on learning and learners; reflective practitioner and iterative refiner; responsive to data, evidence, research, and requirements; leverage systems thinking; mindful of context), three process groundings, and a flower of contributing disciplines. It contains no competency table and no role matrix; it closes by calling for exactly this:</w:t>
      </w:r>
      <w:r>
        <w:t xml:space="preserve"> </w:t>
      </w:r>
      <w:r>
        <w:t xml:space="preserve">“</w:t>
      </w:r>
      <w:r>
        <w:t xml:space="preserve">operationalize these organizing principles into sets of specific competency definitions.</w:t>
      </w:r>
      <w:r>
        <w:t xml:space="preserve">”</w:t>
      </w:r>
    </w:p>
    <w:p>
      <w:pPr>
        <w:pStyle w:val="BodyText"/>
      </w:pPr>
      <w:r>
        <w:t xml:space="preserve">The lineage claim. The LECF re-expresses the LEBOK knowledge map as assessable, behaviorally defined competencies. LENS implements them as a graduate concentration in high-consequence contexts. Neither competes with the 2019 paper or with LEBOK; both complete the paper’s stated next step.</w:t>
      </w:r>
    </w:p>
    <w:p>
      <w:pPr>
        <w:pStyle w:val="BodyText"/>
      </w:pPr>
      <w:r>
        <w:t xml:space="preserve">Domain</w:t>
      </w:r>
    </w:p>
    <w:p>
      <w:pPr>
        <w:pStyle w:val="BodyText"/>
      </w:pPr>
      <w:r>
        <w:t xml:space="preserve">Relationship to 2019</w:t>
      </w:r>
    </w:p>
    <w:p>
      <w:pPr>
        <w:pStyle w:val="BodyText"/>
      </w:pPr>
      <w:r>
        <w:t xml:space="preserve">Basis</w:t>
      </w:r>
    </w:p>
    <w:p>
      <w:pPr>
        <w:pStyle w:val="BodyText"/>
      </w:pPr>
      <w:r>
        <w:t xml:space="preserve">LECF 1, 2, 6 (learning sciences, design, process)</w:t>
      </w:r>
    </w:p>
    <w:p>
      <w:pPr>
        <w:pStyle w:val="BodyText"/>
      </w:pPr>
      <w:r>
        <w:t xml:space="preserve">Direct antecedent</w:t>
      </w:r>
    </w:p>
    <w:p>
      <w:pPr>
        <w:pStyle w:val="BodyText"/>
      </w:pPr>
      <w:r>
        <w:t xml:space="preserve">The paper’s three groundings and the iterative-refiner disposition</w:t>
      </w:r>
    </w:p>
    <w:p>
      <w:pPr>
        <w:pStyle w:val="BodyText"/>
      </w:pPr>
      <w:r>
        <w:t xml:space="preserve">LECF 3, 4, 5 (systems, instrumentation, analytics)</w:t>
      </w:r>
    </w:p>
    <w:p>
      <w:pPr>
        <w:pStyle w:val="BodyText"/>
      </w:pPr>
      <w:r>
        <w:t xml:space="preserve">Partial antecedent</w:t>
      </w:r>
    </w:p>
    <w:p>
      <w:pPr>
        <w:pStyle w:val="BodyText"/>
      </w:pPr>
      <w:r>
        <w:t xml:space="preserve">Systems thinking as disposition; data-informed decisions as grounding; depth came later via Toolkit and LEBOK</w:t>
      </w:r>
    </w:p>
    <w:p>
      <w:pPr>
        <w:pStyle w:val="BodyText"/>
      </w:pPr>
      <w:r>
        <w:t xml:space="preserve">LECF 8, 9 (professional practice, operations)</w:t>
      </w:r>
    </w:p>
    <w:p>
      <w:pPr>
        <w:pStyle w:val="BodyText"/>
      </w:pPr>
      <w:r>
        <w:t xml:space="preserve">Partial / weak</w:t>
      </w:r>
    </w:p>
    <w:p>
      <w:pPr>
        <w:pStyle w:val="BodyText"/>
      </w:pPr>
      <w:r>
        <w:t xml:space="preserve">Collaboration thesis is core to the paper; ethics and project management entered the canon later</w:t>
      </w:r>
    </w:p>
    <w:p>
      <w:pPr>
        <w:pStyle w:val="BodyText"/>
      </w:pPr>
      <w:r>
        <w:t xml:space="preserve">LECF 7 (performance and outcome engineering)</w:t>
      </w:r>
    </w:p>
    <w:p>
      <w:pPr>
        <w:pStyle w:val="BodyText"/>
      </w:pPr>
      <w:r>
        <w:t xml:space="preserve">New extension</w:t>
      </w:r>
    </w:p>
    <w:p>
      <w:pPr>
        <w:pStyle w:val="BodyText"/>
      </w:pPr>
      <w:r>
        <w:t xml:space="preserve">No gap attribution, no Gilbert, no outcome coupling in 2019; flagged [A], needs validation</w:t>
      </w:r>
    </w:p>
    <w:p>
      <w:pPr>
        <w:pStyle w:val="BodyText"/>
      </w:pPr>
      <w:r>
        <w:t xml:space="preserve">LENS 4 (context and domain fluency)</w:t>
      </w:r>
    </w:p>
    <w:p>
      <w:pPr>
        <w:pStyle w:val="BodyText"/>
      </w:pPr>
      <w:r>
        <w:t xml:space="preserve">New extension</w:t>
      </w:r>
    </w:p>
    <w:p>
      <w:pPr>
        <w:pStyle w:val="BodyText"/>
      </w:pPr>
      <w:r>
        <w:t xml:space="preserve">“</w:t>
      </w:r>
      <w:r>
        <w:t xml:space="preserve">Mindful of Context</w:t>
      </w:r>
      <w:r>
        <w:t xml:space="preserve">”</w:t>
      </w:r>
      <w:r>
        <w:t xml:space="preserve"> </w:t>
      </w:r>
      <w:r>
        <w:t xml:space="preserve">disposition is the nearest 2019 element; HSI and high-consequence framing is new</w:t>
      </w:r>
    </w:p>
    <w:p>
      <w:pPr>
        <w:pStyle w:val="BodyText"/>
      </w:pPr>
      <w:r>
        <w:t xml:space="preserve">LENS 5 (human-AI teaming, future systems)</w:t>
      </w:r>
    </w:p>
    <w:p>
      <w:pPr>
        <w:pStyle w:val="BodyText"/>
      </w:pPr>
      <w:r>
        <w:t xml:space="preserve">New extension</w:t>
      </w:r>
    </w:p>
    <w:p>
      <w:pPr>
        <w:pStyle w:val="BodyText"/>
      </w:pPr>
      <w:r>
        <w:t xml:space="preserve">Pre-generative-AI paper could not address it; vintage is the rationale, not a critique</w:t>
      </w:r>
    </w:p>
    <w:p>
      <w:pPr>
        <w:pStyle w:val="BodyText"/>
      </w:pPr>
      <w:r>
        <w:t xml:space="preserve">The one tension, resolved. The 2019 thesis is that the team is the unit of competence; no individual holds it all. LENS makes individual claims. Resolution: LENS certifies individual cross-domain fluency sufficient to lead and integrate a learning engineering team. The team remains the unit of delivered capability; the credential names what one integrator contributes to it.</w:t>
      </w:r>
    </w:p>
    <w:p>
      <w:pPr>
        <w:pStyle w:val="BodyText"/>
      </w:pPr>
      <w:r>
        <w:t xml:space="preserve">What we propose to carry forward. Re-surface the five dispositions as cross-cutting professional practice in any standard; preserve the flower’s extensibility (</w:t>
      </w:r>
      <w:r>
        <w:t xml:space="preserve">“</w:t>
      </w:r>
      <w:r>
        <w:t xml:space="preserve">and other fields as the challenge requires</w:t>
      </w:r>
      <w:r>
        <w:t xml:space="preserve">”</w:t>
      </w:r>
      <w:r>
        <w:t xml:space="preserve">); label every extension as proposed, never as consensus; sequence validation honestly (Delphi and card-sort for structure; job-task analysis before any credential claim).</w:t>
      </w:r>
    </w:p>
    <w:p>
      <w:pPr>
        <w:pStyle w:val="BodyText"/>
      </w:pPr>
      <w:r>
        <w:t xml:space="preserve">The offer. LENS contributes capstone artifacts as documented practice evidence for the unvalidated extensions, contingent on external pilot sites so the evidence is not self-validating. The framework is a map, not a gate: adoption through usefulness, with credentialing deferred until the evidentiary bar is met.</w:t>
      </w:r>
    </w:p>
    <w:p>
      <w:pPr>
        <w:pStyle w:val="BodyText"/>
      </w:pPr>
      <w:r>
        <w:t xml:space="preserve">LENS Concentration Objectives: Entering and Exiting (Proposed)</w:t>
      </w:r>
    </w:p>
    <w:p>
      <w:pPr>
        <w:pStyle w:val="BodyText"/>
      </w:pPr>
      <w:r>
        <w:t xml:space="preserve">Stated as observable pre/post pairs to support measurement of the concentration’s effect</w:t>
      </w:r>
    </w:p>
    <w:p>
      <w:pPr>
        <w:pStyle w:val="BodyText"/>
      </w:pPr>
      <w:r>
        <w:t xml:space="preserve">Posture. Entering students arrive grounded in one or two disciplines of the field’s flower; that is expected, consistent with dual accessibility for education professionals and engineers alike. The concentration’s claim is the delta: graduates demonstrate practitioner-level competence in the core domains and integration fluency across all of them. Each pair below is written so the pre state is genuinely common at entry and the post state is assessable from course and capstone artifacts.</w:t>
      </w:r>
    </w:p>
    <w:p>
      <w:pPr>
        <w:pStyle w:val="BodyText"/>
      </w:pPr>
      <w:r>
        <w:t xml:space="preserve">Entering students can (pre):</w:t>
      </w:r>
    </w:p>
    <w:p>
      <w:pPr>
        <w:pStyle w:val="BodyText"/>
      </w:pPr>
      <w:r>
        <w:t xml:space="preserve">Graduates can (post):</w:t>
      </w:r>
    </w:p>
    <w:p>
      <w:pPr>
        <w:pStyle w:val="BodyText"/>
      </w:pPr>
      <w:r>
        <w:t xml:space="preserve">Describe how people learn in at least one professional tradition (teaching, training, instructional design, or an engineering discipline)</w:t>
      </w:r>
    </w:p>
    <w:p>
      <w:pPr>
        <w:pStyle w:val="BodyText"/>
      </w:pPr>
      <w:r>
        <w:t xml:space="preserve">Apply learning sciences principles to design decisions and state each design choice as a testable hypothesis</w:t>
      </w:r>
    </w:p>
    <w:p>
      <w:pPr>
        <w:pStyle w:val="BodyText"/>
      </w:pPr>
      <w:r>
        <w:t xml:space="preserve">Identify stakeholders in a familiar setting and describe their needs informally</w:t>
      </w:r>
    </w:p>
    <w:p>
      <w:pPr>
        <w:pStyle w:val="BodyText"/>
      </w:pPr>
      <w:r>
        <w:t xml:space="preserve">Conduct stakeholder and context analysis in a high-consequence environment using an HSI framework, producing a documented context model</w:t>
      </w:r>
    </w:p>
    <w:p>
      <w:pPr>
        <w:pStyle w:val="BodyText"/>
      </w:pPr>
      <w:r>
        <w:t xml:space="preserve">Recognize that learning solutions exist inside larger organizational and technical systems</w:t>
      </w:r>
    </w:p>
    <w:p>
      <w:pPr>
        <w:pStyle w:val="BodyText"/>
      </w:pPr>
      <w:r>
        <w:t xml:space="preserve">Model a learning environment and its host operational system, translating capability requirements across the human-machine interface into learning design requirements</w:t>
      </w:r>
    </w:p>
    <w:p>
      <w:pPr>
        <w:pStyle w:val="BodyText"/>
      </w:pPr>
      <w:r>
        <w:t xml:space="preserve">Interpret simple descriptive data about learners (completion, scores) presented by others</w:t>
      </w:r>
    </w:p>
    <w:p>
      <w:pPr>
        <w:pStyle w:val="BodyText"/>
      </w:pPr>
      <w:r>
        <w:t xml:space="preserve">Instrument learning environments ethically and produce decision-grade evidence: dashboards, reproducible reports, and analyses that link learning measures to operational performance criteria</w:t>
      </w:r>
    </w:p>
    <w:p>
      <w:pPr>
        <w:pStyle w:val="BodyText"/>
      </w:pPr>
      <w:r>
        <w:t xml:space="preserve">Attribute performance problems to training by default</w:t>
      </w:r>
    </w:p>
    <w:p>
      <w:pPr>
        <w:pStyle w:val="BodyText"/>
      </w:pPr>
      <w:r>
        <w:t xml:space="preserve">Diagnose whether a capability gap is rooted in learning, system design, or organizational conditions before proposing an intervention (gap attribution; proposed field extension)</w:t>
      </w:r>
    </w:p>
    <w:p>
      <w:pPr>
        <w:pStyle w:val="BodyText"/>
      </w:pPr>
      <w:r>
        <w:t xml:space="preserve">Use AI tools as a consumer</w:t>
      </w:r>
    </w:p>
    <w:p>
      <w:pPr>
        <w:pStyle w:val="BodyText"/>
      </w:pPr>
      <w:r>
        <w:t xml:space="preserve">Design capability development for human-AI teams and specify learning requirements for not-yet-fielded systems from design artifacts</w:t>
      </w:r>
    </w:p>
    <w:p>
      <w:pPr>
        <w:pStyle w:val="BodyText"/>
      </w:pPr>
      <w:r>
        <w:t xml:space="preserve">Work within their own professional silo, handing off at its boundary</w:t>
      </w:r>
    </w:p>
    <w:p>
      <w:pPr>
        <w:pStyle w:val="BodyText"/>
      </w:pPr>
      <w:r>
        <w:t xml:space="preserve">Lead and integrate a learning engineering team: collaborate across disciplines with shared vocabulary, exhibiting the field’s professional dispositions</w:t>
      </w:r>
    </w:p>
    <w:bookmarkStart w:id="20" w:name="notes-for-review"/>
    <w:p>
      <w:pPr>
        <w:pStyle w:val="Heading2"/>
      </w:pPr>
      <w:r>
        <w:t xml:space="preserve">Notes for review</w:t>
      </w:r>
    </w:p>
    <w:p>
      <w:pPr>
        <w:pStyle w:val="FirstParagraph"/>
      </w:pPr>
      <w:r>
        <w:t xml:space="preserve">Pairs 1 through 4 and 7 sit on practice-grounded field territory (LECF Domains 1 through 6, 8). Pairs 5 and 6 are proposed extensions (LECF Domain 7; LENS Domains 4 and 5) and are labeled as such in any external document.</w:t>
      </w:r>
    </w:p>
    <w:p>
      <w:pPr>
        <w:pStyle w:val="BodyText"/>
      </w:pPr>
      <w:r>
        <w:t xml:space="preserve">Pair 5’s pre state is deliberately blunt: defaulting to a training fix is the documented norm the concentration exists to break. If that reads as unfair to incoming students, soften the pre side, not the post side.</w:t>
      </w:r>
    </w:p>
    <w:p>
      <w:pPr>
        <w:pStyle w:val="BodyText"/>
      </w:pPr>
      <w:r>
        <w:t xml:space="preserve">Ethics is not a pair because it is not a delta: ethical instrumentation and equity considerations are design constraints embedded in pairs 2, 4, and 7 from the first course onward.</w:t>
      </w:r>
    </w:p>
    <w:p>
      <w:pPr>
        <w:pStyle w:val="BodyText"/>
      </w:pPr>
      <w:r>
        <w:t xml:space="preserve">The pairs double as a pre/post assessment plan: each pre state can be measured at entry (intake survey, diagnostic scenario) and each post state from rubric-scored artifacts, giving the concentration its own decision-grade evidence of effect.</w:t>
      </w:r>
    </w:p>
    <w:p>
      <w:pPr>
        <w:pStyle w:val="BodyText"/>
      </w:pPr>
      <w:r>
        <w:t xml:space="preserve">In plain language</w:t>
      </w:r>
    </w:p>
    <w:p>
      <w:pPr>
        <w:pStyle w:val="BodyText"/>
      </w:pPr>
      <w:r>
        <w:t xml:space="preserve">Students arrive knowing one part of the picture. They leave able to see the whole system, prove what works, tell a learning problem from a system problem, and lead the team that fixes it.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08"/>
        <w:bottom w:type="dxa" w:w="40"/>
        <w:right w:type="dxa" w:w="108"/>
      </w:tblCellMar>
    </w:tblPr>
    <w:tblStylePr w:type="firstRow">
      <w:rPr>
        <w:b/>
        <w:color w:val="FFFFFF"/>
      </w:rPr>
      <w:tcPr>
        <w:shd w:color="auto" w:fill="1F3B63" w:val="clear"/>
        <w:vAlign w:val="center"/>
      </w:tcPr>
    </w:tblStylePr>
    <w:tblStylePr w:type="band1Horz">
      <w:tcPr>
        <w:shd w:color="auto" w:fill="EEF2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B63"/>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2026-07-17T15:14:02Z</dcterms:created>
  <dcterms:modified xsi:type="dcterms:W3CDTF">2026-07-17T15:14:02Z</dcterms:modified>
</cp:coreProperties>
</file>

<file path=docProps/custom.xml><?xml version="1.0" encoding="utf-8"?>
<Properties xmlns="http://schemas.openxmlformats.org/officeDocument/2006/custom-properties" xmlns:vt="http://schemas.openxmlformats.org/officeDocument/2006/docPropsVTypes"/>
</file>