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CURRENT (v2.2, July 2026).</w:t>
      </w:r>
      <w:r>
        <w:t xml:space="preserve"> </w:t>
      </w:r>
      <w:r>
        <w:t xml:space="preserve">v2.2 restores subobjective 3.6, which the v2.1 sweep dropped without a change-log entry; no other content changes. v2.1 adopted by program owner (J. Diamond) and editor (W. Gray-Roncal). Source of record for case anchors, syllabi, capstone rubrics, and recruiting. Supersedes v2.1, v2.0 (proposal in</w:t>
      </w:r>
      <w:r>
        <w:t xml:space="preserve"> </w:t>
      </w:r>
      <w:r>
        <w:rPr>
          <w:rStyle w:val="VerbatimChar"/>
        </w:rPr>
        <w:t xml:space="preserve">v2_research/01_*</w:t>
      </w:r>
      <w:r>
        <w:t xml:space="preserve">), and v1 (initial).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needs a program-owner round-trip from this</w:t>
      </w:r>
      <w:r>
        <w:t xml:space="preserve"> </w:t>
      </w:r>
      <w:r>
        <w:rPr>
          <w:rStyle w:val="VerbatimChar"/>
        </w:rPr>
        <w:t xml:space="preserve">.md</w:t>
      </w:r>
      <w:r>
        <w:t xml:space="preserve">.</w:t>
      </w:r>
    </w:p>
    <w:p>
      <w:r>
        <w:pict>
          <v:rect style="width:0;height:1.5pt" o:hralign="center" o:hrstd="t" o:hr="t"/>
        </w:pict>
      </w:r>
    </w:p>
    <w:p>
      <w:pPr>
        <w:pStyle w:val="FirstParagraph"/>
      </w:pPr>
      <w:r>
        <w:t xml:space="preserve">LENS • Learning Engineering for Next-Generation Systems</w:t>
      </w:r>
    </w:p>
    <w:bookmarkStart w:id="25" w:name="the-five-lens-competencies"/>
    <w:p>
      <w:pPr>
        <w:pStyle w:val="Heading1"/>
      </w:pPr>
      <w:r>
        <w:t xml:space="preserve">The Five LENS Competencies</w:t>
      </w:r>
    </w:p>
    <w:p>
      <w:pPr>
        <w:pStyle w:val="FirstParagraph"/>
      </w:pPr>
      <w:r>
        <w:t xml:space="preserve">Formal names, taglines, main objectives, and subobjectives for case studies, recruiting, and curriculum.</w:t>
      </w:r>
    </w:p>
    <w:p>
      <w:pPr>
        <w:pStyle w:val="BodyText"/>
      </w:pPr>
      <w:r>
        <w:t xml:space="preserve">Organizing layer over the formal LEOs —</w:t>
      </w:r>
      <w:r>
        <w:t xml:space="preserve"> </w:t>
      </w:r>
      <w:r>
        <w:rPr>
          <w:bCs/>
          <w:b/>
        </w:rPr>
        <w:t xml:space="preserve">LENS Educational Objectives</w:t>
      </w:r>
      <w:r>
        <w:t xml:space="preserve">, the concentration-level objectives held at the program level (formerly abbreviated</w:t>
      </w:r>
      <w:r>
        <w:t xml:space="preserve"> </w:t>
      </w:r>
      <w:r>
        <w:t xml:space="preserve">“</w:t>
      </w:r>
      <w:r>
        <w:t xml:space="preserve">CLO</w:t>
      </w:r>
      <w:r>
        <w:t xml:space="preserve">”</w:t>
      </w:r>
      <w:r>
        <w:t xml:space="preserve">; see doc 2 §4 for the PLO → LEO → CLO → MLO hierarchy). Formal names carry program documentation; taglines carry recruiting and the site. Subobjective numbers (1.1, 3.2, …) are stable tags for case studies, course modules, and capstone rubrics. The LEO language in the program documentation remains the language of record.</w:t>
      </w:r>
    </w:p>
    <w:bookmarkStart w:id="20" w:name="systems-analysis-see-the-whole-system"/>
    <w:p>
      <w:pPr>
        <w:pStyle w:val="Heading2"/>
      </w:pPr>
      <w:r>
        <w:t xml:space="preserve">1. Systems Analysis •</w:t>
      </w:r>
      <w:r>
        <w:t xml:space="preserve"> </w:t>
      </w:r>
      <w:r>
        <w:rPr>
          <w:iCs/>
          <w:i/>
        </w:rPr>
        <w:t xml:space="preserve">see the whole system</w:t>
      </w:r>
    </w:p>
    <w:p>
      <w:pPr>
        <w:pStyle w:val="FirstParagraph"/>
      </w:pPr>
      <w:r>
        <w:rPr>
          <w:bCs/>
          <w:b/>
        </w:rPr>
        <w:t xml:space="preserve">Formal domain:</w:t>
      </w:r>
      <w:r>
        <w:t xml:space="preserve"> </w:t>
      </w:r>
      <w:r>
        <w:t xml:space="preserve">Systems Thinking and Analysis (LEO-1)</w:t>
      </w:r>
    </w:p>
    <w:p>
      <w:pPr>
        <w:pStyle w:val="BodyText"/>
      </w:pPr>
      <w:r>
        <w:rPr>
          <w:bCs/>
          <w:b/>
        </w:rPr>
        <w:t xml:space="preserve">Main objective.</w:t>
      </w:r>
      <w:r>
        <w:t xml:space="preserve"> </w:t>
      </w:r>
      <w:r>
        <w:t xml:space="preserve">Trace how human capability and system performance depend on each other, so interventions target the real problem.</w:t>
      </w:r>
    </w:p>
    <w:p>
      <w:pPr>
        <w:pStyle w:val="BodyText"/>
      </w:pPr>
      <w:r>
        <w:t xml:space="preserve">1.1 Decompose system performance requirements into measurable human capability requirements: define what the system demands of its operators and the impact it must deliver.</w:t>
      </w:r>
    </w:p>
    <w:p>
      <w:pPr>
        <w:pStyle w:val="BodyText"/>
      </w:pPr>
      <w:r>
        <w:t xml:space="preserve">1.2 Model learning environments and their host operational systems as interacting systems, with defined components, interfaces, and feedback loops.</w:t>
      </w:r>
    </w:p>
    <w:p>
      <w:pPr>
        <w:pStyle w:val="BodyText"/>
      </w:pPr>
      <w:r>
        <w:t xml:space="preserve">1.3 Apply systems engineering lifecycle models to scope, sequence, and evaluate capability interventions within and across disparate systems.</w:t>
      </w:r>
    </w:p>
    <w:p>
      <w:pPr>
        <w:pStyle w:val="BodyText"/>
      </w:pPr>
      <w:r>
        <w:t xml:space="preserve">1.4 Analyze and communicate human-system interdependencies to identify capability gaps and predict operational impact at scale.</w:t>
      </w:r>
    </w:p>
    <w:p>
      <w:pPr>
        <w:pStyle w:val="BodyText"/>
      </w:pPr>
      <w:r>
        <w:t xml:space="preserve">1.5</w:t>
      </w:r>
      <w:r>
        <w:t xml:space="preserve"> </w:t>
      </w:r>
      <w:r>
        <w:rPr>
          <w:iCs/>
          <w:i/>
        </w:rPr>
        <w:t xml:space="preserve">[v2]</w:t>
      </w:r>
      <w:r>
        <w:t xml:space="preserve"> </w:t>
      </w:r>
      <w:r>
        <w:rPr>
          <w:bCs/>
          <w:b/>
        </w:rPr>
        <w:t xml:space="preserve">Governance-objection diagnostic.</w:t>
      </w:r>
      <w:r>
        <w:t xml:space="preserve"> </w:t>
      </w:r>
      <w:r>
        <w:t xml:space="preserve">Distinguish a governance objection that good design can dissolve from one that correctly signals the system should not deploy.</w:t>
      </w:r>
    </w:p>
    <w:bookmarkEnd w:id="20"/>
    <w:bookmarkStart w:id="21" w:name="iterative-development-build-test-refine"/>
    <w:p>
      <w:pPr>
        <w:pStyle w:val="Heading2"/>
      </w:pPr>
      <w:r>
        <w:t xml:space="preserve">2. Iterative Development •</w:t>
      </w:r>
      <w:r>
        <w:t xml:space="preserve"> </w:t>
      </w:r>
      <w:r>
        <w:rPr>
          <w:iCs/>
          <w:i/>
        </w:rPr>
        <w:t xml:space="preserve">build, test, refine</w:t>
      </w:r>
    </w:p>
    <w:p>
      <w:pPr>
        <w:pStyle w:val="FirstParagraph"/>
      </w:pPr>
      <w:r>
        <w:rPr>
          <w:bCs/>
          <w:b/>
        </w:rPr>
        <w:t xml:space="preserve">Formal domain:</w:t>
      </w:r>
      <w:r>
        <w:t xml:space="preserve"> </w:t>
      </w:r>
      <w:r>
        <w:t xml:space="preserve">Learning Engineering Design and Implementation (LEO-2)</w:t>
      </w:r>
    </w:p>
    <w:p>
      <w:pPr>
        <w:pStyle w:val="BodyText"/>
      </w:pPr>
      <w:r>
        <w:rPr>
          <w:bCs/>
          <w:b/>
        </w:rPr>
        <w:t xml:space="preserve">Main objective.</w:t>
      </w:r>
      <w:r>
        <w:t xml:space="preserve"> </w:t>
      </w:r>
      <w:r>
        <w:t xml:space="preserve">Design capability interventions through iterative engineering cycles that survive contact with real operational environments.</w:t>
      </w:r>
    </w:p>
    <w:p>
      <w:pPr>
        <w:pStyle w:val="BodyText"/>
      </w:pPr>
      <w:r>
        <w:t xml:space="preserve">2.1 Design interventions that integrate learning sciences principles with measurable outcomes and system design constraints.</w:t>
      </w:r>
    </w:p>
    <w:p>
      <w:pPr>
        <w:pStyle w:val="BodyText"/>
      </w:pPr>
      <w:r>
        <w:t xml:space="preserve">2.2 Run the iteration cycle: design, instrument, evaluate, refine, and revise the problem framing as evidence accumulates.</w:t>
      </w:r>
    </w:p>
    <w:p>
      <w:pPr>
        <w:pStyle w:val="BodyText"/>
      </w:pPr>
      <w:r>
        <w:t xml:space="preserve">2.3 Evaluate evidence-based design strategies for transfer to high-consequence settings at operational speed and scale.</w:t>
      </w:r>
    </w:p>
    <w:p>
      <w:pPr>
        <w:pStyle w:val="BodyText"/>
      </w:pPr>
      <w:r>
        <w:t xml:space="preserve">2.4 Construct implementation plans that address adoption, sustainment, and lifecycle integration across organizational and system boundaries.</w:t>
      </w:r>
    </w:p>
    <w:p>
      <w:pPr>
        <w:pStyle w:val="BodyText"/>
      </w:pPr>
      <w:r>
        <w:t xml:space="preserve">2.5</w:t>
      </w:r>
      <w:r>
        <w:t xml:space="preserve"> </w:t>
      </w:r>
      <w:r>
        <w:rPr>
          <w:iCs/>
          <w:i/>
        </w:rPr>
        <w:t xml:space="preserve">[v2]</w:t>
      </w:r>
      <w:r>
        <w:t xml:space="preserve"> </w:t>
      </w:r>
      <w:r>
        <w:rPr>
          <w:bCs/>
          <w:b/>
        </w:rPr>
        <w:t xml:space="preserve">Narrate and defend the design iteration in first person.</w:t>
      </w:r>
      <w:r>
        <w:t xml:space="preserve"> </w:t>
      </w:r>
      <w:r>
        <w:t xml:space="preserve">Design competence includes not only producing an outcome but rendering the iteration legible — the case-unpacking practice is the model.</w:t>
      </w:r>
    </w:p>
    <w:bookmarkEnd w:id="21"/>
    <w:bookmarkStart w:id="22" w:name="human-system-collaboration-work-together"/>
    <w:p>
      <w:pPr>
        <w:pStyle w:val="Heading2"/>
      </w:pPr>
      <w:r>
        <w:t xml:space="preserve">3. Human-System Collaboration •</w:t>
      </w:r>
      <w:r>
        <w:t xml:space="preserve"> </w:t>
      </w:r>
      <w:r>
        <w:rPr>
          <w:iCs/>
          <w:i/>
        </w:rPr>
        <w:t xml:space="preserve">work together</w:t>
      </w:r>
    </w:p>
    <w:p>
      <w:pPr>
        <w:pStyle w:val="FirstParagraph"/>
      </w:pPr>
      <w:r>
        <w:rPr>
          <w:iCs/>
          <w:i/>
        </w:rPr>
        <w:t xml:space="preserve">[v2.1 — moved from D5 and broadened from</w:t>
      </w:r>
      <w:r>
        <w:rPr>
          <w:iCs/>
          <w:i/>
        </w:rPr>
        <w:t xml:space="preserve"> </w:t>
      </w:r>
      <w:r>
        <w:rPr>
          <w:iCs/>
          <w:i/>
        </w:rPr>
        <w:t xml:space="preserve">“</w:t>
      </w:r>
      <w:r>
        <w:rPr>
          <w:iCs/>
          <w:i/>
        </w:rPr>
        <w:t xml:space="preserve">Machine Teaming and Adaptation.</w:t>
      </w:r>
      <w:r>
        <w:rPr>
          <w:iCs/>
          <w:i/>
        </w:rPr>
        <w:t xml:space="preserve">”</w:t>
      </w:r>
      <w:r>
        <w:rPr>
          <w:iCs/>
          <w:i/>
        </w:rPr>
        <w:t xml:space="preserve"> </w:t>
      </w:r>
      <w:r>
        <w:rPr>
          <w:iCs/>
          <w:i/>
        </w:rPr>
        <w:t xml:space="preserve">The competency now covers human-system collaboration generally; human-AI teaming is one sub-pattern within it, not a separate domain.]</w:t>
      </w:r>
    </w:p>
    <w:p>
      <w:pPr>
        <w:pStyle w:val="BodyText"/>
      </w:pPr>
      <w:r>
        <w:rPr>
          <w:bCs/>
          <w:b/>
        </w:rPr>
        <w:t xml:space="preserve">Formal domain:</w:t>
      </w:r>
      <w:r>
        <w:t xml:space="preserve"> </w:t>
      </w:r>
      <w:r>
        <w:t xml:space="preserve">Human-System Collaboration and Adaptive Systems (LEO-3)</w:t>
      </w:r>
    </w:p>
    <w:p>
      <w:pPr>
        <w:pStyle w:val="BodyText"/>
      </w:pPr>
      <w:r>
        <w:rPr>
          <w:bCs/>
          <w:b/>
        </w:rPr>
        <w:t xml:space="preserve">Main objective.</w:t>
      </w:r>
      <w:r>
        <w:t xml:space="preserve"> </w:t>
      </w:r>
      <w:r>
        <w:t xml:space="preserve">Design human-system partnerships — including but not limited to human-AI — that make people more capable while preserving human agency and the recoverability of the system.</w:t>
      </w:r>
    </w:p>
    <w:p>
      <w:pPr>
        <w:pStyle w:val="BodyText"/>
      </w:pPr>
      <w:r>
        <w:t xml:space="preserve">3.1 Design role architectures, interface and alert systems, mode/state transparency, authority gradients, and recoverability mechanisms that engineer collaborative capability at the human-system boundary.</w:t>
      </w:r>
    </w:p>
    <w:p>
      <w:pPr>
        <w:pStyle w:val="BodyText"/>
      </w:pPr>
      <w:r>
        <w:t xml:space="preserve">3.2 Evaluate the measured impact of system-mediated work on human performance: the gains the system enables and the risks it introduces — automation bias, cognitive offloading, skill atrophy.</w:t>
      </w:r>
    </w:p>
    <w:p>
      <w:pPr>
        <w:pStyle w:val="BodyText"/>
      </w:pPr>
      <w:r>
        <w:t xml:space="preserve">3.3</w:t>
      </w:r>
      <w:r>
        <w:t xml:space="preserve"> </w:t>
      </w:r>
      <w:r>
        <w:rPr>
          <w:iCs/>
          <w:i/>
        </w:rPr>
        <w:t xml:space="preserve">[v2]</w:t>
      </w:r>
      <w:r>
        <w:t xml:space="preserve"> </w:t>
      </w:r>
      <w:r>
        <w:rPr>
          <w:bCs/>
          <w:b/>
        </w:rPr>
        <w:t xml:space="preserve">Delegation with revocation.</w:t>
      </w:r>
      <w:r>
        <w:t xml:space="preserve"> </w:t>
      </w:r>
      <w:r>
        <w:t xml:space="preserve">Design the human oversight layer for delegated work; specify in advance the disconfirming evidence that would revoke the delegation.</w:t>
      </w:r>
    </w:p>
    <w:p>
      <w:pPr>
        <w:pStyle w:val="BodyText"/>
      </w:pPr>
      <w:r>
        <w:t xml:space="preserve">3.4</w:t>
      </w:r>
      <w:r>
        <w:t xml:space="preserve"> </w:t>
      </w:r>
      <w:r>
        <w:rPr>
          <w:iCs/>
          <w:i/>
        </w:rPr>
        <w:t xml:space="preserve">[v2]</w:t>
      </w:r>
      <w:r>
        <w:t xml:space="preserve"> </w:t>
      </w:r>
      <w:r>
        <w:rPr>
          <w:bCs/>
          <w:b/>
        </w:rPr>
        <w:t xml:space="preserve">Collaboration measurement.</w:t>
      </w:r>
      <w:r>
        <w:t xml:space="preserve"> </w:t>
      </w:r>
      <w:r>
        <w:t xml:space="preserve">Measure the capability of a team or collaboration as a unit of analysis, distinct from any individual operator or any individual system component.</w:t>
      </w:r>
    </w:p>
    <w:p>
      <w:pPr>
        <w:pStyle w:val="BodyText"/>
      </w:pPr>
      <w:r>
        <w:t xml:space="preserve">3.5 Specify learning and capability requirements for systems not yet fielded, working from design artifacts rather than operational experience.</w:t>
      </w:r>
    </w:p>
    <w:p>
      <w:pPr>
        <w:pStyle w:val="BodyText"/>
      </w:pPr>
      <w:r>
        <w:t xml:space="preserve">3.6</w:t>
      </w:r>
      <w:r>
        <w:t xml:space="preserve"> </w:t>
      </w:r>
      <w:r>
        <w:rPr>
          <w:iCs/>
          <w:i/>
        </w:rPr>
        <w:t xml:space="preserve">[v2.2 — restored]</w:t>
      </w:r>
      <w:r>
        <w:t xml:space="preserve"> </w:t>
      </w:r>
      <w:r>
        <w:t xml:space="preserve">Communicate evidence-based recommendations for when system augmentation improves versus degrades capability outcomes and operator agency.</w:t>
      </w:r>
    </w:p>
    <w:bookmarkEnd w:id="22"/>
    <w:bookmarkStart w:id="23" w:name="test-and-evaluation-show-what-works"/>
    <w:p>
      <w:pPr>
        <w:pStyle w:val="Heading2"/>
      </w:pPr>
      <w:r>
        <w:t xml:space="preserve">4. Test and Evaluation •</w:t>
      </w:r>
      <w:r>
        <w:t xml:space="preserve"> </w:t>
      </w:r>
      <w:r>
        <w:rPr>
          <w:iCs/>
          <w:i/>
        </w:rPr>
        <w:t xml:space="preserve">show what works</w:t>
      </w:r>
    </w:p>
    <w:p>
      <w:pPr>
        <w:pStyle w:val="FirstParagraph"/>
      </w:pPr>
      <w:r>
        <w:rPr>
          <w:iCs/>
          <w:i/>
        </w:rPr>
        <w:t xml:space="preserve">[v2.1 — was D3 in v1; renumbered to D4. Subobjective 4.2 (</w:t>
      </w:r>
      <w:r>
        <w:rPr>
          <w:iCs/>
          <w:i/>
        </w:rPr>
        <w:t xml:space="preserve">“</w:t>
      </w:r>
      <w:r>
        <w:rPr>
          <w:iCs/>
          <w:i/>
        </w:rPr>
        <w:t xml:space="preserve">gap attribution</w:t>
      </w:r>
      <w:r>
        <w:rPr>
          <w:iCs/>
          <w:i/>
        </w:rPr>
        <w:t xml:space="preserve">”</w:t>
      </w:r>
      <w:r>
        <w:rPr>
          <w:iCs/>
          <w:i/>
        </w:rPr>
        <w:t xml:space="preserve">) was the existing</w:t>
      </w:r>
      <w:r>
        <w:rPr>
          <w:iCs/>
          <w:i/>
        </w:rPr>
        <w:t xml:space="preserve"> </w:t>
      </w:r>
      <w:r>
        <w:rPr>
          <w:iCs/>
          <w:i/>
        </w:rPr>
        <w:t xml:space="preserve">“</w:t>
      </w:r>
      <w:r>
        <w:rPr>
          <w:iCs/>
          <w:i/>
        </w:rPr>
        <w:t xml:space="preserve">diagnose the gap</w:t>
      </w:r>
      <w:r>
        <w:rPr>
          <w:iCs/>
          <w:i/>
        </w:rPr>
        <w:t xml:space="preserve">”</w:t>
      </w:r>
      <w:r>
        <w:rPr>
          <w:iCs/>
          <w:i/>
        </w:rPr>
        <w:t xml:space="preserve">; the v2 sweep names it explicitly.]</w:t>
      </w:r>
    </w:p>
    <w:p>
      <w:pPr>
        <w:pStyle w:val="BodyText"/>
      </w:pPr>
      <w:r>
        <w:rPr>
          <w:bCs/>
          <w:b/>
        </w:rPr>
        <w:t xml:space="preserve">Formal domain:</w:t>
      </w:r>
      <w:r>
        <w:t xml:space="preserve"> </w:t>
      </w:r>
      <w:r>
        <w:t xml:space="preserve">Data, Measurement, and Evaluation (LEO-4)</w:t>
      </w:r>
    </w:p>
    <w:p>
      <w:pPr>
        <w:pStyle w:val="BodyText"/>
      </w:pPr>
      <w:r>
        <w:rPr>
          <w:bCs/>
          <w:b/>
        </w:rPr>
        <w:t xml:space="preserve">Main objective.</w:t>
      </w:r>
      <w:r>
        <w:t xml:space="preserve"> </w:t>
      </w:r>
      <w:r>
        <w:t xml:space="preserve">Produce decision-grade evidence linking learning to operational impact — where decision-grade is a sufficiency judgment under irreducible uncertainty — and tell a learning gap from a system gap.</w:t>
      </w:r>
    </w:p>
    <w:p>
      <w:pPr>
        <w:pStyle w:val="BodyText"/>
      </w:pPr>
      <w:r>
        <w:t xml:space="preserve">4.1 Design ethical instrumentation strategies that measure capability at the speed and scale operations require.</w:t>
      </w:r>
    </w:p>
    <w:p>
      <w:pPr>
        <w:pStyle w:val="BodyText"/>
      </w:pPr>
      <w:r>
        <w:t xml:space="preserve">4.2</w:t>
      </w:r>
      <w:r>
        <w:t xml:space="preserve"> </w:t>
      </w:r>
      <w:r>
        <w:rPr>
          <w:bCs/>
          <w:b/>
        </w:rPr>
        <w:t xml:space="preserve">Gap attribution.</w:t>
      </w:r>
      <w:r>
        <w:t xml:space="preserve"> </w:t>
      </w:r>
      <w:r>
        <w:t xml:space="preserve">Diagnose the gap: differentiate capability shortfalls rooted in human development from those rooted in system design or organizational performance.</w:t>
      </w:r>
    </w:p>
    <w:p>
      <w:pPr>
        <w:pStyle w:val="BodyText"/>
      </w:pPr>
      <w:r>
        <w:t xml:space="preserve">4.3 Construct decision-grade evidence artifacts (dashboards, reproducible reports, governance documentation) under irreducible uncertainty: state what is known, what is assumed, and what would change the decision.</w:t>
      </w:r>
    </w:p>
    <w:p>
      <w:pPr>
        <w:pStyle w:val="BodyText"/>
      </w:pPr>
      <w:r>
        <w:t xml:space="preserve">4.4</w:t>
      </w:r>
      <w:r>
        <w:t xml:space="preserve"> </w:t>
      </w:r>
      <w:r>
        <w:rPr>
          <w:iCs/>
          <w:i/>
        </w:rPr>
        <w:t xml:space="preserve">[v2]</w:t>
      </w:r>
      <w:r>
        <w:t xml:space="preserve"> </w:t>
      </w:r>
      <w:r>
        <w:rPr>
          <w:bCs/>
          <w:b/>
        </w:rPr>
        <w:t xml:space="preserve">Judgment under inadequate evidence.</w:t>
      </w:r>
      <w:r>
        <w:t xml:space="preserve"> </w:t>
      </w:r>
      <w:r>
        <w:t xml:space="preserve">Justify a consequential decision on incomplete and contested evidence; document the basis; name what would change it.</w:t>
      </w:r>
    </w:p>
    <w:p>
      <w:pPr>
        <w:pStyle w:val="BodyText"/>
      </w:pPr>
      <w:r>
        <w:t xml:space="preserve">4.5 Communicate evidence honestly to technical and non-technical stakeholders, including uncertainty and limits of inference.</w:t>
      </w:r>
    </w:p>
    <w:p>
      <w:pPr>
        <w:pStyle w:val="BodyText"/>
      </w:pPr>
      <w:r>
        <w:t xml:space="preserve">4.6</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p>
    <w:bookmarkEnd w:id="23"/>
    <w:bookmarkStart w:id="24" w:name="X76602b8bd0f6773d25210cecfc4681335591402"/>
    <w:p>
      <w:pPr>
        <w:pStyle w:val="Heading2"/>
      </w:pPr>
      <w:r>
        <w:t xml:space="preserve">5. Navigating Sociotechnical Constraints •</w:t>
      </w:r>
      <w:r>
        <w:t xml:space="preserve"> </w:t>
      </w:r>
      <w:r>
        <w:rPr>
          <w:iCs/>
          <w:i/>
        </w:rPr>
        <w:t xml:space="preserve">make it work in the real world</w:t>
      </w:r>
    </w:p>
    <w:p>
      <w:pPr>
        <w:pStyle w:val="FirstParagraph"/>
      </w:pPr>
      <w:r>
        <w:rPr>
          <w:iCs/>
          <w:i/>
        </w:rPr>
        <w:t xml:space="preserve">[v2.1 — was D4 in v1; renumbered to D5.]</w:t>
      </w:r>
    </w:p>
    <w:p>
      <w:pPr>
        <w:pStyle w:val="BodyText"/>
      </w:pPr>
      <w:r>
        <w:rPr>
          <w:bCs/>
          <w:b/>
        </w:rPr>
        <w:t xml:space="preserve">Formal domain:</w:t>
      </w:r>
      <w:r>
        <w:t xml:space="preserve"> </w:t>
      </w:r>
      <w:r>
        <w:t xml:space="preserve">Context and Domain Fluency (LEO-5)</w:t>
      </w:r>
    </w:p>
    <w:p>
      <w:pPr>
        <w:pStyle w:val="BodyText"/>
      </w:pPr>
      <w:r>
        <w:rPr>
          <w:bCs/>
          <w:b/>
        </w:rPr>
        <w:t xml:space="preserve">Main objective.</w:t>
      </w:r>
      <w:r>
        <w:t xml:space="preserve"> </w:t>
      </w:r>
      <w:r>
        <w:t xml:space="preserve">Integrate capability interventions into the sociotechnical systems they must live in: the regulatory, organizational, cultural, and technical realities that determine whether good designs survive.</w:t>
      </w:r>
    </w:p>
    <w:p>
      <w:pPr>
        <w:pStyle w:val="BodyText"/>
      </w:pPr>
      <w:r>
        <w:t xml:space="preserve">5.1 Analyze the regulatory, organizational, cultural, and technical constraints that shape what can be built, deployed, and sustained in a given context.</w:t>
      </w:r>
    </w:p>
    <w:p>
      <w:pPr>
        <w:pStyle w:val="BodyText"/>
      </w:pPr>
      <w:r>
        <w:t xml:space="preserve">5.2 Apply human systems integration frameworks to fit capability interventions to operational environments.</w:t>
      </w:r>
    </w:p>
    <w:p>
      <w:pPr>
        <w:pStyle w:val="BodyText"/>
      </w:pPr>
      <w:r>
        <w:t xml:space="preserve">5.3 Leverage prior domain expertise, and respect for others’, to elicit and validate specialist knowledge that surfaces constraints early.</w:t>
      </w:r>
    </w:p>
    <w:p>
      <w:pPr>
        <w:pStyle w:val="BodyText"/>
      </w:pPr>
      <w:r>
        <w:t xml:space="preserve">5.4 Translate constraints and stakeholder requirements across disciplinary and institutional boundaries into coherent design specifications.</w:t>
      </w:r>
    </w:p>
    <w:p>
      <w:pPr>
        <w:pStyle w:val="BodyText"/>
      </w:pPr>
      <w:r>
        <w:t xml:space="preserve">5.5 Anticipate adoption and sustainment barriers, and design interventions that survive them.</w:t>
      </w:r>
    </w:p>
    <w:p>
      <w:pPr>
        <w:pStyle w:val="BodyText"/>
      </w:pPr>
      <w:r>
        <w:t xml:space="preserve">5.6</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p>
    <w:p>
      <w:r>
        <w:pict>
          <v:rect style="width:0;height:1.5pt" o:hralign="center" o:hrstd="t" o:hr="t"/>
        </w:pict>
      </w:r>
    </w:p>
    <w:bookmarkEnd w:id="24"/>
    <w:bookmarkEnd w:id="25"/>
    <w:bookmarkStart w:id="26" w:name="crosswalk-to-formal-leos"/>
    <w:p>
      <w:pPr>
        <w:pStyle w:val="Heading1"/>
      </w:pPr>
      <w:r>
        <w:t xml:space="preserve">Crosswalk to Formal LEOs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Competency</w:t>
            </w:r>
          </w:p>
        </w:tc>
        <w:tc>
          <w:tcPr/>
          <w:p>
            <w:pPr>
              <w:pStyle w:val="Compact"/>
              <w:jc w:val="left"/>
            </w:pPr>
            <w:r>
              <w:t xml:space="preserve">Tagline</w:t>
            </w:r>
          </w:p>
        </w:tc>
        <w:tc>
          <w:tcPr/>
          <w:p>
            <w:pPr>
              <w:pStyle w:val="Compact"/>
              <w:jc w:val="left"/>
            </w:pPr>
            <w:r>
              <w:t xml:space="preserve">LEO</w:t>
            </w:r>
          </w:p>
        </w:tc>
        <w:tc>
          <w:tcPr/>
          <w:p>
            <w:pPr>
              <w:pStyle w:val="Compact"/>
              <w:jc w:val="left"/>
            </w:pPr>
            <w:r>
              <w:t xml:space="preserve">Formal domain (program docs)</w:t>
            </w:r>
          </w:p>
        </w:tc>
      </w:tr>
      <w:tr>
        <w:tc>
          <w:tcPr/>
          <w:p>
            <w:pPr>
              <w:pStyle w:val="Compact"/>
              <w:jc w:val="left"/>
            </w:pPr>
            <w:r>
              <w:t xml:space="preserve">1</w:t>
            </w:r>
          </w:p>
        </w:tc>
        <w:tc>
          <w:tcPr/>
          <w:p>
            <w:pPr>
              <w:pStyle w:val="Compact"/>
              <w:jc w:val="left"/>
            </w:pPr>
            <w:r>
              <w:t xml:space="preserve">Systems Analysis</w:t>
            </w:r>
          </w:p>
        </w:tc>
        <w:tc>
          <w:tcPr/>
          <w:p>
            <w:pPr>
              <w:pStyle w:val="Compact"/>
              <w:jc w:val="left"/>
            </w:pPr>
            <w:r>
              <w:t xml:space="preserve">see the whole system</w:t>
            </w:r>
          </w:p>
        </w:tc>
        <w:tc>
          <w:tcPr/>
          <w:p>
            <w:pPr>
              <w:pStyle w:val="Compact"/>
              <w:jc w:val="left"/>
            </w:pPr>
            <w:r>
              <w:t xml:space="preserve">LEO-1</w:t>
            </w:r>
          </w:p>
        </w:tc>
        <w:tc>
          <w:tcPr/>
          <w:p>
            <w:pPr>
              <w:pStyle w:val="Compact"/>
              <w:jc w:val="left"/>
            </w:pPr>
            <w:r>
              <w:t xml:space="preserve">Systems Thinking and Analysis</w:t>
            </w:r>
          </w:p>
        </w:tc>
      </w:tr>
      <w:tr>
        <w:tc>
          <w:tcPr/>
          <w:p>
            <w:pPr>
              <w:pStyle w:val="Compact"/>
              <w:jc w:val="left"/>
            </w:pPr>
            <w:r>
              <w:t xml:space="preserve">2</w:t>
            </w:r>
          </w:p>
        </w:tc>
        <w:tc>
          <w:tcPr/>
          <w:p>
            <w:pPr>
              <w:pStyle w:val="Compact"/>
              <w:jc w:val="left"/>
            </w:pPr>
            <w:r>
              <w:t xml:space="preserve">Iterative Development</w:t>
            </w:r>
          </w:p>
        </w:tc>
        <w:tc>
          <w:tcPr/>
          <w:p>
            <w:pPr>
              <w:pStyle w:val="Compact"/>
              <w:jc w:val="left"/>
            </w:pPr>
            <w:r>
              <w:t xml:space="preserve">build, test, refine</w:t>
            </w:r>
          </w:p>
        </w:tc>
        <w:tc>
          <w:tcPr/>
          <w:p>
            <w:pPr>
              <w:pStyle w:val="Compact"/>
              <w:jc w:val="left"/>
            </w:pPr>
            <w:r>
              <w:t xml:space="preserve">LEO-2</w:t>
            </w:r>
          </w:p>
        </w:tc>
        <w:tc>
          <w:tcPr/>
          <w:p>
            <w:pPr>
              <w:pStyle w:val="Compact"/>
              <w:jc w:val="left"/>
            </w:pPr>
            <w:r>
              <w:t xml:space="preserve">Learning Engineering Design and Implementation</w:t>
            </w:r>
          </w:p>
        </w:tc>
      </w:tr>
      <w:tr>
        <w:tc>
          <w:tcPr/>
          <w:p>
            <w:pPr>
              <w:pStyle w:val="Compact"/>
              <w:jc w:val="left"/>
            </w:pPr>
            <w:r>
              <w:t xml:space="preserve">3</w:t>
            </w:r>
          </w:p>
        </w:tc>
        <w:tc>
          <w:tcPr/>
          <w:p>
            <w:pPr>
              <w:pStyle w:val="Compact"/>
              <w:jc w:val="left"/>
            </w:pPr>
            <w:r>
              <w:t xml:space="preserve">Human-System Collaboration</w:t>
            </w:r>
          </w:p>
        </w:tc>
        <w:tc>
          <w:tcPr/>
          <w:p>
            <w:pPr>
              <w:pStyle w:val="Compact"/>
              <w:jc w:val="left"/>
            </w:pPr>
            <w:r>
              <w:t xml:space="preserve">work together</w:t>
            </w:r>
          </w:p>
        </w:tc>
        <w:tc>
          <w:tcPr/>
          <w:p>
            <w:pPr>
              <w:pStyle w:val="Compact"/>
              <w:jc w:val="left"/>
            </w:pPr>
            <w:r>
              <w:t xml:space="preserve">LEO-3</w:t>
            </w:r>
          </w:p>
        </w:tc>
        <w:tc>
          <w:tcPr/>
          <w:p>
            <w:pPr>
              <w:pStyle w:val="Compact"/>
              <w:jc w:val="left"/>
            </w:pPr>
            <w:r>
              <w:t xml:space="preserve">Human-System Collaboration and Adaptive Systems</w:t>
            </w:r>
          </w:p>
        </w:tc>
      </w:tr>
      <w:tr>
        <w:tc>
          <w:tcPr/>
          <w:p>
            <w:pPr>
              <w:pStyle w:val="Compact"/>
              <w:jc w:val="left"/>
            </w:pPr>
            <w:r>
              <w:t xml:space="preserve">4</w:t>
            </w:r>
          </w:p>
        </w:tc>
        <w:tc>
          <w:tcPr/>
          <w:p>
            <w:pPr>
              <w:pStyle w:val="Compact"/>
              <w:jc w:val="left"/>
            </w:pPr>
            <w:r>
              <w:t xml:space="preserve">Test and Evaluation</w:t>
            </w:r>
          </w:p>
        </w:tc>
        <w:tc>
          <w:tcPr/>
          <w:p>
            <w:pPr>
              <w:pStyle w:val="Compact"/>
              <w:jc w:val="left"/>
            </w:pPr>
            <w:r>
              <w:t xml:space="preserve">show what works</w:t>
            </w:r>
          </w:p>
        </w:tc>
        <w:tc>
          <w:tcPr/>
          <w:p>
            <w:pPr>
              <w:pStyle w:val="Compact"/>
              <w:jc w:val="left"/>
            </w:pPr>
            <w:r>
              <w:t xml:space="preserve">LEO-4</w:t>
            </w:r>
          </w:p>
        </w:tc>
        <w:tc>
          <w:tcPr/>
          <w:p>
            <w:pPr>
              <w:pStyle w:val="Compact"/>
              <w:jc w:val="left"/>
            </w:pPr>
            <w:r>
              <w:t xml:space="preserve">Data, Measurement, and Evaluation</w:t>
            </w:r>
          </w:p>
        </w:tc>
      </w:tr>
      <w:tr>
        <w:tc>
          <w:tcPr/>
          <w:p>
            <w:pPr>
              <w:pStyle w:val="Compact"/>
              <w:jc w:val="left"/>
            </w:pPr>
            <w:r>
              <w:t xml:space="preserve">5</w:t>
            </w:r>
          </w:p>
        </w:tc>
        <w:tc>
          <w:tcPr/>
          <w:p>
            <w:pPr>
              <w:pStyle w:val="Compact"/>
              <w:jc w:val="left"/>
            </w:pPr>
            <w:r>
              <w:t xml:space="preserve">Navigating Sociotechnical Constraints</w:t>
            </w:r>
          </w:p>
        </w:tc>
        <w:tc>
          <w:tcPr/>
          <w:p>
            <w:pPr>
              <w:pStyle w:val="Compact"/>
              <w:jc w:val="left"/>
            </w:pPr>
            <w:r>
              <w:t xml:space="preserve">make it work in the real world</w:t>
            </w:r>
          </w:p>
        </w:tc>
        <w:tc>
          <w:tcPr/>
          <w:p>
            <w:pPr>
              <w:pStyle w:val="Compact"/>
              <w:jc w:val="left"/>
            </w:pPr>
            <w:r>
              <w:t xml:space="preserve">LEO-5</w:t>
            </w:r>
          </w:p>
        </w:tc>
        <w:tc>
          <w:tcPr/>
          <w:p>
            <w:pPr>
              <w:pStyle w:val="Compact"/>
              <w:jc w:val="left"/>
            </w:pPr>
            <w:r>
              <w:t xml:space="preserve">Context and Domain Fluency</w:t>
            </w:r>
          </w:p>
        </w:tc>
      </w:tr>
    </w:tbl>
    <w:p>
      <w:pPr>
        <w:pStyle w:val="BodyText"/>
      </w:pPr>
      <w:r>
        <w:t xml:space="preserve">Each subobjective unbundles an element of the corresponding LEO. Twenty-eight subobjectives: the 21 of v1, the 7 named v2 additions (1.5, 2.5, 3.3, 3.4, 4.4, 4.6, 5.6), and the v2.2 restoration of 3.6. The additions and the explicit renaming of 4.2 (gap attribution) are required elements within the parent LEO. The reframing of</w:t>
      </w:r>
      <w:r>
        <w:t xml:space="preserve"> </w:t>
      </w:r>
      <w:r>
        <w:t xml:space="preserve">“</w:t>
      </w:r>
      <w:r>
        <w:t xml:space="preserve">decision-grade evidence</w:t>
      </w:r>
      <w:r>
        <w:t xml:space="preserve">”</w:t>
      </w:r>
      <w:r>
        <w:t xml:space="preserve"> </w:t>
      </w:r>
      <w:r>
        <w:t xml:space="preserve">as judgment under irreducible uncertainty is carried at 4.3 and 4.4. If any v2 addition creates friction with documentation of record, drop the number and fold the language back; the scheme renumbers cleanly.</w:t>
      </w:r>
    </w:p>
    <w:bookmarkEnd w:id="26"/>
    <w:bookmarkStart w:id="27" w:name="using-the-tags"/>
    <w:p>
      <w:pPr>
        <w:pStyle w:val="Heading1"/>
      </w:pPr>
      <w:r>
        <w:t xml:space="preserve">Using the Tags</w:t>
      </w:r>
    </w:p>
    <w:p>
      <w:pPr>
        <w:pStyle w:val="FirstParagraph"/>
      </w:pPr>
      <w:r>
        <w:t xml:space="preserve">Each subobjective number is a stable tag. Three immediate uses:</w:t>
      </w:r>
    </w:p>
    <w:p>
      <w:pPr>
        <w:pStyle w:val="BodyText"/>
      </w:pPr>
      <w:r>
        <w:rPr>
          <w:bCs/>
          <w:b/>
        </w:rPr>
        <w:t xml:space="preserve">Case studies.</w:t>
      </w:r>
      <w:r>
        <w:t xml:space="preserve"> </w:t>
      </w:r>
      <w:r>
        <w:t xml:space="preserve">Each case in the casebook carries two coordinates: failure mode code(s) from the six-mode taxonomy (T/D/N/H/G/K — what went wrong) and competency tags (what the case teaches). The pairing turns the casebook into a searchable curriculum asset: every course module can pull the cases tagged to its subobjectives.</w:t>
      </w:r>
    </w:p>
    <w:p>
      <w:pPr>
        <w:pStyle w:val="BodyText"/>
      </w:pPr>
      <w:r>
        <w:rPr>
          <w:bCs/>
          <w:b/>
        </w:rPr>
        <w:t xml:space="preserve">Capstone rubrics.</w:t>
      </w:r>
      <w:r>
        <w:t xml:space="preserve"> </w:t>
      </w:r>
      <w:r>
        <w:t xml:space="preserve">Rubric lines reference tags directly (the gap-attribution rubric line assesses 4.2), giving the attainment profile its evidence trail.</w:t>
      </w:r>
    </w:p>
    <w:p>
      <w:pPr>
        <w:pStyle w:val="BodyText"/>
      </w:pPr>
      <w:r>
        <w:rPr>
          <w:bCs/>
          <w:b/>
        </w:rPr>
        <w:t xml:space="preserve">Recruiting and the site.</w:t>
      </w:r>
      <w:r>
        <w:t xml:space="preserve"> </w:t>
      </w:r>
      <w:r>
        <w:t xml:space="preserve">Taglines and main objectives are the public-facing layer for capabilitymatters.org and program one-pagers; formal names carry course documentation; the LEO table stays in the documentation of record.</w:t>
      </w:r>
    </w:p>
    <w:bookmarkEnd w:id="27"/>
    <w:bookmarkStart w:id="28" w:name="the-five-in-one-breath"/>
    <w:p>
      <w:pPr>
        <w:pStyle w:val="Heading1"/>
      </w:pPr>
      <w:r>
        <w:t xml:space="preserve">The five, in one breath</w:t>
      </w:r>
    </w:p>
    <w:p>
      <w:pPr>
        <w:pStyle w:val="FirstParagraph"/>
      </w:pPr>
      <w:r>
        <w:rPr>
          <w:iCs/>
          <w:i/>
        </w:rPr>
        <w:t xml:space="preserve">See the whole system. Build, test, refine. Work together. Show what works. Make it work in the real world.</w:t>
      </w:r>
    </w:p>
    <w:p>
      <w:r>
        <w:pict>
          <v:rect style="width:0;height:1.5pt" o:hralign="center" o:hrstd="t" o:hr="t"/>
        </w:pict>
      </w:r>
    </w:p>
    <w:bookmarkEnd w:id="28"/>
    <w:bookmarkStart w:id="29" w:name="change-log"/>
    <w:p>
      <w:pPr>
        <w:pStyle w:val="Heading1"/>
      </w:pPr>
      <w:r>
        <w:t xml:space="preserve">Change Log</w:t>
      </w:r>
    </w:p>
    <w:p>
      <w:pPr>
        <w:pStyle w:val="FirstParagraph"/>
      </w:pPr>
      <w:r>
        <w:rPr>
          <w:bCs/>
          <w:b/>
        </w:rPr>
        <w:t xml:space="preserve">Terminology note — July 2026.</w:t>
      </w:r>
      <w:r>
        <w:t xml:space="preserve"> </w:t>
      </w:r>
      <w:r>
        <w:t xml:space="preserve">The concentration-level objectives are abbreviated</w:t>
      </w:r>
      <w:r>
        <w:t xml:space="preserve"> </w:t>
      </w:r>
      <w:r>
        <w:rPr>
          <w:bCs/>
          <w:b/>
        </w:rPr>
        <w:t xml:space="preserve">LEO</w:t>
      </w:r>
      <w:r>
        <w:t xml:space="preserve"> </w:t>
      </w:r>
      <w:r>
        <w:t xml:space="preserve">(LENS Educational Objective), not</w:t>
      </w:r>
      <w:r>
        <w:t xml:space="preserve"> </w:t>
      </w:r>
      <w:r>
        <w:t xml:space="preserve">“</w:t>
      </w:r>
      <w:r>
        <w:t xml:space="preserve">CLO.</w:t>
      </w:r>
      <w:r>
        <w:t xml:space="preserve">”</w:t>
      </w:r>
      <w:r>
        <w:t xml:space="preserve"> </w:t>
      </w:r>
      <w:r>
        <w:t xml:space="preserve">“</w:t>
      </w:r>
      <w:r>
        <w:t xml:space="preserve">CLO</w:t>
      </w:r>
      <w:r>
        <w:t xml:space="preserve">”</w:t>
      </w:r>
      <w:r>
        <w:t xml:space="preserve"> </w:t>
      </w:r>
      <w:r>
        <w:t xml:space="preserve">is reserved for</w:t>
      </w:r>
      <w:r>
        <w:t xml:space="preserve"> </w:t>
      </w:r>
      <w:r>
        <w:rPr>
          <w:iCs/>
          <w:i/>
        </w:rPr>
        <w:t xml:space="preserve">course</w:t>
      </w:r>
      <w:r>
        <w:t xml:space="preserve"> </w:t>
      </w:r>
      <w:r>
        <w:t xml:space="preserve">learning objectives and</w:t>
      </w:r>
      <w:r>
        <w:t xml:space="preserve"> </w:t>
      </w:r>
      <w:r>
        <w:t xml:space="preserve">“</w:t>
      </w:r>
      <w:r>
        <w:t xml:space="preserve">MLO</w:t>
      </w:r>
      <w:r>
        <w:t xml:space="preserve">”</w:t>
      </w:r>
      <w:r>
        <w:t xml:space="preserve"> </w:t>
      </w:r>
      <w:r>
        <w:t xml:space="preserve">for</w:t>
      </w:r>
      <w:r>
        <w:t xml:space="preserve"> </w:t>
      </w:r>
      <w:r>
        <w:rPr>
          <w:iCs/>
          <w:i/>
        </w:rPr>
        <w:t xml:space="preserve">module</w:t>
      </w:r>
      <w:r>
        <w:t xml:space="preserve"> </w:t>
      </w:r>
      <w:r>
        <w:t xml:space="preserve">learning objectives; see doc 2 §4 for the full PLO → LEO → CLO → MLO hierarchy. This is an abbreviation/framing change only — no competency content changed.</w:t>
      </w:r>
    </w:p>
    <w:p>
      <w:pPr>
        <w:pStyle w:val="BodyText"/>
      </w:pPr>
      <w:r>
        <w:rPr>
          <w:bCs/>
          <w:b/>
        </w:rPr>
        <w:t xml:space="preserve">v2.2 — July 2026</w:t>
      </w:r>
      <w:r>
        <w:t xml:space="preserve"> </w:t>
      </w:r>
      <w:r>
        <w:rPr>
          <w:iCs/>
          <w:i/>
        </w:rPr>
        <w:t xml:space="preserve">(current)</w:t>
      </w:r>
      <w:r>
        <w:t xml:space="preserve"> </w:t>
      </w:r>
      <w:r>
        <w:t xml:space="preserve">-</w:t>
      </w:r>
      <w:r>
        <w:t xml:space="preserve"> </w:t>
      </w:r>
      <w:r>
        <w:rPr>
          <w:bCs/>
          <w:b/>
        </w:rPr>
        <w:t xml:space="preserve">3.6 restored.</w:t>
      </w:r>
      <w:r>
        <w:t xml:space="preserve"> </w:t>
      </w:r>
      <w:r>
        <w:rPr>
          <w:iCs/>
          <w:i/>
        </w:rPr>
        <w:t xml:space="preserve">Communicate evidence-based recommendations for when system augmentation improves versus degrades capability outcomes and operator agency.</w:t>
      </w:r>
      <w:r>
        <w:t xml:space="preserve"> </w:t>
      </w:r>
      <w:r>
        <w:t xml:space="preserve">The v2.1 sweep dropped the v1 5.3 subobjective with no change-log entry; the concept survived in doc 2’s LEO-3 prose and lost its number. Found by arithmetic: v1 had 21 subobjectives, v2.1 named 7 additions, and v2.1 has 27 rather than 28.</w:t>
      </w:r>
      <w:r>
        <w:t xml:space="preserve"> </w:t>
      </w:r>
      <w:r>
        <w:rPr>
          <w:bCs/>
          <w:b/>
        </w:rPr>
        <w:t xml:space="preserve">Change-log discipline is what stops this recurring: a deletion is a change and needs an entry.</w:t>
      </w:r>
      <w:r>
        <w:t xml:space="preserve"> </w:t>
      </w:r>
      <w:r>
        <w:t xml:space="preserve">- Wording generalized from v1 (</w:t>
      </w:r>
      <w:r>
        <w:t xml:space="preserve">“</w:t>
      </w:r>
      <w:r>
        <w:t xml:space="preserve">AI augmentation</w:t>
      </w:r>
      <w:r>
        <w:t xml:space="preserve">”</w:t>
      </w:r>
      <w:r>
        <w:t xml:space="preserve">) to</w:t>
      </w:r>
      <w:r>
        <w:t xml:space="preserve"> </w:t>
      </w:r>
      <w:r>
        <w:t xml:space="preserve">“</w:t>
      </w:r>
      <w:r>
        <w:t xml:space="preserve">system augmentation,</w:t>
      </w:r>
      <w:r>
        <w:t xml:space="preserve">”</w:t>
      </w:r>
      <w:r>
        <w:t xml:space="preserve"> </w:t>
      </w:r>
      <w:r>
        <w:t xml:space="preserve">matching v2.1’s broadening of LEO-3 from machine teaming to human-system collaboration.</w:t>
      </w:r>
      <w:r>
        <w:t xml:space="preserve"> </w:t>
      </w:r>
      <w:r>
        <w:t xml:space="preserve">- Carried by LEN 2, which assesses it at 20% (recommendation memo).</w:t>
      </w:r>
      <w:r>
        <w:t xml:space="preserve"> </w:t>
      </w:r>
      <w:r>
        <w:t xml:space="preserve">- No other content changes. Domain names, ordering, and subobjectives 1.1–5.6 are unchanged from v2.1.</w:t>
      </w:r>
    </w:p>
    <w:p>
      <w:pPr>
        <w:pStyle w:val="BodyText"/>
      </w:pPr>
      <w:r>
        <w:rPr>
          <w:bCs/>
          <w:b/>
        </w:rPr>
        <w:t xml:space="preserve">v2.1 — June 2026</w:t>
      </w:r>
      <w:r>
        <w:t xml:space="preserve"> </w:t>
      </w:r>
      <w:r>
        <w:rPr>
          <w:iCs/>
          <w:i/>
        </w:rPr>
        <w:t xml:space="preserve">(superseded by v2.2; content otherwise current)</w:t>
      </w:r>
      <w:r>
        <w:t xml:space="preserve"> </w:t>
      </w:r>
      <w:r>
        <w:t xml:space="preserve">-</w:t>
      </w:r>
      <w:r>
        <w:t xml:space="preserve"> </w:t>
      </w:r>
      <w:r>
        <w:rPr>
          <w:bCs/>
          <w:b/>
        </w:rPr>
        <w:t xml:space="preserve">D3 reorder + rename.</w:t>
      </w:r>
      <w:r>
        <w:t xml:space="preserve"> </w:t>
      </w:r>
      <w:r>
        <w:t xml:space="preserve">What was D5 (Machine Teaming and Adaptation) is broadened to</w:t>
      </w:r>
      <w:r>
        <w:t xml:space="preserve"> </w:t>
      </w:r>
      <w:r>
        <w:rPr>
          <w:bCs/>
          <w:b/>
        </w:rPr>
        <w:t xml:space="preserve">Human-System Collaboration</w:t>
      </w:r>
      <w:r>
        <w:t xml:space="preserve"> </w:t>
      </w:r>
      <w:r>
        <w:t xml:space="preserve">and moved to position 3. T&amp;E becomes D4 (was D3); Sociotechnical Constraints becomes D5 (was D4). The order now reads as the flywheel: see the system → build → integrate humans → measure → deploy.</w:t>
      </w:r>
      <w:r>
        <w:t xml:space="preserve"> </w:t>
      </w:r>
      <w:r>
        <w:t xml:space="preserve">-</w:t>
      </w:r>
      <w:r>
        <w:t xml:space="preserve"> </w:t>
      </w:r>
      <w:r>
        <w:rPr>
          <w:bCs/>
          <w:b/>
        </w:rPr>
        <w:t xml:space="preserve">7 new subobjectives</w:t>
      </w:r>
      <w:r>
        <w:t xml:space="preserve"> </w:t>
      </w:r>
      <w:r>
        <w:t xml:space="preserve">(v2 sweep additions):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1 renamed subobjective:</w:t>
      </w:r>
      <w:r>
        <w:t xml:space="preserve"> </w:t>
      </w:r>
      <w:r>
        <w:t xml:space="preserve">4.2 explicitly named</w:t>
      </w:r>
      <w:r>
        <w:t xml:space="preserve"> </w:t>
      </w:r>
      <w:r>
        <w:t xml:space="preserve">“</w:t>
      </w:r>
      <w:r>
        <w:t xml:space="preserve">gap attribution</w:t>
      </w:r>
      <w:r>
        <w:t xml:space="preserve">”</w:t>
      </w:r>
      <w:r>
        <w:t xml:space="preserve"> </w:t>
      </w:r>
      <w:r>
        <w:t xml:space="preserve">(was the existing</w:t>
      </w:r>
      <w:r>
        <w:t xml:space="preserve"> </w:t>
      </w:r>
      <w:r>
        <w:t xml:space="preserve">“</w:t>
      </w:r>
      <w:r>
        <w:t xml:space="preserve">diagnose the gap</w:t>
      </w:r>
      <w:r>
        <w:t xml:space="preserve">”</w:t>
      </w:r>
      <w:r>
        <w:t xml:space="preserv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 made explicit at 4.3 and 4.4.</w:t>
      </w:r>
      <w:r>
        <w:t xml:space="preserve"> </w:t>
      </w:r>
      <w:r>
        <w:t xml:space="preserve">-</w:t>
      </w:r>
      <w:r>
        <w:t xml:space="preserve"> </w:t>
      </w:r>
      <w:r>
        <w:rPr>
          <w:bCs/>
          <w:b/>
        </w:rPr>
        <w:t xml:space="preserve">New tagline:</w:t>
      </w:r>
      <w:r>
        <w:t xml:space="preserve"> </w:t>
      </w:r>
      <w:r>
        <w:t xml:space="preserve">D3 carries</w:t>
      </w:r>
      <w:r>
        <w:t xml:space="preserve"> </w:t>
      </w:r>
      <w:r>
        <w:t xml:space="preserve">“</w:t>
      </w:r>
      <w:r>
        <w:t xml:space="preserve">work together</w:t>
      </w:r>
      <w:r>
        <w:t xml:space="preserve">”</w:t>
      </w:r>
      <w:r>
        <w:t xml:space="preserve"> </w:t>
      </w:r>
      <w:r>
        <w:t xml:space="preserve">(parallel to the other four).</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The casebook field remap from v1 codes (D3↔D4 swap, D5→D3) ships in the corresponding casebook update.</w:t>
      </w:r>
    </w:p>
    <w:p>
      <w:pPr>
        <w:pStyle w:val="BodyText"/>
      </w:pPr>
      <w:r>
        <w:rPr>
          <w:bCs/>
          <w:b/>
        </w:rPr>
        <w:t xml:space="preserve">v2.0 — May 2026</w:t>
      </w:r>
      <w:r>
        <w:t xml:space="preserve"> </w:t>
      </w:r>
      <w:r>
        <w:rPr>
          <w:iCs/>
          <w:i/>
        </w:rPr>
        <w:t xml:space="preserve">(superseded by v2.1; never adopted standalone)</w:t>
      </w:r>
      <w:r>
        <w:t xml:space="preserve"> </w:t>
      </w:r>
      <w:r>
        <w:t xml:space="preserve">- Drafted in</w:t>
      </w:r>
      <w:r>
        <w:t xml:space="preserve"> </w:t>
      </w:r>
      <w:r>
        <w:rPr>
          <w:rStyle w:val="VerbatimChar"/>
        </w:rPr>
        <w:t xml:space="preserve">v2_research/01_LENS_revised_competencies_and_CLOs.md</w:t>
      </w:r>
      <w:r>
        <w:t xml:space="preserve">. Renamed D2 → Learning Engineering Design, D4 → Context &amp; Domain Fluency, D5 → Emerging Systems &amp; Futures. Added the 7 subobjectives above (originally framed as</w:t>
      </w:r>
      <w:r>
        <w:t xml:space="preserve"> </w:t>
      </w:r>
      <w:r>
        <w:t xml:space="preserve">“</w:t>
      </w:r>
      <w:r>
        <w:t xml:space="preserve">new LEOs</w:t>
      </w:r>
      <w:r>
        <w:t xml:space="preserve">”</w:t>
      </w:r>
      <w:r>
        <w:t xml:space="preserve"> </w:t>
      </w:r>
      <w:r>
        <w:t xml:space="preserve">— refactored to subobjective level in v2.1 since they’re sub-LEO-grain). Reframed decision-grade evidence.</w:t>
      </w:r>
    </w:p>
    <w:p>
      <w:pPr>
        <w:pStyle w:val="BodyText"/>
      </w:pPr>
      <w:r>
        <w:rPr>
          <w:bCs/>
          <w:b/>
        </w:rPr>
        <w:t xml:space="preserve">v1 — March 2026</w:t>
      </w:r>
      <w:r>
        <w:t xml:space="preserve"> </w:t>
      </w:r>
      <w:r>
        <w:rPr>
          <w:iCs/>
          <w:i/>
        </w:rPr>
        <w:t xml:space="preserve">(initial)</w:t>
      </w:r>
      <w:r>
        <w:t xml:space="preserve"> </w:t>
      </w:r>
      <w:r>
        <w:t xml:space="preserve">- Five competencies: Systems Analysis · Iterative Development · Test and Evaluation · Navigating Sociotechnical Constraints · Machine Teaming and Adaptation. Subobjectives 1.1–5.4. Prior prose retrievable via</w:t>
      </w:r>
      <w:r>
        <w:t xml:space="preserve"> </w:t>
      </w:r>
      <w:r>
        <w:rPr>
          <w:rStyle w:val="VerbatimChar"/>
        </w:rPr>
        <w:t xml:space="preserve">git log --follow lens_program/1_LENS_Five_Competencies.md</w:t>
      </w:r>
      <w:r>
        <w:t xml:space="preserve">.</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2026-07-17T18:23:29Z</dcterms:created>
  <dcterms:modified xsi:type="dcterms:W3CDTF">2026-07-17T18:23:29Z</dcterms:modified>
</cp:coreProperties>
</file>

<file path=docProps/custom.xml><?xml version="1.0" encoding="utf-8"?>
<Properties xmlns="http://schemas.openxmlformats.org/officeDocument/2006/custom-properties" xmlns:vt="http://schemas.openxmlformats.org/officeDocument/2006/docPropsVTypes"/>
</file>