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LENS and the ICICLE</w:t>
      </w:r>
      <w:r>
        <w:t xml:space="preserve"> </w:t>
      </w:r>
      <w:r>
        <w:rPr>
          <w:i/>
          <w:iCs/>
        </w:rPr>
        <w:t xml:space="preserve">Essential Competencies for Learning Engineering Practice</w:t>
      </w:r>
    </w:p>
    <w:p>
      <w:pPr>
        <w:pStyle w:val="BodyText"/>
      </w:pPr>
      <w:r>
        <w:t xml:space="preserve">Full competency-level crosswalk and coverage analysis</w:t>
      </w:r>
    </w:p>
    <w:p>
      <w:pPr>
        <w:pStyle w:val="BodyText"/>
      </w:pPr>
      <w:r>
        <w:t xml:space="preserve">Working document for the ICICLE Competencies, Credentials and Curriculum SIG conversation. Internal draft; Chatham House attribution conventions apply. Not a document of record:</w:t>
      </w:r>
      <w:r>
        <w:t xml:space="preserve"> </w:t>
      </w:r>
      <w:r>
        <w:rPr>
          <w:b/>
          <w:bCs/>
        </w:rPr>
        <w:t xml:space="preserve">docs 1 and 2 win wherever they and this disagree.</w:t>
      </w:r>
    </w:p>
    <w:bookmarkStart w:id="9" w:name="purpose"/>
    <w:p>
      <w:pPr>
        <w:pStyle w:val="Heading1"/>
      </w:pPr>
      <w:r>
        <w:t xml:space="preserve">Purpose</w:t>
      </w:r>
    </w:p>
    <w:p>
      <w:pPr>
        <w:pStyle w:val="FirstParagraph"/>
      </w:pPr>
      <w:r>
        <w:t xml:space="preserve">This maps every one of the</w:t>
      </w:r>
      <w:r>
        <w:t xml:space="preserve"> </w:t>
      </w:r>
      <w:r>
        <w:rPr>
          <w:b/>
          <w:bCs/>
        </w:rPr>
        <w:t xml:space="preserve">42 competencies</w:t>
      </w:r>
      <w:r>
        <w:t xml:space="preserve"> </w:t>
      </w:r>
      <w:r>
        <w:t xml:space="preserve">in the ICICLE CCC SIG working draft</w:t>
      </w:r>
      <w:r>
        <w:t xml:space="preserve"> </w:t>
      </w:r>
      <w:r>
        <w:rPr>
          <w:i/>
          <w:iCs/>
        </w:rPr>
        <w:t xml:space="preserve">Essential Competencies for Learning Engineering Practice</w:t>
      </w:r>
      <w:r>
        <w:t xml:space="preserve"> </w:t>
      </w:r>
      <w:r>
        <w:t xml:space="preserve">(the midwifery-modeled document: five categories with a cross-functional Category 1, Individual/Team/Situational tiers, 200 indicators) against the five LENS competency domains (LEO-1 through LEO-5) and their 28 subobjectives, at the grain of the LEN 1–10 course homes fixed in doc 2 v2.4.</w:t>
      </w:r>
    </w:p>
    <w:p>
      <w:pPr>
        <w:pStyle w:val="BodyText"/>
      </w:pPr>
      <w:r>
        <w:t xml:space="preserve">It is a different artifact from</w:t>
      </w:r>
      <w:r>
        <w:t xml:space="preserve"> </w:t>
      </w:r>
      <w:r>
        <w:rPr>
          <w:rStyle w:val="VerbatimChar"/>
        </w:rPr>
        <w:t xml:space="preserve">4_LENS_LECF_Crosswalk.md</w:t>
      </w:r>
      <w:r>
        <w:t xml:space="preserve">, which maps LENS to the</w:t>
      </w:r>
      <w:r>
        <w:t xml:space="preserve"> </w:t>
      </w:r>
      <w:r>
        <w:rPr>
          <w:b/>
          <w:bCs/>
        </w:rPr>
        <w:t xml:space="preserve">nine-domain LECF</w:t>
      </w:r>
      <w:r>
        <w:t xml:space="preserve"> </w:t>
      </w:r>
      <w:r>
        <w:t xml:space="preserve">synthesis prepared for the IEEE standards pathway. That document works at domain grain against a nine-domain framework; this one works at competency grain against a 42-competency framework. Both feed the same SIG conversation.</w:t>
      </w:r>
    </w:p>
    <w:p>
      <w:pPr>
        <w:pStyle w:val="BodyText"/>
      </w:pPr>
      <w:r>
        <w:t xml:space="preserve">The question it answers is the editor’s:</w:t>
      </w:r>
      <w:r>
        <w:t xml:space="preserve"> </w:t>
      </w:r>
      <w:r>
        <w:rPr>
          <w:i/>
          <w:iCs/>
        </w:rPr>
        <w:t xml:space="preserve">of the 42, which does a LENS graduate not pick up somewhere in the required curriculum?</w:t>
      </w:r>
    </w:p>
    <w:bookmarkEnd w:id="9"/>
    <w:bookmarkStart w:id="10" w:name="headline"/>
    <w:p>
      <w:pPr>
        <w:pStyle w:val="Heading1"/>
      </w:pPr>
      <w:r>
        <w:t xml:space="preserve">Headline</w:t>
      </w:r>
    </w:p>
    <w:p>
      <w:pPr>
        <w:pStyle w:val="FirstParagraph"/>
      </w:pPr>
      <w:r>
        <w:rPr>
          <w:i/>
          <w:iCs/>
        </w:rPr>
        <w:t xml:space="preserve">Updated for LENS doc 1 v2.5 / doc 2 v2.7 (July 2026): added subobjectives 2.6/3.7 (enable the people who deliver, 5.c), 4.7 (appraise primary research, 3.c), 2.7 (accessibility and inclusion, 3.j), 4.8 (assessment before content, 3.k); made project/program management a LEN 10 capstone competency (1.i); routed 3.f to a university elective; added light-touch course clauses (data standards → 4.a, TCO → 5.e, capability-over-time → 6.b). Original as-found counts were 27 / 10 / 5. Graduate levels are in the companion</w:t>
      </w:r>
      <w:r>
        <w:rPr>
          <w:i/>
          <w:iCs/>
        </w:rPr>
        <w:t xml:space="preserve"> </w:t>
      </w:r>
      <w:r>
        <w:rPr>
          <w:rStyle w:val="VerbatimChar"/>
          <w:i/>
          <w:iCs/>
        </w:rPr>
        <w:t xml:space="preserve">8_LENS_Attainment_Profile.md</w:t>
      </w:r>
      <w:r>
        <w:rPr>
          <w:i/>
          <w:iCs/>
        </w:rPr>
        <w:t xml:space="preserve">.</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p>
        </w:tc>
        <w:tc>
          <w:tcPr/>
          <w:p>
            <w:pPr>
              <w:pStyle w:val="Compact"/>
              <w:jc w:val="center"/>
            </w:pPr>
            <w:r>
              <w:t xml:space="preserve">Count</w:t>
            </w:r>
          </w:p>
        </w:tc>
        <w:tc>
          <w:tcPr/>
          <w:p>
            <w:pPr>
              <w:pStyle w:val="Compact"/>
              <w:jc w:val="center"/>
            </w:pPr>
            <w:r>
              <w:t xml:space="preserve">Of which Individual (17)</w:t>
            </w:r>
          </w:p>
        </w:tc>
        <w:tc>
          <w:tcPr/>
          <w:p>
            <w:pPr>
              <w:pStyle w:val="Compact"/>
              <w:jc w:val="center"/>
            </w:pPr>
            <w:r>
              <w:t xml:space="preserve">Of which Team (25)</w:t>
            </w:r>
          </w:p>
        </w:tc>
      </w:tr>
      <w:tr>
        <w:tc>
          <w:tcPr/>
          <w:p>
            <w:pPr>
              <w:pStyle w:val="Compact"/>
            </w:pPr>
            <w:r>
              <w:rPr>
                <w:b/>
                <w:bCs/>
              </w:rPr>
              <w:t xml:space="preserve">● Covered</w:t>
            </w:r>
            <w:r>
              <w:t xml:space="preserve"> </w:t>
            </w:r>
            <w:r>
              <w:t xml:space="preserve">— a LEO subobjective or required course names it</w:t>
            </w:r>
          </w:p>
        </w:tc>
        <w:tc>
          <w:tcPr/>
          <w:p>
            <w:pPr>
              <w:pStyle w:val="Compact"/>
              <w:jc w:val="center"/>
            </w:pPr>
            <w:r>
              <w:t xml:space="preserve">33</w:t>
            </w:r>
          </w:p>
        </w:tc>
        <w:tc>
          <w:tcPr/>
          <w:p>
            <w:pPr>
              <w:pStyle w:val="Compact"/>
              <w:jc w:val="center"/>
            </w:pPr>
            <w:r>
              <w:t xml:space="preserve">17</w:t>
            </w:r>
          </w:p>
        </w:tc>
        <w:tc>
          <w:tcPr/>
          <w:p>
            <w:pPr>
              <w:pStyle w:val="Compact"/>
              <w:jc w:val="center"/>
            </w:pPr>
            <w:r>
              <w:t xml:space="preserve">16</w:t>
            </w:r>
          </w:p>
        </w:tc>
      </w:tr>
      <w:tr>
        <w:tc>
          <w:tcPr/>
          <w:p>
            <w:pPr>
              <w:pStyle w:val="Compact"/>
            </w:pPr>
            <w:r>
              <w:rPr>
                <w:b/>
                <w:bCs/>
              </w:rPr>
              <w:t xml:space="preserve">◐ Partial</w:t>
            </w:r>
            <w:r>
              <w:t xml:space="preserve"> </w:t>
            </w:r>
            <w:r>
              <w:t xml:space="preserve">— present but as a thread, a PLO, or an elective, not a named LEO</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6</w:t>
            </w:r>
          </w:p>
        </w:tc>
      </w:tr>
      <w:tr>
        <w:tc>
          <w:tcPr/>
          <w:p>
            <w:pPr>
              <w:pStyle w:val="Compact"/>
            </w:pPr>
            <w:r>
              <w:rPr>
                <w:b/>
                <w:bCs/>
              </w:rPr>
              <w:t xml:space="preserve">○ Gap</w:t>
            </w:r>
            <w:r>
              <w:t xml:space="preserve"> </w:t>
            </w:r>
            <w:r>
              <w:t xml:space="preserve">— recorded as deliberate scope, not covered</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w:t>
            </w:r>
          </w:p>
        </w:tc>
      </w:tr>
    </w:tbl>
    <w:p>
      <w:pPr>
        <w:pStyle w:val="BodyText"/>
      </w:pPr>
      <w:r>
        <w:rPr>
          <w:b/>
          <w:bCs/>
        </w:rPr>
        <w:t xml:space="preserve">The floor holds completely.</w:t>
      </w:r>
      <w:r>
        <w:t xml:space="preserve"> </w:t>
      </w:r>
      <w:r>
        <w:t xml:space="preserve">All 17 Individual competencies — the framework’s non-distributable floor, what it means to</w:t>
      </w:r>
      <w:r>
        <w:t xml:space="preserve"> </w:t>
      </w:r>
      <w:r>
        <w:rPr>
          <w:i/>
          <w:iCs/>
        </w:rPr>
        <w:t xml:space="preserve">be</w:t>
      </w:r>
      <w:r>
        <w:t xml:space="preserve"> </w:t>
      </w:r>
      <w:r>
        <w:t xml:space="preserve">a learning engineer — are covered. The two former floor gaps were closed: 5.c (enable the people who deliver) in v2.3 as subobjectives 2.6/3.7, and 3.c (read and judge research) in v2.4 as subobjective 4.7. No partial and no gap now falls on the Individual tier.</w:t>
      </w:r>
    </w:p>
    <w:p>
      <w:pPr>
        <w:pStyle w:val="BodyText"/>
      </w:pPr>
      <w:r>
        <w:rPr>
          <w:b/>
          <w:bCs/>
        </w:rPr>
        <w:t xml:space="preserve">Every remaining gap is Team-tier and recorded as deliberate scope.</w:t>
      </w:r>
      <w:r>
        <w:t xml:space="preserve"> </w:t>
      </w:r>
      <w:r>
        <w:t xml:space="preserve">The three — 1.j, 4.c, 4.d — are competencies the framework itself says</w:t>
      </w:r>
      <w:r>
        <w:t xml:space="preserve"> </w:t>
      </w:r>
      <w:r>
        <w:t xml:space="preserve">“must be present somewhere in the effort but need not be in any one person.”</w:t>
      </w:r>
      <w:r>
        <w:t xml:space="preserve"> </w:t>
      </w:r>
      <w:r>
        <w:t xml:space="preserve">LENS states the same posture: it</w:t>
      </w:r>
      <w:r>
        <w:t xml:space="preserve"> </w:t>
      </w:r>
      <w:r>
        <w:t xml:space="preserve">“develops integrators who can lead and work within learning engineering teams… no individual is expected to hold every competency of the field.”</w:t>
      </w:r>
      <w:r>
        <w:t xml:space="preserve"> </w:t>
      </w:r>
      <w:r>
        <w:t xml:space="preserve">Per the editor decision (v2.5), these are recorded as awareness/out-of-scope in the attainment profile (</w:t>
      </w:r>
      <w:r>
        <w:rPr>
          <w:rStyle w:val="VerbatimChar"/>
        </w:rPr>
        <w:t xml:space="preserve">4_LENS_LECF_Crosswalk.md</w:t>
      </w:r>
      <w:r>
        <w:t xml:space="preserve"> </w:t>
      </w:r>
      <w:r>
        <w:t xml:space="preserve">R2) rather than backfilled into a 30-credit concentration. Project/program management (former gap 1.i) is now exercised and evidenced in the LEN 10 capstone.</w:t>
      </w:r>
    </w:p>
    <w:bookmarkEnd w:id="10"/>
    <w:bookmarkStart w:id="12" w:name="X03d813732934f81fc7404a2e04124b239481706"/>
    <w:p>
      <w:pPr>
        <w:pStyle w:val="Heading1"/>
      </w:pPr>
      <w:r>
        <w:t xml:space="preserve">The three remaining gaps — all deliberate Team-tier scope</w:t>
      </w:r>
    </w:p>
    <w:p>
      <w:pPr>
        <w:pStyle w:val="Compact"/>
        <w:numPr>
          <w:ilvl w:val="0"/>
          <w:numId w:val="1001"/>
        </w:numPr>
      </w:pPr>
      <w:r>
        <w:rPr>
          <w:b/>
          <w:bCs/>
        </w:rPr>
        <w:t xml:space="preserve">1.j Develop other practitioners</w:t>
      </w:r>
      <w:r>
        <w:t xml:space="preserve"> </w:t>
      </w:r>
      <w:r>
        <w:rPr>
          <w:i/>
          <w:iCs/>
        </w:rPr>
        <w:t xml:space="preserve">(Team)</w:t>
      </w:r>
      <w:r>
        <w:t xml:space="preserve"> </w:t>
      </w:r>
      <w:r>
        <w:t xml:space="preserve">— coach/mentor colleagues, make reasoning visible, develop others. LENS develops the graduate; the graduate developing</w:t>
      </w:r>
      <w:r>
        <w:t xml:space="preserve"> </w:t>
      </w:r>
      <w:r>
        <w:rPr>
          <w:i/>
          <w:iCs/>
        </w:rPr>
        <w:t xml:space="preserve">others</w:t>
      </w:r>
      <w:r>
        <w:t xml:space="preserve"> </w:t>
      </w:r>
      <w:r>
        <w:t xml:space="preserve">is not an objective. → Awareness tier.</w:t>
      </w:r>
    </w:p>
    <w:p>
      <w:pPr>
        <w:pStyle w:val="Compact"/>
        <w:numPr>
          <w:ilvl w:val="0"/>
          <w:numId w:val="1001"/>
        </w:numPr>
      </w:pPr>
      <w:r>
        <w:rPr>
          <w:b/>
          <w:bCs/>
        </w:rPr>
        <w:t xml:space="preserve">4.c Select and integrate the tools and technology</w:t>
      </w:r>
      <w:r>
        <w:t xml:space="preserve"> </w:t>
      </w:r>
      <w:r>
        <w:rPr>
          <w:i/>
          <w:iCs/>
        </w:rPr>
        <w:t xml:space="preserve">(Team)</w:t>
      </w:r>
      <w:r>
        <w:t xml:space="preserve"> </w:t>
      </w:r>
      <w:r>
        <w:t xml:space="preserve">— software engineering, LMS/platform configuration and administration, systems integration, ecosystem architecture. LEN 9 is</w:t>
      </w:r>
      <w:r>
        <w:t xml:space="preserve"> </w:t>
      </w:r>
      <w:r>
        <w:rPr>
          <w:i/>
          <w:iCs/>
        </w:rPr>
        <w:t xml:space="preserve">computational/AI methods</w:t>
      </w:r>
      <w:r>
        <w:t xml:space="preserve"> </w:t>
      </w:r>
      <w:r>
        <w:t xml:space="preserve">(NLP, ML learner-modeling, LLM-as-judge), not platform/software engineering. → Out of scope; a graduate briefs this specialist (1.b) rather than being one.</w:t>
      </w:r>
    </w:p>
    <w:p>
      <w:pPr>
        <w:pStyle w:val="Compact"/>
        <w:numPr>
          <w:ilvl w:val="0"/>
          <w:numId w:val="1001"/>
        </w:numPr>
      </w:pPr>
      <w:r>
        <w:rPr>
          <w:b/>
          <w:bCs/>
        </w:rPr>
        <w:t xml:space="preserve">4.d Develop the content and media</w:t>
      </w:r>
      <w:r>
        <w:t xml:space="preserve"> </w:t>
      </w:r>
      <w:r>
        <w:rPr>
          <w:i/>
          <w:iCs/>
        </w:rPr>
        <w:t xml:space="preserve">(Team)</w:t>
      </w:r>
      <w:r>
        <w:t xml:space="preserve"> </w:t>
      </w:r>
      <w:r>
        <w:t xml:space="preserve">— produce (or direct) learning content and media, curate and version, select modality. LENS positions itself as engineers/integrators, not producers. → Out of scope; the sibling LXD concentration owns production.</w:t>
      </w:r>
    </w:p>
    <w:bookmarkStart w:id="11" w:name="closed-since-the-as-found-analysis"/>
    <w:p>
      <w:pPr>
        <w:pStyle w:val="Heading2"/>
      </w:pPr>
      <w:r>
        <w:t xml:space="preserve">Closed since the as-found analysis</w:t>
      </w:r>
    </w:p>
    <w:p>
      <w:pPr>
        <w:pStyle w:val="Compact"/>
        <w:numPr>
          <w:ilvl w:val="0"/>
          <w:numId w:val="1002"/>
        </w:numPr>
      </w:pPr>
      <w:r>
        <w:rPr>
          <w:b/>
          <w:bCs/>
        </w:rPr>
        <w:t xml:space="preserve">5.c Enable the people who deliver</w:t>
      </w:r>
      <w:r>
        <w:t xml:space="preserve"> </w:t>
      </w:r>
      <w:r>
        <w:rPr>
          <w:i/>
          <w:iCs/>
        </w:rPr>
        <w:t xml:space="preserve">(Individual)</w:t>
      </w:r>
      <w:r>
        <w:t xml:space="preserve"> </w:t>
      </w:r>
      <w:r>
        <w:t xml:space="preserve">— a former floor gap. Closed in doc 1 v2.3 as</w:t>
      </w:r>
      <w:r>
        <w:t xml:space="preserve"> </w:t>
      </w:r>
      <w:r>
        <w:rPr>
          <w:b/>
          <w:bCs/>
        </w:rPr>
        <w:t xml:space="preserve">2.6</w:t>
      </w:r>
      <w:r>
        <w:t xml:space="preserve"> </w:t>
      </w:r>
      <w:r>
        <w:t xml:space="preserve">(design the support layer so delivery does not depend on the designer — job aids, point-of-need support, train-the-trainer) and</w:t>
      </w:r>
      <w:r>
        <w:t xml:space="preserve"> </w:t>
      </w:r>
      <w:r>
        <w:rPr>
          <w:b/>
          <w:bCs/>
        </w:rPr>
        <w:t xml:space="preserve">3.7</w:t>
      </w:r>
      <w:r>
        <w:t xml:space="preserve"> </w:t>
      </w:r>
      <w:r>
        <w:t xml:space="preserve">(the deliverer as a designed-for role in the human-system collaboration). Taught in LEN 6 (2.6) and LEN 2 (3.7), deepened in LEN 8, assessed in LEN 10.</w:t>
      </w:r>
    </w:p>
    <w:p>
      <w:pPr>
        <w:pStyle w:val="Compact"/>
        <w:numPr>
          <w:ilvl w:val="0"/>
          <w:numId w:val="1002"/>
        </w:numPr>
      </w:pPr>
      <w:r>
        <w:rPr>
          <w:b/>
          <w:bCs/>
        </w:rPr>
        <w:t xml:space="preserve">3.c Read and judge research</w:t>
      </w:r>
      <w:r>
        <w:t xml:space="preserve"> </w:t>
      </w:r>
      <w:r>
        <w:rPr>
          <w:i/>
          <w:iCs/>
        </w:rPr>
        <w:t xml:space="preserve">(Individual)</w:t>
      </w:r>
      <w:r>
        <w:t xml:space="preserve"> </w:t>
      </w:r>
      <w:r>
        <w:t xml:space="preserve">— the last near-covered floor competency. Closed in doc 1 v2.4 as</w:t>
      </w:r>
      <w:r>
        <w:t xml:space="preserve"> </w:t>
      </w:r>
      <w:r>
        <w:rPr>
          <w:b/>
          <w:bCs/>
        </w:rPr>
        <w:t xml:space="preserve">4.7</w:t>
      </w:r>
      <w:r>
        <w:t xml:space="preserve"> </w:t>
      </w:r>
      <w:r>
        <w:t xml:space="preserve">(appraise a primary study’s method and the validity of its claims; communicate what it does and does not support). Taught and assessed in LEN 4. The Individual tier is now fully at practitioner level.</w:t>
      </w:r>
    </w:p>
    <w:p>
      <w:pPr>
        <w:pStyle w:val="Compact"/>
        <w:numPr>
          <w:ilvl w:val="0"/>
          <w:numId w:val="1002"/>
        </w:numPr>
      </w:pPr>
      <w:r>
        <w:rPr>
          <w:b/>
          <w:bCs/>
        </w:rPr>
        <w:t xml:space="preserve">1.i Manage the work</w:t>
      </w:r>
      <w:r>
        <w:t xml:space="preserve"> </w:t>
      </w:r>
      <w:r>
        <w:rPr>
          <w:i/>
          <w:iCs/>
        </w:rPr>
        <w:t xml:space="preserve">(Team)</w:t>
      </w:r>
      <w:r>
        <w:t xml:space="preserve"> </w:t>
      </w:r>
      <w:r>
        <w:t xml:space="preserve">— answered in doc 2 v2.5 by making project/program management (plan, budget, timeline, resources, versioning, progress reporting) an explicit</w:t>
      </w:r>
      <w:r>
        <w:t xml:space="preserve"> </w:t>
      </w:r>
      <w:r>
        <w:rPr>
          <w:b/>
          <w:bCs/>
        </w:rPr>
        <w:t xml:space="preserve">LEN 10 capstone</w:t>
      </w:r>
      <w:r>
        <w:t xml:space="preserve"> </w:t>
      </w:r>
      <w:r>
        <w:t xml:space="preserve">competency, exercised and evidenced rather than taught as a standalone domain.</w:t>
      </w:r>
    </w:p>
    <w:p>
      <w:pPr>
        <w:pStyle w:val="Compact"/>
        <w:numPr>
          <w:ilvl w:val="0"/>
          <w:numId w:val="1002"/>
        </w:numPr>
      </w:pPr>
      <w:r>
        <w:rPr>
          <w:b/>
          <w:bCs/>
        </w:rPr>
        <w:t xml:space="preserve">3.f Run a study + human-subjects/IRB</w:t>
      </w:r>
      <w:r>
        <w:t xml:space="preserve"> </w:t>
      </w:r>
      <w:r>
        <w:rPr>
          <w:i/>
          <w:iCs/>
        </w:rPr>
        <w:t xml:space="preserve">(Team)</w:t>
      </w:r>
      <w:r>
        <w:t xml:space="preserve"> </w:t>
      </w:r>
      <w:r>
        <w:t xml:space="preserve">— held at</w:t>
      </w:r>
      <w:r>
        <w:t xml:space="preserve"> </w:t>
      </w:r>
      <w:r>
        <w:rPr>
          <w:b/>
          <w:bCs/>
        </w:rPr>
        <w:t xml:space="preserve">awareness</w:t>
      </w:r>
      <w:r>
        <w:t xml:space="preserve"> </w:t>
      </w:r>
      <w:r>
        <w:t xml:space="preserve">(doc 2 v2.6, editor Option C) rather than closed: LENS builds evidence</w:t>
      </w:r>
      <w:r>
        <w:t xml:space="preserve"> </w:t>
      </w:r>
      <w:r>
        <w:rPr>
          <w:i/>
          <w:iCs/>
        </w:rPr>
        <w:t xml:space="preserve">use</w:t>
      </w:r>
      <w:r>
        <w:t xml:space="preserve"> </w:t>
      </w:r>
      <w:r>
        <w:t xml:space="preserve">to practitioner depth but routes formal study</w:t>
      </w:r>
      <w:r>
        <w:t xml:space="preserve"> </w:t>
      </w:r>
      <w:r>
        <w:rPr>
          <w:i/>
          <w:iCs/>
        </w:rPr>
        <w:t xml:space="preserve">design</w:t>
      </w:r>
      <w:r>
        <w:t xml:space="preserve"> </w:t>
      </w:r>
      <w:r>
        <w:t xml:space="preserve">+ IRB to a university elective (JHU SOE</w:t>
      </w:r>
      <w:r>
        <w:t xml:space="preserve"> </w:t>
      </w:r>
      <w:r>
        <w:rPr>
          <w:rStyle w:val="VerbatimChar"/>
        </w:rPr>
        <w:t xml:space="preserve">ED.880.624</w:t>
      </w:r>
      <w:r>
        <w:t xml:space="preserve"> </w:t>
      </w:r>
      <w:r>
        <w:t xml:space="preserve">— number to be verified; a Bloomberg School human-subjects research-ethics course). See the attainment profile.</w:t>
      </w:r>
    </w:p>
    <w:bookmarkEnd w:id="11"/>
    <w:bookmarkEnd w:id="12"/>
    <w:bookmarkStart w:id="19" w:name="full-crosswalk"/>
    <w:p>
      <w:pPr>
        <w:pStyle w:val="Heading1"/>
      </w:pPr>
      <w:r>
        <w:t xml:space="preserve">Full crosswalk</w:t>
      </w:r>
    </w:p>
    <w:p>
      <w:pPr>
        <w:pStyle w:val="FirstParagraph"/>
      </w:pPr>
      <w:r>
        <w:t xml:space="preserve">Status: ● covered · ◐ partial · ○ gap. Tier: I = Individual, T = Team. Course homes per doc 2 v2.4 (required courses in</w:t>
      </w:r>
      <w:r>
        <w:t xml:space="preserve"> </w:t>
      </w:r>
      <w:r>
        <w:rPr>
          <w:b/>
          <w:bCs/>
        </w:rPr>
        <w:t xml:space="preserve">bold</w:t>
      </w:r>
      <w:r>
        <w:t xml:space="preserve">; F1/F2/LEN 1–4/6/10 required, LEN 5/7/8/9 elective).</w:t>
      </w:r>
    </w:p>
    <w:bookmarkStart w:id="13" w:name="category-1-cross-functional-the-hub"/>
    <w:p>
      <w:pPr>
        <w:pStyle w:val="Heading2"/>
      </w:pPr>
      <w:r>
        <w:t xml:space="preserve">Category 1 — Cross-Functional (the hub)</w:t>
      </w:r>
    </w:p>
    <w:tbl>
      <w:tblPr>
        <w:tblStyle w:val="Table"/>
        <w:tblW w:type="pct" w:w="5000"/>
        <w:tblLayout w:type="fixed"/>
        <w:tblLook w:firstRow="1" w:lastRow="0" w:firstColumn="0" w:lastColumn="0" w:noHBand="0" w:noVBand="0" w:val="0020"/>
      </w:tblPr>
      <w:tblGrid>
        <w:gridCol w:w="1250"/>
        <w:gridCol w:w="2084"/>
        <w:gridCol w:w="1250"/>
        <w:gridCol w:w="2084"/>
        <w:gridCol w:w="1250"/>
      </w:tblGrid>
      <w:tr>
        <w:trPr>
          <w:tblHeader w:val="on"/>
        </w:trPr>
        <w:tc>
          <w:tcPr/>
          <w:p>
            <w:pPr>
              <w:pStyle w:val="Compact"/>
            </w:pPr>
            <w:r>
              <w:t xml:space="preserve">ICICLE competency</w:t>
            </w:r>
          </w:p>
        </w:tc>
        <w:tc>
          <w:tcPr/>
          <w:p>
            <w:pPr>
              <w:pStyle w:val="Compact"/>
              <w:jc w:val="center"/>
            </w:pPr>
            <w:r>
              <w:t xml:space="preserve">Tier</w:t>
            </w:r>
          </w:p>
        </w:tc>
        <w:tc>
          <w:tcPr/>
          <w:p>
            <w:pPr>
              <w:pStyle w:val="Compact"/>
            </w:pPr>
            <w:r>
              <w:t xml:space="preserve">LENS home</w:t>
            </w:r>
          </w:p>
        </w:tc>
        <w:tc>
          <w:tcPr/>
          <w:p>
            <w:pPr>
              <w:pStyle w:val="Compact"/>
              <w:jc w:val="center"/>
            </w:pPr>
            <w:r>
              <w:t xml:space="preserve">Status</w:t>
            </w:r>
          </w:p>
        </w:tc>
        <w:tc>
          <w:tcPr/>
          <w:p>
            <w:pPr>
              <w:pStyle w:val="Compact"/>
            </w:pPr>
            <w:r>
              <w:t xml:space="preserve">Note</w:t>
            </w:r>
          </w:p>
        </w:tc>
      </w:tr>
      <w:tr>
        <w:tc>
          <w:tcPr/>
          <w:p>
            <w:pPr>
              <w:pStyle w:val="Compact"/>
            </w:pPr>
            <w:r>
              <w:t xml:space="preserve">1.a Lead the LE process</w:t>
            </w:r>
          </w:p>
        </w:tc>
        <w:tc>
          <w:tcPr/>
          <w:p>
            <w:pPr>
              <w:pStyle w:val="Compact"/>
              <w:jc w:val="center"/>
            </w:pPr>
            <w:r>
              <w:t xml:space="preserve">I</w:t>
            </w:r>
          </w:p>
        </w:tc>
        <w:tc>
          <w:tcPr/>
          <w:p>
            <w:pPr>
              <w:pStyle w:val="Compact"/>
            </w:pPr>
            <w:r>
              <w:t xml:space="preserve">LEO-1/-2,</w:t>
            </w:r>
            <w:r>
              <w:t xml:space="preserve"> </w:t>
            </w:r>
            <w:r>
              <w:rPr>
                <w:b/>
                <w:bCs/>
              </w:rPr>
              <w:t xml:space="preserve">LEN 1</w:t>
            </w:r>
            <w:r>
              <w:t xml:space="preserve">,</w:t>
            </w:r>
            <w:r>
              <w:t xml:space="preserve"> </w:t>
            </w:r>
            <w:r>
              <w:rPr>
                <w:b/>
                <w:bCs/>
              </w:rPr>
              <w:t xml:space="preserve">LEN 6</w:t>
            </w:r>
            <w:r>
              <w:t xml:space="preserve">; PLO-3</w:t>
            </w:r>
          </w:p>
        </w:tc>
        <w:tc>
          <w:tcPr/>
          <w:p>
            <w:pPr>
              <w:pStyle w:val="Compact"/>
              <w:jc w:val="center"/>
            </w:pPr>
            <w:r>
              <w:t xml:space="preserve">●</w:t>
            </w:r>
          </w:p>
        </w:tc>
        <w:tc>
          <w:tcPr/>
          <w:p>
            <w:pPr>
              <w:pStyle w:val="Compact"/>
            </w:pPr>
            <w:r>
              <w:t xml:space="preserve">“Integrators who can lead and work within LE teams”</w:t>
            </w:r>
            <w:r>
              <w:t xml:space="preserve">; intellectual leadership named in LEN 1</w:t>
            </w:r>
          </w:p>
        </w:tc>
      </w:tr>
      <w:tr>
        <w:tc>
          <w:tcPr/>
          <w:p>
            <w:pPr>
              <w:pStyle w:val="Compact"/>
            </w:pPr>
            <w:r>
              <w:t xml:space="preserve">1.b Hold enough of each discipline to work with its specialist</w:t>
            </w:r>
          </w:p>
        </w:tc>
        <w:tc>
          <w:tcPr/>
          <w:p>
            <w:pPr>
              <w:pStyle w:val="Compact"/>
              <w:jc w:val="center"/>
            </w:pPr>
            <w:r>
              <w:t xml:space="preserve">I</w:t>
            </w:r>
          </w:p>
        </w:tc>
        <w:tc>
          <w:tcPr/>
          <w:p>
            <w:pPr>
              <w:pStyle w:val="Compact"/>
            </w:pPr>
            <w:r>
              <w:t xml:space="preserve">5.3,</w:t>
            </w:r>
            <w:r>
              <w:t xml:space="preserve"> </w:t>
            </w:r>
            <w:r>
              <w:rPr>
                <w:b/>
                <w:bCs/>
              </w:rPr>
              <w:t xml:space="preserve">LEN 6</w:t>
            </w:r>
            <w:r>
              <w:t xml:space="preserve">, LEN 5</w:t>
            </w:r>
          </w:p>
        </w:tc>
        <w:tc>
          <w:tcPr/>
          <w:p>
            <w:pPr>
              <w:pStyle w:val="Compact"/>
              <w:jc w:val="center"/>
            </w:pPr>
            <w:r>
              <w:t xml:space="preserve">●</w:t>
            </w:r>
          </w:p>
        </w:tc>
        <w:tc>
          <w:tcPr/>
          <w:p>
            <w:pPr>
              <w:pStyle w:val="Compact"/>
            </w:pPr>
            <w:r>
              <w:t xml:space="preserve">Elicit/validate specialist knowledge; brief a specialist</w:t>
            </w:r>
          </w:p>
        </w:tc>
      </w:tr>
      <w:tr>
        <w:tc>
          <w:tcPr/>
          <w:p>
            <w:pPr>
              <w:pStyle w:val="Compact"/>
            </w:pPr>
            <w:r>
              <w:t xml:space="preserve">1.c Apply engineering method</w:t>
            </w:r>
          </w:p>
        </w:tc>
        <w:tc>
          <w:tcPr/>
          <w:p>
            <w:pPr>
              <w:pStyle w:val="Compact"/>
              <w:jc w:val="center"/>
            </w:pPr>
            <w:r>
              <w:t xml:space="preserve">I</w:t>
            </w:r>
          </w:p>
        </w:tc>
        <w:tc>
          <w:tcPr/>
          <w:p>
            <w:pPr>
              <w:pStyle w:val="Compact"/>
            </w:pPr>
            <w:r>
              <w:t xml:space="preserve">1.2, 1.3,</w:t>
            </w:r>
            <w:r>
              <w:t xml:space="preserve"> </w:t>
            </w:r>
            <w:r>
              <w:rPr>
                <w:b/>
                <w:bCs/>
              </w:rPr>
              <w:t xml:space="preserve">LEN 1</w:t>
            </w:r>
            <w:r>
              <w:t xml:space="preserve">,</w:t>
            </w:r>
            <w:r>
              <w:t xml:space="preserve"> </w:t>
            </w:r>
            <w:r>
              <w:rPr>
                <w:b/>
                <w:bCs/>
              </w:rPr>
              <w:t xml:space="preserve">LEN 3</w:t>
            </w:r>
          </w:p>
        </w:tc>
        <w:tc>
          <w:tcPr/>
          <w:p>
            <w:pPr>
              <w:pStyle w:val="Compact"/>
              <w:jc w:val="center"/>
            </w:pPr>
            <w:r>
              <w:t xml:space="preserve">●</w:t>
            </w:r>
          </w:p>
        </w:tc>
        <w:tc>
          <w:tcPr/>
          <w:p>
            <w:pPr>
              <w:pStyle w:val="Compact"/>
            </w:pPr>
            <w:r>
              <w:t xml:space="preserve">Components/interfaces/feedback loops; SE lifecycle</w:t>
            </w:r>
          </w:p>
        </w:tc>
      </w:tr>
      <w:tr>
        <w:tc>
          <w:tcPr/>
          <w:p>
            <w:pPr>
              <w:pStyle w:val="Compact"/>
            </w:pPr>
            <w:r>
              <w:t xml:space="preserve">1.d Reason and decide under uncertainty</w:t>
            </w:r>
          </w:p>
        </w:tc>
        <w:tc>
          <w:tcPr/>
          <w:p>
            <w:pPr>
              <w:pStyle w:val="Compact"/>
              <w:jc w:val="center"/>
            </w:pPr>
            <w:r>
              <w:t xml:space="preserve">I</w:t>
            </w:r>
          </w:p>
        </w:tc>
        <w:tc>
          <w:tcPr/>
          <w:p>
            <w:pPr>
              <w:pStyle w:val="Compact"/>
            </w:pPr>
            <w:r>
              <w:t xml:space="preserve">4.3, 4.4,</w:t>
            </w:r>
            <w:r>
              <w:t xml:space="preserve"> </w:t>
            </w:r>
            <w:r>
              <w:rPr>
                <w:b/>
                <w:bCs/>
              </w:rPr>
              <w:t xml:space="preserve">LEN 4</w:t>
            </w:r>
          </w:p>
        </w:tc>
        <w:tc>
          <w:tcPr/>
          <w:p>
            <w:pPr>
              <w:pStyle w:val="Compact"/>
              <w:jc w:val="center"/>
            </w:pPr>
            <w:r>
              <w:t xml:space="preserve">●</w:t>
            </w:r>
          </w:p>
        </w:tc>
        <w:tc>
          <w:tcPr/>
          <w:p>
            <w:pPr>
              <w:pStyle w:val="Compact"/>
            </w:pPr>
            <w:r>
              <w:t xml:space="preserve">Decision-grade evidence under irreducible uncertainty</w:t>
            </w:r>
          </w:p>
        </w:tc>
      </w:tr>
      <w:tr>
        <w:tc>
          <w:tcPr/>
          <w:p>
            <w:pPr>
              <w:pStyle w:val="Compact"/>
            </w:pPr>
            <w:r>
              <w:t xml:space="preserve">1.e Team with a machine</w:t>
            </w:r>
          </w:p>
        </w:tc>
        <w:tc>
          <w:tcPr/>
          <w:p>
            <w:pPr>
              <w:pStyle w:val="Compact"/>
              <w:jc w:val="center"/>
            </w:pPr>
            <w:r>
              <w:t xml:space="preserve">I</w:t>
            </w:r>
          </w:p>
        </w:tc>
        <w:tc>
          <w:tcPr/>
          <w:p>
            <w:pPr>
              <w:pStyle w:val="Compact"/>
            </w:pPr>
            <w:r>
              <w:t xml:space="preserve">LEO-3,</w:t>
            </w:r>
            <w:r>
              <w:t xml:space="preserve"> </w:t>
            </w:r>
            <w:r>
              <w:rPr>
                <w:b/>
                <w:bCs/>
              </w:rPr>
              <w:t xml:space="preserve">LEN 2</w:t>
            </w:r>
          </w:p>
        </w:tc>
        <w:tc>
          <w:tcPr/>
          <w:p>
            <w:pPr>
              <w:pStyle w:val="Compact"/>
              <w:jc w:val="center"/>
            </w:pPr>
            <w:r>
              <w:t xml:space="preserve">●</w:t>
            </w:r>
          </w:p>
        </w:tc>
        <w:tc>
          <w:tcPr/>
          <w:p>
            <w:pPr>
              <w:pStyle w:val="Compact"/>
            </w:pPr>
            <w:r>
              <w:t xml:space="preserve">Automation bias, offloading, atrophy; human in/on the loop</w:t>
            </w:r>
          </w:p>
        </w:tc>
      </w:tr>
      <w:tr>
        <w:tc>
          <w:tcPr/>
          <w:p>
            <w:pPr>
              <w:pStyle w:val="Compact"/>
            </w:pPr>
            <w:r>
              <w:t xml:space="preserve">1.f Communicate and collaborate across disciplines</w:t>
            </w:r>
          </w:p>
        </w:tc>
        <w:tc>
          <w:tcPr/>
          <w:p>
            <w:pPr>
              <w:pStyle w:val="Compact"/>
              <w:jc w:val="center"/>
            </w:pPr>
            <w:r>
              <w:t xml:space="preserve">I</w:t>
            </w:r>
          </w:p>
        </w:tc>
        <w:tc>
          <w:tcPr/>
          <w:p>
            <w:pPr>
              <w:pStyle w:val="Compact"/>
            </w:pPr>
            <w:r>
              <w:t xml:space="preserve">5.4, 4.5; PLO-4</w:t>
            </w:r>
          </w:p>
        </w:tc>
        <w:tc>
          <w:tcPr/>
          <w:p>
            <w:pPr>
              <w:pStyle w:val="Compact"/>
              <w:jc w:val="center"/>
            </w:pPr>
            <w:r>
              <w:t xml:space="preserve">●</w:t>
            </w:r>
          </w:p>
        </w:tc>
        <w:tc>
          <w:tcPr/>
          <w:p>
            <w:pPr>
              <w:pStyle w:val="Compact"/>
            </w:pPr>
            <w:r>
              <w:t xml:space="preserve">Boundary-crossing communication is a stated LENS thread</w:t>
            </w:r>
          </w:p>
        </w:tc>
      </w:tr>
      <w:tr>
        <w:tc>
          <w:tcPr/>
          <w:p>
            <w:pPr>
              <w:pStyle w:val="Compact"/>
            </w:pPr>
            <w:r>
              <w:t xml:space="preserve">1.g Practice ethically</w:t>
            </w:r>
          </w:p>
        </w:tc>
        <w:tc>
          <w:tcPr/>
          <w:p>
            <w:pPr>
              <w:pStyle w:val="Compact"/>
              <w:jc w:val="center"/>
            </w:pPr>
            <w:r>
              <w:t xml:space="preserve">I</w:t>
            </w:r>
          </w:p>
        </w:tc>
        <w:tc>
          <w:tcPr/>
          <w:p>
            <w:pPr>
              <w:pStyle w:val="Compact"/>
            </w:pPr>
            <w:r>
              <w:t xml:space="preserve">4.1, 4.6;</w:t>
            </w:r>
            <w:r>
              <w:t xml:space="preserve"> </w:t>
            </w:r>
            <w:r>
              <w:rPr>
                <w:b/>
                <w:bCs/>
              </w:rPr>
              <w:t xml:space="preserve">F2</w:t>
            </w:r>
            <w:r>
              <w:t xml:space="preserve">, LEN 7; agency constraint</w:t>
            </w:r>
          </w:p>
        </w:tc>
        <w:tc>
          <w:tcPr/>
          <w:p>
            <w:pPr>
              <w:pStyle w:val="Compact"/>
              <w:jc w:val="center"/>
            </w:pPr>
            <w:r>
              <w:t xml:space="preserve">●</w:t>
            </w:r>
          </w:p>
        </w:tc>
        <w:tc>
          <w:tcPr/>
          <w:p>
            <w:pPr>
              <w:pStyle w:val="Compact"/>
            </w:pPr>
            <w:r>
              <w:t xml:space="preserve">Ethics distributed as a design constraint across every LEO</w:t>
            </w:r>
          </w:p>
        </w:tc>
      </w:tr>
      <w:tr>
        <w:tc>
          <w:tcPr/>
          <w:p>
            <w:pPr>
              <w:pStyle w:val="Compact"/>
            </w:pPr>
            <w:r>
              <w:t xml:space="preserve">1.h Hold the dispositions</w:t>
            </w:r>
          </w:p>
        </w:tc>
        <w:tc>
          <w:tcPr/>
          <w:p>
            <w:pPr>
              <w:pStyle w:val="Compact"/>
              <w:jc w:val="center"/>
            </w:pPr>
            <w:r>
              <w:t xml:space="preserve">I</w:t>
            </w:r>
          </w:p>
        </w:tc>
        <w:tc>
          <w:tcPr/>
          <w:p>
            <w:pPr>
              <w:pStyle w:val="Compact"/>
            </w:pPr>
            <w:r>
              <w:t xml:space="preserve">§6.4 dispositions,</w:t>
            </w:r>
            <w:r>
              <w:t xml:space="preserve"> </w:t>
            </w:r>
            <w:r>
              <w:rPr>
                <w:b/>
                <w:bCs/>
              </w:rPr>
              <w:t xml:space="preserve">LEN 1</w:t>
            </w:r>
          </w:p>
        </w:tc>
        <w:tc>
          <w:tcPr/>
          <w:p>
            <w:pPr>
              <w:pStyle w:val="Compact"/>
              <w:jc w:val="center"/>
            </w:pPr>
            <w:r>
              <w:t xml:space="preserve">●</w:t>
            </w:r>
          </w:p>
        </w:tc>
        <w:tc>
          <w:tcPr/>
          <w:p>
            <w:pPr>
              <w:pStyle w:val="Compact"/>
            </w:pPr>
            <w:r>
              <w:t xml:space="preserve">Same five dispositions named from the field’s foundational work</w:t>
            </w:r>
          </w:p>
        </w:tc>
      </w:tr>
      <w:tr>
        <w:tc>
          <w:tcPr/>
          <w:p>
            <w:pPr>
              <w:pStyle w:val="Compact"/>
            </w:pPr>
            <w:r>
              <w:t xml:space="preserve">1.i Manage the work</w:t>
            </w:r>
          </w:p>
        </w:tc>
        <w:tc>
          <w:tcPr/>
          <w:p>
            <w:pPr>
              <w:pStyle w:val="Compact"/>
              <w:jc w:val="center"/>
            </w:pPr>
            <w:r>
              <w:t xml:space="preserve">T</w:t>
            </w:r>
          </w:p>
        </w:tc>
        <w:tc>
          <w:tcPr/>
          <w:p>
            <w:pPr>
              <w:pStyle w:val="Compact"/>
            </w:pPr>
            <w:r>
              <w:rPr>
                <w:b/>
                <w:bCs/>
              </w:rPr>
              <w:t xml:space="preserve">LEN 10</w:t>
            </w:r>
            <w:r>
              <w:t xml:space="preserve"> </w:t>
            </w:r>
            <w:r>
              <w:t xml:space="preserve">capstone</w:t>
            </w:r>
          </w:p>
        </w:tc>
        <w:tc>
          <w:tcPr/>
          <w:p>
            <w:pPr>
              <w:pStyle w:val="Compact"/>
              <w:jc w:val="center"/>
            </w:pPr>
            <w:r>
              <w:t xml:space="preserve">●</w:t>
            </w:r>
          </w:p>
        </w:tc>
        <w:tc>
          <w:tcPr/>
          <w:p>
            <w:pPr>
              <w:pStyle w:val="Compact"/>
            </w:pPr>
            <w:r>
              <w:rPr>
                <w:i/>
                <w:iCs/>
              </w:rPr>
              <w:t xml:space="preserve">(v2.5)</w:t>
            </w:r>
            <w:r>
              <w:t xml:space="preserve"> </w:t>
            </w:r>
            <w:r>
              <w:t xml:space="preserve">Project/program management exercised and evidenced in the capstone — plan, budget, timeline, resources, versioning, progress reporting — not taught as a standalone domain</w:t>
            </w:r>
          </w:p>
        </w:tc>
      </w:tr>
      <w:tr>
        <w:tc>
          <w:tcPr/>
          <w:p>
            <w:pPr>
              <w:pStyle w:val="Compact"/>
            </w:pPr>
            <w:r>
              <w:t xml:space="preserve">1.j Develop other practitioners</w:t>
            </w:r>
          </w:p>
        </w:tc>
        <w:tc>
          <w:tcPr/>
          <w:p>
            <w:pPr>
              <w:pStyle w:val="Compact"/>
              <w:jc w:val="center"/>
            </w:pPr>
            <w:r>
              <w:t xml:space="preserve">T</w:t>
            </w:r>
          </w:p>
        </w:tc>
        <w:tc>
          <w:tcPr/>
          <w:p>
            <w:pPr>
              <w:pStyle w:val="Compact"/>
            </w:pPr>
            <w:r>
              <w:t xml:space="preserve">—</w:t>
            </w:r>
          </w:p>
        </w:tc>
        <w:tc>
          <w:tcPr/>
          <w:p>
            <w:pPr>
              <w:pStyle w:val="Compact"/>
              <w:jc w:val="center"/>
            </w:pPr>
            <w:r>
              <w:t xml:space="preserve">○</w:t>
            </w:r>
          </w:p>
        </w:tc>
        <w:tc>
          <w:tcPr/>
          <w:p>
            <w:pPr>
              <w:pStyle w:val="Compact"/>
            </w:pPr>
            <w:r>
              <w:t xml:space="preserve">Mentoring/coaching colleagues is not an objective; recorded as awareness tier</w:t>
            </w:r>
          </w:p>
        </w:tc>
      </w:tr>
      <w:tr>
        <w:tc>
          <w:tcPr/>
          <w:p>
            <w:pPr>
              <w:pStyle w:val="Compact"/>
            </w:pPr>
            <w:r>
              <w:t xml:space="preserve">1.k Build organizational capability</w:t>
            </w:r>
          </w:p>
        </w:tc>
        <w:tc>
          <w:tcPr/>
          <w:p>
            <w:pPr>
              <w:pStyle w:val="Compact"/>
              <w:jc w:val="center"/>
            </w:pPr>
            <w:r>
              <w:t xml:space="preserve">T</w:t>
            </w:r>
          </w:p>
        </w:tc>
        <w:tc>
          <w:tcPr/>
          <w:p>
            <w:pPr>
              <w:pStyle w:val="Compact"/>
            </w:pPr>
            <w:r>
              <w:t xml:space="preserve">LEN 8 (elec)</w:t>
            </w:r>
          </w:p>
        </w:tc>
        <w:tc>
          <w:tcPr/>
          <w:p>
            <w:pPr>
              <w:pStyle w:val="Compact"/>
              <w:jc w:val="center"/>
            </w:pPr>
            <w:r>
              <w:t xml:space="preserve">◐</w:t>
            </w:r>
          </w:p>
        </w:tc>
        <w:tc>
          <w:tcPr/>
          <w:p>
            <w:pPr>
              <w:pStyle w:val="Compact"/>
            </w:pPr>
            <w:r>
              <w:t xml:space="preserve">Org learning touches change; assess-LE-maturity / minimum-viable-team / maturity model absent</w:t>
            </w:r>
          </w:p>
        </w:tc>
      </w:tr>
      <w:tr>
        <w:tc>
          <w:tcPr/>
          <w:p>
            <w:pPr>
              <w:pStyle w:val="Compact"/>
            </w:pPr>
            <w:r>
              <w:t xml:space="preserve">1.l Iterate through the gate</w:t>
            </w:r>
          </w:p>
        </w:tc>
        <w:tc>
          <w:tcPr/>
          <w:p>
            <w:pPr>
              <w:pStyle w:val="Compact"/>
              <w:jc w:val="center"/>
            </w:pPr>
            <w:r>
              <w:t xml:space="preserve">I</w:t>
            </w:r>
          </w:p>
        </w:tc>
        <w:tc>
          <w:tcPr/>
          <w:p>
            <w:pPr>
              <w:pStyle w:val="Compact"/>
            </w:pPr>
            <w:r>
              <w:t xml:space="preserve">2.2,</w:t>
            </w:r>
            <w:r>
              <w:t xml:space="preserve"> </w:t>
            </w:r>
            <w:r>
              <w:rPr>
                <w:b/>
                <w:bCs/>
              </w:rPr>
              <w:t xml:space="preserve">LEN 1/2/6/10</w:t>
            </w:r>
          </w:p>
        </w:tc>
        <w:tc>
          <w:tcPr/>
          <w:p>
            <w:pPr>
              <w:pStyle w:val="Compact"/>
              <w:jc w:val="center"/>
            </w:pPr>
            <w:r>
              <w:t xml:space="preserve">●</w:t>
            </w:r>
          </w:p>
        </w:tc>
        <w:tc>
          <w:tcPr/>
          <w:p>
            <w:pPr>
              <w:pStyle w:val="Compact"/>
            </w:pPr>
            <w:r>
              <w:t xml:space="preserve">The iteration cycle is the field’s core method in LENS</w:t>
            </w:r>
          </w:p>
        </w:tc>
      </w:tr>
      <w:tr>
        <w:tc>
          <w:tcPr/>
          <w:p>
            <w:pPr>
              <w:pStyle w:val="Compact"/>
            </w:pPr>
            <w:r>
              <w:t xml:space="preserve">1.m Communicate across stakeholders</w:t>
            </w:r>
          </w:p>
        </w:tc>
        <w:tc>
          <w:tcPr/>
          <w:p>
            <w:pPr>
              <w:pStyle w:val="Compact"/>
              <w:jc w:val="center"/>
            </w:pPr>
            <w:r>
              <w:t xml:space="preserve">T</w:t>
            </w:r>
          </w:p>
        </w:tc>
        <w:tc>
          <w:tcPr/>
          <w:p>
            <w:pPr>
              <w:pStyle w:val="Compact"/>
            </w:pPr>
            <w:r>
              <w:t xml:space="preserve">PLO-4; LEN 8 (elec)</w:t>
            </w:r>
          </w:p>
        </w:tc>
        <w:tc>
          <w:tcPr/>
          <w:p>
            <w:pPr>
              <w:pStyle w:val="Compact"/>
              <w:jc w:val="center"/>
            </w:pPr>
            <w:r>
              <w:t xml:space="preserve">◐</w:t>
            </w:r>
          </w:p>
        </w:tc>
        <w:tc>
          <w:tcPr/>
          <w:p>
            <w:pPr>
              <w:pStyle w:val="Compact"/>
            </w:pPr>
            <w:r>
              <w:t xml:space="preserve">Leadership communication present; cost-center→value / arguing for iteration resources thin</w:t>
            </w:r>
          </w:p>
        </w:tc>
      </w:tr>
    </w:tbl>
    <w:bookmarkEnd w:id="13"/>
    <w:bookmarkStart w:id="14" w:name="category-2-challenge-identification"/>
    <w:p>
      <w:pPr>
        <w:pStyle w:val="Heading2"/>
      </w:pPr>
      <w:r>
        <w:t xml:space="preserve">Category 2 — Challenge Identification</w:t>
      </w:r>
    </w:p>
    <w:tbl>
      <w:tblPr>
        <w:tblStyle w:val="Table"/>
        <w:tblW w:type="pct" w:w="5000"/>
        <w:tblLayout w:type="fixed"/>
        <w:tblLook w:firstRow="1" w:lastRow="0" w:firstColumn="0" w:lastColumn="0" w:noHBand="0" w:noVBand="0" w:val="0020"/>
      </w:tblPr>
      <w:tblGrid>
        <w:gridCol w:w="1250"/>
        <w:gridCol w:w="2084"/>
        <w:gridCol w:w="1250"/>
        <w:gridCol w:w="2084"/>
        <w:gridCol w:w="1250"/>
      </w:tblGrid>
      <w:tr>
        <w:trPr>
          <w:tblHeader w:val="on"/>
        </w:trPr>
        <w:tc>
          <w:tcPr/>
          <w:p>
            <w:pPr>
              <w:pStyle w:val="Compact"/>
            </w:pPr>
            <w:r>
              <w:t xml:space="preserve">ICICLE competency</w:t>
            </w:r>
          </w:p>
        </w:tc>
        <w:tc>
          <w:tcPr/>
          <w:p>
            <w:pPr>
              <w:pStyle w:val="Compact"/>
              <w:jc w:val="center"/>
            </w:pPr>
            <w:r>
              <w:t xml:space="preserve">Tier</w:t>
            </w:r>
          </w:p>
        </w:tc>
        <w:tc>
          <w:tcPr/>
          <w:p>
            <w:pPr>
              <w:pStyle w:val="Compact"/>
            </w:pPr>
            <w:r>
              <w:t xml:space="preserve">LENS home</w:t>
            </w:r>
          </w:p>
        </w:tc>
        <w:tc>
          <w:tcPr/>
          <w:p>
            <w:pPr>
              <w:pStyle w:val="Compact"/>
              <w:jc w:val="center"/>
            </w:pPr>
            <w:r>
              <w:t xml:space="preserve">Status</w:t>
            </w:r>
          </w:p>
        </w:tc>
        <w:tc>
          <w:tcPr/>
          <w:p>
            <w:pPr>
              <w:pStyle w:val="Compact"/>
            </w:pPr>
            <w:r>
              <w:t xml:space="preserve">Note</w:t>
            </w:r>
          </w:p>
        </w:tc>
      </w:tr>
      <w:tr>
        <w:tc>
          <w:tcPr/>
          <w:p>
            <w:pPr>
              <w:pStyle w:val="Compact"/>
            </w:pPr>
            <w:r>
              <w:t xml:space="preserve">2.a Frame the challenge in context</w:t>
            </w:r>
          </w:p>
        </w:tc>
        <w:tc>
          <w:tcPr/>
          <w:p>
            <w:pPr>
              <w:pStyle w:val="Compact"/>
              <w:jc w:val="center"/>
            </w:pPr>
            <w:r>
              <w:t xml:space="preserve">I</w:t>
            </w:r>
          </w:p>
        </w:tc>
        <w:tc>
          <w:tcPr/>
          <w:p>
            <w:pPr>
              <w:pStyle w:val="Compact"/>
            </w:pPr>
            <w:r>
              <w:t xml:space="preserve">2.2,</w:t>
            </w:r>
            <w:r>
              <w:t xml:space="preserve"> </w:t>
            </w:r>
            <w:r>
              <w:rPr>
                <w:b/>
                <w:bCs/>
              </w:rPr>
              <w:t xml:space="preserve">LEN 6</w:t>
            </w:r>
            <w:r>
              <w:t xml:space="preserve">, LEO-1</w:t>
            </w:r>
          </w:p>
        </w:tc>
        <w:tc>
          <w:tcPr/>
          <w:p>
            <w:pPr>
              <w:pStyle w:val="Compact"/>
              <w:jc w:val="center"/>
            </w:pPr>
            <w:r>
              <w:t xml:space="preserve">●</w:t>
            </w:r>
          </w:p>
        </w:tc>
        <w:tc>
          <w:tcPr/>
          <w:p>
            <w:pPr>
              <w:pStyle w:val="Compact"/>
            </w:pPr>
            <w:r>
              <w:t xml:space="preserve">Problem framing, revise framing as evidence accumulates</w:t>
            </w:r>
          </w:p>
        </w:tc>
      </w:tr>
      <w:tr>
        <w:tc>
          <w:tcPr/>
          <w:p>
            <w:pPr>
              <w:pStyle w:val="Compact"/>
            </w:pPr>
            <w:r>
              <w:t xml:space="preserve">2.b Engage the stakeholders</w:t>
            </w:r>
          </w:p>
        </w:tc>
        <w:tc>
          <w:tcPr/>
          <w:p>
            <w:pPr>
              <w:pStyle w:val="Compact"/>
              <w:jc w:val="center"/>
            </w:pPr>
            <w:r>
              <w:t xml:space="preserve">I</w:t>
            </w:r>
          </w:p>
        </w:tc>
        <w:tc>
          <w:tcPr/>
          <w:p>
            <w:pPr>
              <w:pStyle w:val="Compact"/>
            </w:pPr>
            <w:r>
              <w:t xml:space="preserve">5.4,</w:t>
            </w:r>
            <w:r>
              <w:t xml:space="preserve"> </w:t>
            </w:r>
            <w:r>
              <w:rPr>
                <w:b/>
                <w:bCs/>
              </w:rPr>
              <w:t xml:space="preserve">LEN 6</w:t>
            </w:r>
          </w:p>
        </w:tc>
        <w:tc>
          <w:tcPr/>
          <w:p>
            <w:pPr>
              <w:pStyle w:val="Compact"/>
              <w:jc w:val="center"/>
            </w:pPr>
            <w:r>
              <w:t xml:space="preserve">●</w:t>
            </w:r>
          </w:p>
        </w:tc>
        <w:tc>
          <w:tcPr/>
          <w:p>
            <w:pPr>
              <w:pStyle w:val="Compact"/>
            </w:pPr>
            <w:r>
              <w:t xml:space="preserve">Stakeholder analysis is a LEN 6 method</w:t>
            </w:r>
          </w:p>
        </w:tc>
      </w:tr>
      <w:tr>
        <w:tc>
          <w:tcPr/>
          <w:p>
            <w:pPr>
              <w:pStyle w:val="Compact"/>
            </w:pPr>
            <w:r>
              <w:t xml:space="preserve">2.c Attribute the gap before proposing a solution</w:t>
            </w:r>
          </w:p>
        </w:tc>
        <w:tc>
          <w:tcPr/>
          <w:p>
            <w:pPr>
              <w:pStyle w:val="Compact"/>
              <w:jc w:val="center"/>
            </w:pPr>
            <w:r>
              <w:t xml:space="preserve">I</w:t>
            </w:r>
          </w:p>
        </w:tc>
        <w:tc>
          <w:tcPr/>
          <w:p>
            <w:pPr>
              <w:pStyle w:val="Compact"/>
            </w:pPr>
            <w:r>
              <w:t xml:space="preserve">4.2 gap attribution</w:t>
            </w:r>
          </w:p>
        </w:tc>
        <w:tc>
          <w:tcPr/>
          <w:p>
            <w:pPr>
              <w:pStyle w:val="Compact"/>
              <w:jc w:val="center"/>
            </w:pPr>
            <w:r>
              <w:t xml:space="preserve">●</w:t>
            </w:r>
          </w:p>
        </w:tc>
        <w:tc>
          <w:tcPr/>
          <w:p>
            <w:pPr>
              <w:pStyle w:val="Compact"/>
            </w:pPr>
            <w:r>
              <w:t xml:space="preserve">A LENS signature and a proposed field extension</w:t>
            </w:r>
          </w:p>
        </w:tc>
      </w:tr>
      <w:tr>
        <w:tc>
          <w:tcPr/>
          <w:p>
            <w:pPr>
              <w:pStyle w:val="Compact"/>
            </w:pPr>
            <w:r>
              <w:t xml:space="preserve">2.d Conduct contextual research</w:t>
            </w:r>
          </w:p>
        </w:tc>
        <w:tc>
          <w:tcPr/>
          <w:p>
            <w:pPr>
              <w:pStyle w:val="Compact"/>
              <w:jc w:val="center"/>
            </w:pPr>
            <w:r>
              <w:t xml:space="preserve">T</w:t>
            </w:r>
          </w:p>
        </w:tc>
        <w:tc>
          <w:tcPr/>
          <w:p>
            <w:pPr>
              <w:pStyle w:val="Compact"/>
            </w:pPr>
            <w:r>
              <w:rPr>
                <w:b/>
                <w:bCs/>
              </w:rPr>
              <w:t xml:space="preserve">LEN 6</w:t>
            </w:r>
            <w:r>
              <w:t xml:space="preserve">, LEN 5 (CTA)</w:t>
            </w:r>
          </w:p>
        </w:tc>
        <w:tc>
          <w:tcPr/>
          <w:p>
            <w:pPr>
              <w:pStyle w:val="Compact"/>
              <w:jc w:val="center"/>
            </w:pPr>
            <w:r>
              <w:t xml:space="preserve">◐</w:t>
            </w:r>
          </w:p>
        </w:tc>
        <w:tc>
          <w:tcPr/>
          <w:p>
            <w:pPr>
              <w:pStyle w:val="Compact"/>
            </w:pPr>
            <w:r>
              <w:t xml:space="preserve">Contextual inquiry covered; personas / empathy-mapping HCD toolkit not explicit</w:t>
            </w:r>
          </w:p>
        </w:tc>
      </w:tr>
      <w:tr>
        <w:tc>
          <w:tcPr/>
          <w:p>
            <w:pPr>
              <w:pStyle w:val="Compact"/>
            </w:pPr>
            <w:r>
              <w:t xml:space="preserve">2.e Identify the constraints</w:t>
            </w:r>
          </w:p>
        </w:tc>
        <w:tc>
          <w:tcPr/>
          <w:p>
            <w:pPr>
              <w:pStyle w:val="Compact"/>
              <w:jc w:val="center"/>
            </w:pPr>
            <w:r>
              <w:t xml:space="preserve">T</w:t>
            </w:r>
          </w:p>
        </w:tc>
        <w:tc>
          <w:tcPr/>
          <w:p>
            <w:pPr>
              <w:pStyle w:val="Compact"/>
            </w:pPr>
            <w:r>
              <w:t xml:space="preserve">5.1,</w:t>
            </w:r>
            <w:r>
              <w:t xml:space="preserve"> </w:t>
            </w:r>
            <w:r>
              <w:rPr>
                <w:b/>
                <w:bCs/>
              </w:rPr>
              <w:t xml:space="preserve">LEN 3</w:t>
            </w:r>
          </w:p>
        </w:tc>
        <w:tc>
          <w:tcPr/>
          <w:p>
            <w:pPr>
              <w:pStyle w:val="Compact"/>
              <w:jc w:val="center"/>
            </w:pPr>
            <w:r>
              <w:t xml:space="preserve">●</w:t>
            </w:r>
          </w:p>
        </w:tc>
        <w:tc>
          <w:tcPr/>
          <w:p>
            <w:pPr>
              <w:pStyle w:val="Compact"/>
            </w:pPr>
            <w:r>
              <w:t xml:space="preserve">Regulatory/org/cultural/technical constraints as design inputs</w:t>
            </w:r>
          </w:p>
        </w:tc>
      </w:tr>
    </w:tbl>
    <w:bookmarkEnd w:id="14"/>
    <w:bookmarkStart w:id="15" w:name="category-3-research-and-design"/>
    <w:p>
      <w:pPr>
        <w:pStyle w:val="Heading2"/>
      </w:pPr>
      <w:r>
        <w:t xml:space="preserve">Category 3 — Research and Design</w:t>
      </w:r>
    </w:p>
    <w:tbl>
      <w:tblPr>
        <w:tblStyle w:val="Table"/>
        <w:tblW w:type="pct" w:w="5000"/>
        <w:tblLayout w:type="fixed"/>
        <w:tblLook w:firstRow="1" w:lastRow="0" w:firstColumn="0" w:lastColumn="0" w:noHBand="0" w:noVBand="0" w:val="0020"/>
      </w:tblPr>
      <w:tblGrid>
        <w:gridCol w:w="1250"/>
        <w:gridCol w:w="2084"/>
        <w:gridCol w:w="1250"/>
        <w:gridCol w:w="2084"/>
        <w:gridCol w:w="1250"/>
      </w:tblGrid>
      <w:tr>
        <w:trPr>
          <w:tblHeader w:val="on"/>
        </w:trPr>
        <w:tc>
          <w:tcPr/>
          <w:p>
            <w:pPr>
              <w:pStyle w:val="Compact"/>
            </w:pPr>
            <w:r>
              <w:t xml:space="preserve">ICICLE competency</w:t>
            </w:r>
          </w:p>
        </w:tc>
        <w:tc>
          <w:tcPr/>
          <w:p>
            <w:pPr>
              <w:pStyle w:val="Compact"/>
              <w:jc w:val="center"/>
            </w:pPr>
            <w:r>
              <w:t xml:space="preserve">Tier</w:t>
            </w:r>
          </w:p>
        </w:tc>
        <w:tc>
          <w:tcPr/>
          <w:p>
            <w:pPr>
              <w:pStyle w:val="Compact"/>
            </w:pPr>
            <w:r>
              <w:t xml:space="preserve">LENS home</w:t>
            </w:r>
          </w:p>
        </w:tc>
        <w:tc>
          <w:tcPr/>
          <w:p>
            <w:pPr>
              <w:pStyle w:val="Compact"/>
              <w:jc w:val="center"/>
            </w:pPr>
            <w:r>
              <w:t xml:space="preserve">Status</w:t>
            </w:r>
          </w:p>
        </w:tc>
        <w:tc>
          <w:tcPr/>
          <w:p>
            <w:pPr>
              <w:pStyle w:val="Compact"/>
            </w:pPr>
            <w:r>
              <w:t xml:space="preserve">Note</w:t>
            </w:r>
          </w:p>
        </w:tc>
      </w:tr>
      <w:tr>
        <w:tc>
          <w:tcPr/>
          <w:p>
            <w:pPr>
              <w:pStyle w:val="Compact"/>
            </w:pPr>
            <w:r>
              <w:t xml:space="preserve">3.a Apply the learning sciences</w:t>
            </w:r>
          </w:p>
        </w:tc>
        <w:tc>
          <w:tcPr/>
          <w:p>
            <w:pPr>
              <w:pStyle w:val="Compact"/>
              <w:jc w:val="center"/>
            </w:pPr>
            <w:r>
              <w:t xml:space="preserve">T</w:t>
            </w:r>
          </w:p>
        </w:tc>
        <w:tc>
          <w:tcPr/>
          <w:p>
            <w:pPr>
              <w:pStyle w:val="Compact"/>
            </w:pPr>
            <w:r>
              <w:t xml:space="preserve">2.1,</w:t>
            </w:r>
            <w:r>
              <w:t xml:space="preserve"> </w:t>
            </w:r>
            <w:r>
              <w:rPr>
                <w:b/>
                <w:bCs/>
              </w:rPr>
              <w:t xml:space="preserve">F1</w:t>
            </w:r>
            <w:r>
              <w:t xml:space="preserve">,</w:t>
            </w:r>
            <w:r>
              <w:t xml:space="preserve"> </w:t>
            </w:r>
            <w:r>
              <w:rPr>
                <w:b/>
                <w:bCs/>
              </w:rPr>
              <w:t xml:space="preserve">LEN 1</w:t>
            </w:r>
          </w:p>
        </w:tc>
        <w:tc>
          <w:tcPr/>
          <w:p>
            <w:pPr>
              <w:pStyle w:val="Compact"/>
              <w:jc w:val="center"/>
            </w:pPr>
            <w:r>
              <w:t xml:space="preserve">●</w:t>
            </w:r>
          </w:p>
        </w:tc>
        <w:tc>
          <w:tcPr/>
          <w:p>
            <w:pPr>
              <w:pStyle w:val="Compact"/>
            </w:pPr>
          </w:p>
        </w:tc>
      </w:tr>
      <w:tr>
        <w:tc>
          <w:tcPr/>
          <w:p>
            <w:pPr>
              <w:pStyle w:val="Compact"/>
            </w:pPr>
            <w:r>
              <w:t xml:space="preserve">3.b Elicit and model expert knowledge</w:t>
            </w:r>
          </w:p>
        </w:tc>
        <w:tc>
          <w:tcPr/>
          <w:p>
            <w:pPr>
              <w:pStyle w:val="Compact"/>
              <w:jc w:val="center"/>
            </w:pPr>
            <w:r>
              <w:t xml:space="preserve">T</w:t>
            </w:r>
          </w:p>
        </w:tc>
        <w:tc>
          <w:tcPr/>
          <w:p>
            <w:pPr>
              <w:pStyle w:val="Compact"/>
            </w:pPr>
            <w:r>
              <w:t xml:space="preserve">5.3, LEN 5 (CTA, CDM)</w:t>
            </w:r>
          </w:p>
        </w:tc>
        <w:tc>
          <w:tcPr/>
          <w:p>
            <w:pPr>
              <w:pStyle w:val="Compact"/>
              <w:jc w:val="center"/>
            </w:pPr>
            <w:r>
              <w:t xml:space="preserve">●</w:t>
            </w:r>
          </w:p>
        </w:tc>
        <w:tc>
          <w:tcPr/>
          <w:p>
            <w:pPr>
              <w:pStyle w:val="Compact"/>
            </w:pPr>
            <w:r>
              <w:t xml:space="preserve">Cognitive task analysis, critical decision method</w:t>
            </w:r>
          </w:p>
        </w:tc>
      </w:tr>
      <w:tr>
        <w:tc>
          <w:tcPr/>
          <w:p>
            <w:pPr>
              <w:pStyle w:val="Compact"/>
            </w:pPr>
            <w:r>
              <w:t xml:space="preserve">3.c Read and judge research</w:t>
            </w:r>
          </w:p>
        </w:tc>
        <w:tc>
          <w:tcPr/>
          <w:p>
            <w:pPr>
              <w:pStyle w:val="Compact"/>
              <w:jc w:val="center"/>
            </w:pPr>
            <w:r>
              <w:t xml:space="preserve">I</w:t>
            </w:r>
          </w:p>
        </w:tc>
        <w:tc>
          <w:tcPr/>
          <w:p>
            <w:pPr>
              <w:pStyle w:val="Compact"/>
            </w:pPr>
            <w:r>
              <w:t xml:space="preserve">4.7 (</w:t>
            </w:r>
            <w:r>
              <w:rPr>
                <w:b/>
                <w:bCs/>
              </w:rPr>
              <w:t xml:space="preserve">LEN 4</w:t>
            </w:r>
            <w:r>
              <w:t xml:space="preserve">)</w:t>
            </w:r>
          </w:p>
        </w:tc>
        <w:tc>
          <w:tcPr/>
          <w:p>
            <w:pPr>
              <w:pStyle w:val="Compact"/>
              <w:jc w:val="center"/>
            </w:pPr>
            <w:r>
              <w:t xml:space="preserve">●</w:t>
            </w:r>
          </w:p>
        </w:tc>
        <w:tc>
          <w:tcPr/>
          <w:p>
            <w:pPr>
              <w:pStyle w:val="Compact"/>
            </w:pPr>
            <w:r>
              <w:rPr>
                <w:i/>
                <w:iCs/>
              </w:rPr>
              <w:t xml:space="preserve">(v2.4)</w:t>
            </w:r>
            <w:r>
              <w:t xml:space="preserve"> </w:t>
            </w:r>
            <w:r>
              <w:t xml:space="preserve">Closed as subobjective 4.7 — appraise a primary study’s method and the validity of its claims</w:t>
            </w:r>
          </w:p>
        </w:tc>
      </w:tr>
      <w:tr>
        <w:tc>
          <w:tcPr/>
          <w:p>
            <w:pPr>
              <w:pStyle w:val="Compact"/>
            </w:pPr>
            <w:r>
              <w:t xml:space="preserve">3.d Analyze existing data</w:t>
            </w:r>
          </w:p>
        </w:tc>
        <w:tc>
          <w:tcPr/>
          <w:p>
            <w:pPr>
              <w:pStyle w:val="Compact"/>
              <w:jc w:val="center"/>
            </w:pPr>
            <w:r>
              <w:t xml:space="preserve">T</w:t>
            </w:r>
          </w:p>
        </w:tc>
        <w:tc>
          <w:tcPr/>
          <w:p>
            <w:pPr>
              <w:pStyle w:val="Compact"/>
            </w:pPr>
            <w:r>
              <w:t xml:space="preserve">4.1,</w:t>
            </w:r>
            <w:r>
              <w:t xml:space="preserve"> </w:t>
            </w:r>
            <w:r>
              <w:rPr>
                <w:b/>
                <w:bCs/>
              </w:rPr>
              <w:t xml:space="preserve">LEN 4</w:t>
            </w:r>
            <w:r>
              <w:t xml:space="preserve">, LEN 9</w:t>
            </w:r>
          </w:p>
        </w:tc>
        <w:tc>
          <w:tcPr/>
          <w:p>
            <w:pPr>
              <w:pStyle w:val="Compact"/>
              <w:jc w:val="center"/>
            </w:pPr>
            <w:r>
              <w:t xml:space="preserve">●</w:t>
            </w:r>
          </w:p>
        </w:tc>
        <w:tc>
          <w:tcPr/>
          <w:p>
            <w:pPr>
              <w:pStyle w:val="Compact"/>
            </w:pPr>
          </w:p>
        </w:tc>
      </w:tr>
      <w:tr>
        <w:tc>
          <w:tcPr/>
          <w:p>
            <w:pPr>
              <w:pStyle w:val="Compact"/>
            </w:pPr>
            <w:r>
              <w:t xml:space="preserve">3.e Design for evidence</w:t>
            </w:r>
          </w:p>
        </w:tc>
        <w:tc>
          <w:tcPr/>
          <w:p>
            <w:pPr>
              <w:pStyle w:val="Compact"/>
              <w:jc w:val="center"/>
            </w:pPr>
            <w:r>
              <w:t xml:space="preserve">I</w:t>
            </w:r>
          </w:p>
        </w:tc>
        <w:tc>
          <w:tcPr/>
          <w:p>
            <w:pPr>
              <w:pStyle w:val="Compact"/>
            </w:pPr>
            <w:r>
              <w:t xml:space="preserve">4.1,</w:t>
            </w:r>
            <w:r>
              <w:t xml:space="preserve"> </w:t>
            </w:r>
            <w:r>
              <w:rPr>
                <w:b/>
                <w:bCs/>
              </w:rPr>
              <w:t xml:space="preserve">LEN 4</w:t>
            </w:r>
          </w:p>
        </w:tc>
        <w:tc>
          <w:tcPr/>
          <w:p>
            <w:pPr>
              <w:pStyle w:val="Compact"/>
              <w:jc w:val="center"/>
            </w:pPr>
            <w:r>
              <w:t xml:space="preserve">●</w:t>
            </w:r>
          </w:p>
        </w:tc>
        <w:tc>
          <w:tcPr/>
          <w:p>
            <w:pPr>
              <w:pStyle w:val="Compact"/>
            </w:pPr>
            <w:r>
              <w:t xml:space="preserve">Refuse a design that cannot be evidenced ≈ LEO-4 posture</w:t>
            </w:r>
          </w:p>
        </w:tc>
      </w:tr>
      <w:tr>
        <w:tc>
          <w:tcPr/>
          <w:p>
            <w:pPr>
              <w:pStyle w:val="Compact"/>
            </w:pPr>
            <w:r>
              <w:t xml:space="preserve">3.f Run a study when the question needs one</w:t>
            </w:r>
          </w:p>
        </w:tc>
        <w:tc>
          <w:tcPr/>
          <w:p>
            <w:pPr>
              <w:pStyle w:val="Compact"/>
              <w:jc w:val="center"/>
            </w:pPr>
            <w:r>
              <w:t xml:space="preserve">T</w:t>
            </w:r>
          </w:p>
        </w:tc>
        <w:tc>
          <w:tcPr/>
          <w:p>
            <w:pPr>
              <w:pStyle w:val="Compact"/>
            </w:pPr>
            <w:r>
              <w:rPr>
                <w:b/>
                <w:bCs/>
              </w:rPr>
              <w:t xml:space="preserve">LEN 4</w:t>
            </w:r>
            <w:r>
              <w:t xml:space="preserve">,</w:t>
            </w:r>
            <w:r>
              <w:t xml:space="preserve"> </w:t>
            </w:r>
            <w:r>
              <w:rPr>
                <w:b/>
                <w:bCs/>
              </w:rPr>
              <w:t xml:space="preserve">LEN 10</w:t>
            </w:r>
            <w:r>
              <w:t xml:space="preserve">; elective (SOE</w:t>
            </w:r>
            <w:r>
              <w:t xml:space="preserve"> </w:t>
            </w:r>
            <w:r>
              <w:rPr>
                <w:rStyle w:val="VerbatimChar"/>
              </w:rPr>
              <w:t xml:space="preserve">ED.880.624</w:t>
            </w:r>
            <w:r>
              <w:t xml:space="preserve">, unverified)</w:t>
            </w:r>
          </w:p>
        </w:tc>
        <w:tc>
          <w:tcPr/>
          <w:p>
            <w:pPr>
              <w:pStyle w:val="Compact"/>
              <w:jc w:val="center"/>
            </w:pPr>
            <w:r>
              <w:t xml:space="preserve">◐</w:t>
            </w:r>
          </w:p>
        </w:tc>
        <w:tc>
          <w:tcPr/>
          <w:p>
            <w:pPr>
              <w:pStyle w:val="Compact"/>
            </w:pPr>
            <w:r>
              <w:rPr>
                <w:i/>
                <w:iCs/>
              </w:rPr>
              <w:t xml:space="preserve">(v2.6)</w:t>
            </w:r>
            <w:r>
              <w:t xml:space="preserve"> </w:t>
            </w:r>
            <w:r>
              <w:t xml:space="preserve">Evidence</w:t>
            </w:r>
            <w:r>
              <w:t xml:space="preserve"> </w:t>
            </w:r>
            <w:r>
              <w:rPr>
                <w:i/>
                <w:iCs/>
              </w:rPr>
              <w:t xml:space="preserve">use</w:t>
            </w:r>
            <w:r>
              <w:t xml:space="preserve"> </w:t>
            </w:r>
            <w:r>
              <w:t xml:space="preserve">at practitioner; formal study</w:t>
            </w:r>
            <w:r>
              <w:t xml:space="preserve"> </w:t>
            </w:r>
            <w:r>
              <w:rPr>
                <w:i/>
                <w:iCs/>
              </w:rPr>
              <w:t xml:space="preserve">design</w:t>
            </w:r>
            <w:r>
              <w:t xml:space="preserve"> </w:t>
            </w:r>
            <w:r>
              <w:t xml:space="preserve">+ IRB held at awareness, routed to a university elective (§6.5)</w:t>
            </w:r>
          </w:p>
        </w:tc>
      </w:tr>
      <w:tr>
        <w:tc>
          <w:tcPr/>
          <w:p>
            <w:pPr>
              <w:pStyle w:val="Compact"/>
            </w:pPr>
            <w:r>
              <w:t xml:space="preserve">3.g Hold the domain knowledge</w:t>
            </w:r>
          </w:p>
        </w:tc>
        <w:tc>
          <w:tcPr/>
          <w:p>
            <w:pPr>
              <w:pStyle w:val="Compact"/>
              <w:jc w:val="center"/>
            </w:pPr>
            <w:r>
              <w:t xml:space="preserve">T</w:t>
            </w:r>
          </w:p>
        </w:tc>
        <w:tc>
          <w:tcPr/>
          <w:p>
            <w:pPr>
              <w:pStyle w:val="Compact"/>
            </w:pPr>
            <w:r>
              <w:t xml:space="preserve">5.3, LEN 5;</w:t>
            </w:r>
            <w:r>
              <w:t xml:space="preserve"> </w:t>
            </w:r>
            <w:r>
              <w:t xml:space="preserve">“students as domain experts”</w:t>
            </w:r>
          </w:p>
        </w:tc>
        <w:tc>
          <w:tcPr/>
          <w:p>
            <w:pPr>
              <w:pStyle w:val="Compact"/>
              <w:jc w:val="center"/>
            </w:pPr>
            <w:r>
              <w:t xml:space="preserve">●</w:t>
            </w:r>
          </w:p>
        </w:tc>
        <w:tc>
          <w:tcPr/>
          <w:p>
            <w:pPr>
              <w:pStyle w:val="Compact"/>
            </w:pPr>
            <w:r>
              <w:t xml:space="preserve">A LENS strength — prior domain fluency is treated as an asset</w:t>
            </w:r>
          </w:p>
        </w:tc>
      </w:tr>
      <w:tr>
        <w:tc>
          <w:tcPr/>
          <w:p>
            <w:pPr>
              <w:pStyle w:val="Compact"/>
            </w:pPr>
            <w:r>
              <w:t xml:space="preserve">3.h Apply human-centered design</w:t>
            </w:r>
          </w:p>
        </w:tc>
        <w:tc>
          <w:tcPr/>
          <w:p>
            <w:pPr>
              <w:pStyle w:val="Compact"/>
              <w:jc w:val="center"/>
            </w:pPr>
            <w:r>
              <w:t xml:space="preserve">T</w:t>
            </w:r>
          </w:p>
        </w:tc>
        <w:tc>
          <w:tcPr/>
          <w:p>
            <w:pPr>
              <w:pStyle w:val="Compact"/>
            </w:pPr>
            <w:r>
              <w:t xml:space="preserve">PLO-2;</w:t>
            </w:r>
            <w:r>
              <w:t xml:space="preserve"> </w:t>
            </w:r>
            <w:r>
              <w:rPr>
                <w:b/>
                <w:bCs/>
              </w:rPr>
              <w:t xml:space="preserve">LEN 2</w:t>
            </w:r>
            <w:r>
              <w:t xml:space="preserve"> </w:t>
            </w:r>
            <w:r>
              <w:t xml:space="preserve">(prototyping)</w:t>
            </w:r>
          </w:p>
        </w:tc>
        <w:tc>
          <w:tcPr/>
          <w:p>
            <w:pPr>
              <w:pStyle w:val="Compact"/>
              <w:jc w:val="center"/>
            </w:pPr>
            <w:r>
              <w:t xml:space="preserve">◐</w:t>
            </w:r>
          </w:p>
        </w:tc>
        <w:tc>
          <w:tcPr/>
          <w:p>
            <w:pPr>
              <w:pStyle w:val="Compact"/>
            </w:pPr>
            <w:r>
              <w:t xml:space="preserve">HCD is a PLO not a LEO; design patterns, information architecture, prototyping fidelity not explicit</w:t>
            </w:r>
          </w:p>
        </w:tc>
      </w:tr>
      <w:tr>
        <w:tc>
          <w:tcPr/>
          <w:p>
            <w:pPr>
              <w:pStyle w:val="Compact"/>
            </w:pPr>
            <w:r>
              <w:t xml:space="preserve">3.i Translate learning science into design</w:t>
            </w:r>
          </w:p>
        </w:tc>
        <w:tc>
          <w:tcPr/>
          <w:p>
            <w:pPr>
              <w:pStyle w:val="Compact"/>
              <w:jc w:val="center"/>
            </w:pPr>
            <w:r>
              <w:t xml:space="preserve">T</w:t>
            </w:r>
          </w:p>
        </w:tc>
        <w:tc>
          <w:tcPr/>
          <w:p>
            <w:pPr>
              <w:pStyle w:val="Compact"/>
            </w:pPr>
            <w:r>
              <w:t xml:space="preserve">2.1,</w:t>
            </w:r>
            <w:r>
              <w:t xml:space="preserve"> </w:t>
            </w:r>
            <w:r>
              <w:rPr>
                <w:b/>
                <w:bCs/>
              </w:rPr>
              <w:t xml:space="preserve">F1</w:t>
            </w:r>
            <w:r>
              <w:t xml:space="preserve">,</w:t>
            </w:r>
            <w:r>
              <w:t xml:space="preserve"> </w:t>
            </w:r>
            <w:r>
              <w:rPr>
                <w:b/>
                <w:bCs/>
              </w:rPr>
              <w:t xml:space="preserve">LEN 1</w:t>
            </w:r>
          </w:p>
        </w:tc>
        <w:tc>
          <w:tcPr/>
          <w:p>
            <w:pPr>
              <w:pStyle w:val="Compact"/>
              <w:jc w:val="center"/>
            </w:pPr>
            <w:r>
              <w:t xml:space="preserve">●</w:t>
            </w:r>
          </w:p>
        </w:tc>
        <w:tc>
          <w:tcPr/>
          <w:p>
            <w:pPr>
              <w:pStyle w:val="Compact"/>
            </w:pPr>
          </w:p>
        </w:tc>
      </w:tr>
      <w:tr>
        <w:tc>
          <w:tcPr/>
          <w:p>
            <w:pPr>
              <w:pStyle w:val="Compact"/>
            </w:pPr>
            <w:r>
              <w:t xml:space="preserve">3.j Design for accessibility and inclusion</w:t>
            </w:r>
          </w:p>
        </w:tc>
        <w:tc>
          <w:tcPr/>
          <w:p>
            <w:pPr>
              <w:pStyle w:val="Compact"/>
              <w:jc w:val="center"/>
            </w:pPr>
            <w:r>
              <w:t xml:space="preserve">T</w:t>
            </w:r>
          </w:p>
        </w:tc>
        <w:tc>
          <w:tcPr/>
          <w:p>
            <w:pPr>
              <w:pStyle w:val="Compact"/>
            </w:pPr>
            <w:r>
              <w:t xml:space="preserve">2.7 (</w:t>
            </w:r>
            <w:r>
              <w:rPr>
                <w:b/>
                <w:bCs/>
              </w:rPr>
              <w:t xml:space="preserve">LEN 6</w:t>
            </w:r>
            <w:r>
              <w:t xml:space="preserve">); F2, LEN 7</w:t>
            </w:r>
          </w:p>
        </w:tc>
        <w:tc>
          <w:tcPr/>
          <w:p>
            <w:pPr>
              <w:pStyle w:val="Compact"/>
              <w:jc w:val="center"/>
            </w:pPr>
            <w:r>
              <w:t xml:space="preserve">●</w:t>
            </w:r>
          </w:p>
        </w:tc>
        <w:tc>
          <w:tcPr/>
          <w:p>
            <w:pPr>
              <w:pStyle w:val="Compact"/>
            </w:pPr>
            <w:r>
              <w:rPr>
                <w:i/>
                <w:iCs/>
              </w:rPr>
              <w:t xml:space="preserve">(v2.5)</w:t>
            </w:r>
            <w:r>
              <w:t xml:space="preserve"> </w:t>
            </w:r>
            <w:r>
              <w:t xml:space="preserve">Named as subobjective 2.7 — design and test for accessibility, not usability alone</w:t>
            </w:r>
          </w:p>
        </w:tc>
      </w:tr>
      <w:tr>
        <w:tc>
          <w:tcPr/>
          <w:p>
            <w:pPr>
              <w:pStyle w:val="Compact"/>
            </w:pPr>
            <w:r>
              <w:t xml:space="preserve">3.k Design the assessment before the content</w:t>
            </w:r>
          </w:p>
        </w:tc>
        <w:tc>
          <w:tcPr/>
          <w:p>
            <w:pPr>
              <w:pStyle w:val="Compact"/>
              <w:jc w:val="center"/>
            </w:pPr>
            <w:r>
              <w:t xml:space="preserve">T</w:t>
            </w:r>
          </w:p>
        </w:tc>
        <w:tc>
          <w:tcPr/>
          <w:p>
            <w:pPr>
              <w:pStyle w:val="Compact"/>
            </w:pPr>
            <w:r>
              <w:t xml:space="preserve">4.8 (</w:t>
            </w:r>
            <w:r>
              <w:rPr>
                <w:b/>
                <w:bCs/>
              </w:rPr>
              <w:t xml:space="preserve">LEN 4</w:t>
            </w:r>
            <w:r>
              <w:t xml:space="preserve">)</w:t>
            </w:r>
          </w:p>
        </w:tc>
        <w:tc>
          <w:tcPr/>
          <w:p>
            <w:pPr>
              <w:pStyle w:val="Compact"/>
              <w:jc w:val="center"/>
            </w:pPr>
            <w:r>
              <w:t xml:space="preserve">●</w:t>
            </w:r>
          </w:p>
        </w:tc>
        <w:tc>
          <w:tcPr/>
          <w:p>
            <w:pPr>
              <w:pStyle w:val="Compact"/>
            </w:pPr>
            <w:r>
              <w:rPr>
                <w:i/>
                <w:iCs/>
              </w:rPr>
              <w:t xml:space="preserve">(v2.5)</w:t>
            </w:r>
            <w:r>
              <w:t xml:space="preserve"> </w:t>
            </w:r>
            <w:r>
              <w:t xml:space="preserve">Named as subobjective 4.8 — operationalize the construct and specify evidence before building</w:t>
            </w:r>
          </w:p>
        </w:tc>
      </w:tr>
    </w:tbl>
    <w:bookmarkEnd w:id="15"/>
    <w:bookmarkStart w:id="16" w:name="category-4-development"/>
    <w:p>
      <w:pPr>
        <w:pStyle w:val="Heading2"/>
      </w:pPr>
      <w:r>
        <w:t xml:space="preserve">Category 4 — Development</w:t>
      </w:r>
    </w:p>
    <w:tbl>
      <w:tblPr>
        <w:tblStyle w:val="Table"/>
        <w:tblW w:type="pct" w:w="5000"/>
        <w:tblLayout w:type="fixed"/>
        <w:tblLook w:firstRow="1" w:lastRow="0" w:firstColumn="0" w:lastColumn="0" w:noHBand="0" w:noVBand="0" w:val="0020"/>
      </w:tblPr>
      <w:tblGrid>
        <w:gridCol w:w="1250"/>
        <w:gridCol w:w="2084"/>
        <w:gridCol w:w="1250"/>
        <w:gridCol w:w="2084"/>
        <w:gridCol w:w="1250"/>
      </w:tblGrid>
      <w:tr>
        <w:trPr>
          <w:tblHeader w:val="on"/>
        </w:trPr>
        <w:tc>
          <w:tcPr/>
          <w:p>
            <w:pPr>
              <w:pStyle w:val="Compact"/>
            </w:pPr>
            <w:r>
              <w:t xml:space="preserve">ICICLE competency</w:t>
            </w:r>
          </w:p>
        </w:tc>
        <w:tc>
          <w:tcPr/>
          <w:p>
            <w:pPr>
              <w:pStyle w:val="Compact"/>
              <w:jc w:val="center"/>
            </w:pPr>
            <w:r>
              <w:t xml:space="preserve">Tier</w:t>
            </w:r>
          </w:p>
        </w:tc>
        <w:tc>
          <w:tcPr/>
          <w:p>
            <w:pPr>
              <w:pStyle w:val="Compact"/>
            </w:pPr>
            <w:r>
              <w:t xml:space="preserve">LENS home</w:t>
            </w:r>
          </w:p>
        </w:tc>
        <w:tc>
          <w:tcPr/>
          <w:p>
            <w:pPr>
              <w:pStyle w:val="Compact"/>
              <w:jc w:val="center"/>
            </w:pPr>
            <w:r>
              <w:t xml:space="preserve">Status</w:t>
            </w:r>
          </w:p>
        </w:tc>
        <w:tc>
          <w:tcPr/>
          <w:p>
            <w:pPr>
              <w:pStyle w:val="Compact"/>
            </w:pPr>
            <w:r>
              <w:t xml:space="preserve">Note</w:t>
            </w:r>
          </w:p>
        </w:tc>
      </w:tr>
      <w:tr>
        <w:tc>
          <w:tcPr/>
          <w:p>
            <w:pPr>
              <w:pStyle w:val="Compact"/>
            </w:pPr>
            <w:r>
              <w:t xml:space="preserve">4.a Instrument the solution</w:t>
            </w:r>
          </w:p>
        </w:tc>
        <w:tc>
          <w:tcPr/>
          <w:p>
            <w:pPr>
              <w:pStyle w:val="Compact"/>
              <w:jc w:val="center"/>
            </w:pPr>
            <w:r>
              <w:t xml:space="preserve">T</w:t>
            </w:r>
          </w:p>
        </w:tc>
        <w:tc>
          <w:tcPr/>
          <w:p>
            <w:pPr>
              <w:pStyle w:val="Compact"/>
            </w:pPr>
            <w:r>
              <w:t xml:space="preserve">4.1,</w:t>
            </w:r>
            <w:r>
              <w:t xml:space="preserve"> </w:t>
            </w:r>
            <w:r>
              <w:rPr>
                <w:b/>
                <w:bCs/>
              </w:rPr>
              <w:t xml:space="preserve">LEN 4</w:t>
            </w:r>
            <w:r>
              <w:t xml:space="preserve"> </w:t>
            </w:r>
            <w:r>
              <w:t xml:space="preserve">(+ data standards)</w:t>
            </w:r>
          </w:p>
        </w:tc>
        <w:tc>
          <w:tcPr/>
          <w:p>
            <w:pPr>
              <w:pStyle w:val="Compact"/>
              <w:jc w:val="center"/>
            </w:pPr>
            <w:r>
              <w:t xml:space="preserve">●</w:t>
            </w:r>
          </w:p>
        </w:tc>
        <w:tc>
          <w:tcPr/>
          <w:p>
            <w:pPr>
              <w:pStyle w:val="Compact"/>
            </w:pPr>
            <w:r>
              <w:rPr>
                <w:i/>
                <w:iCs/>
              </w:rPr>
              <w:t xml:space="preserve">(v2.7)</w:t>
            </w:r>
            <w:r>
              <w:t xml:space="preserve"> </w:t>
            </w:r>
            <w:r>
              <w:t xml:space="preserve">Data standards &amp; interoperability (xAPI/Caliper) now explicit in LEN 4; deepened in LEN 9</w:t>
            </w:r>
          </w:p>
        </w:tc>
      </w:tr>
      <w:tr>
        <w:tc>
          <w:tcPr/>
          <w:p>
            <w:pPr>
              <w:pStyle w:val="Compact"/>
            </w:pPr>
            <w:r>
              <w:t xml:space="preserve">4.b Test the design</w:t>
            </w:r>
          </w:p>
        </w:tc>
        <w:tc>
          <w:tcPr/>
          <w:p>
            <w:pPr>
              <w:pStyle w:val="Compact"/>
              <w:jc w:val="center"/>
            </w:pPr>
            <w:r>
              <w:t xml:space="preserve">T</w:t>
            </w:r>
          </w:p>
        </w:tc>
        <w:tc>
          <w:tcPr/>
          <w:p>
            <w:pPr>
              <w:pStyle w:val="Compact"/>
            </w:pPr>
            <w:r>
              <w:t xml:space="preserve">2.2,</w:t>
            </w:r>
            <w:r>
              <w:t xml:space="preserve"> </w:t>
            </w:r>
            <w:r>
              <w:rPr>
                <w:b/>
                <w:bCs/>
              </w:rPr>
              <w:t xml:space="preserve">LEN 2</w:t>
            </w:r>
          </w:p>
        </w:tc>
        <w:tc>
          <w:tcPr/>
          <w:p>
            <w:pPr>
              <w:pStyle w:val="Compact"/>
              <w:jc w:val="center"/>
            </w:pPr>
            <w:r>
              <w:t xml:space="preserve">●</w:t>
            </w:r>
          </w:p>
        </w:tc>
        <w:tc>
          <w:tcPr/>
          <w:p>
            <w:pPr>
              <w:pStyle w:val="Compact"/>
            </w:pPr>
            <w:r>
              <w:t xml:space="preserve">Prototype-instrument-refine against measured performance</w:t>
            </w:r>
          </w:p>
        </w:tc>
      </w:tr>
      <w:tr>
        <w:tc>
          <w:tcPr/>
          <w:p>
            <w:pPr>
              <w:pStyle w:val="Compact"/>
            </w:pPr>
            <w:r>
              <w:t xml:space="preserve">4.c Select and integrate the tools and technology</w:t>
            </w:r>
          </w:p>
        </w:tc>
        <w:tc>
          <w:tcPr/>
          <w:p>
            <w:pPr>
              <w:pStyle w:val="Compact"/>
              <w:jc w:val="center"/>
            </w:pPr>
            <w:r>
              <w:t xml:space="preserve">T</w:t>
            </w:r>
          </w:p>
        </w:tc>
        <w:tc>
          <w:tcPr/>
          <w:p>
            <w:pPr>
              <w:pStyle w:val="Compact"/>
            </w:pPr>
            <w:r>
              <w:t xml:space="preserve">LEN 9 (elec, computational only)</w:t>
            </w:r>
          </w:p>
        </w:tc>
        <w:tc>
          <w:tcPr/>
          <w:p>
            <w:pPr>
              <w:pStyle w:val="Compact"/>
              <w:jc w:val="center"/>
            </w:pPr>
            <w:r>
              <w:t xml:space="preserve">○</w:t>
            </w:r>
          </w:p>
        </w:tc>
        <w:tc>
          <w:tcPr/>
          <w:p>
            <w:pPr>
              <w:pStyle w:val="Compact"/>
            </w:pPr>
            <w:r>
              <w:t xml:space="preserve">Software/platform engineering, LMS config, integration not taught</w:t>
            </w:r>
          </w:p>
        </w:tc>
      </w:tr>
      <w:tr>
        <w:tc>
          <w:tcPr/>
          <w:p>
            <w:pPr>
              <w:pStyle w:val="Compact"/>
            </w:pPr>
            <w:r>
              <w:t xml:space="preserve">4.d Develop the content and media</w:t>
            </w:r>
          </w:p>
        </w:tc>
        <w:tc>
          <w:tcPr/>
          <w:p>
            <w:pPr>
              <w:pStyle w:val="Compact"/>
              <w:jc w:val="center"/>
            </w:pPr>
            <w:r>
              <w:t xml:space="preserve">T</w:t>
            </w:r>
          </w:p>
        </w:tc>
        <w:tc>
          <w:tcPr/>
          <w:p>
            <w:pPr>
              <w:pStyle w:val="Compact"/>
            </w:pPr>
            <w:r>
              <w:t xml:space="preserve">—</w:t>
            </w:r>
          </w:p>
        </w:tc>
        <w:tc>
          <w:tcPr/>
          <w:p>
            <w:pPr>
              <w:pStyle w:val="Compact"/>
              <w:jc w:val="center"/>
            </w:pPr>
            <w:r>
              <w:t xml:space="preserve">○</w:t>
            </w:r>
          </w:p>
        </w:tc>
        <w:tc>
          <w:tcPr/>
          <w:p>
            <w:pPr>
              <w:pStyle w:val="Compact"/>
            </w:pPr>
            <w:r>
              <w:t xml:space="preserve">Content/media production not a LENS objective</w:t>
            </w:r>
          </w:p>
        </w:tc>
      </w:tr>
    </w:tbl>
    <w:bookmarkEnd w:id="16"/>
    <w:bookmarkStart w:id="17" w:name="category-5-implementation"/>
    <w:p>
      <w:pPr>
        <w:pStyle w:val="Heading2"/>
      </w:pPr>
      <w:r>
        <w:t xml:space="preserve">Category 5 — Implementation</w:t>
      </w:r>
    </w:p>
    <w:tbl>
      <w:tblPr>
        <w:tblStyle w:val="Table"/>
        <w:tblW w:type="pct" w:w="5000"/>
        <w:tblLayout w:type="fixed"/>
        <w:tblLook w:firstRow="1" w:lastRow="0" w:firstColumn="0" w:lastColumn="0" w:noHBand="0" w:noVBand="0" w:val="0020"/>
      </w:tblPr>
      <w:tblGrid>
        <w:gridCol w:w="1250"/>
        <w:gridCol w:w="2084"/>
        <w:gridCol w:w="1250"/>
        <w:gridCol w:w="2084"/>
        <w:gridCol w:w="1250"/>
      </w:tblGrid>
      <w:tr>
        <w:trPr>
          <w:tblHeader w:val="on"/>
        </w:trPr>
        <w:tc>
          <w:tcPr/>
          <w:p>
            <w:pPr>
              <w:pStyle w:val="Compact"/>
            </w:pPr>
            <w:r>
              <w:t xml:space="preserve">ICICLE competency</w:t>
            </w:r>
          </w:p>
        </w:tc>
        <w:tc>
          <w:tcPr/>
          <w:p>
            <w:pPr>
              <w:pStyle w:val="Compact"/>
              <w:jc w:val="center"/>
            </w:pPr>
            <w:r>
              <w:t xml:space="preserve">Tier</w:t>
            </w:r>
          </w:p>
        </w:tc>
        <w:tc>
          <w:tcPr/>
          <w:p>
            <w:pPr>
              <w:pStyle w:val="Compact"/>
            </w:pPr>
            <w:r>
              <w:t xml:space="preserve">LENS home</w:t>
            </w:r>
          </w:p>
        </w:tc>
        <w:tc>
          <w:tcPr/>
          <w:p>
            <w:pPr>
              <w:pStyle w:val="Compact"/>
              <w:jc w:val="center"/>
            </w:pPr>
            <w:r>
              <w:t xml:space="preserve">Status</w:t>
            </w:r>
          </w:p>
        </w:tc>
        <w:tc>
          <w:tcPr/>
          <w:p>
            <w:pPr>
              <w:pStyle w:val="Compact"/>
            </w:pPr>
            <w:r>
              <w:t xml:space="preserve">Note</w:t>
            </w:r>
          </w:p>
        </w:tc>
      </w:tr>
      <w:tr>
        <w:tc>
          <w:tcPr/>
          <w:p>
            <w:pPr>
              <w:pStyle w:val="Compact"/>
            </w:pPr>
            <w:r>
              <w:t xml:space="preserve">5.a Roll out and monitor</w:t>
            </w:r>
          </w:p>
        </w:tc>
        <w:tc>
          <w:tcPr/>
          <w:p>
            <w:pPr>
              <w:pStyle w:val="Compact"/>
              <w:jc w:val="center"/>
            </w:pPr>
            <w:r>
              <w:t xml:space="preserve">T</w:t>
            </w:r>
          </w:p>
        </w:tc>
        <w:tc>
          <w:tcPr/>
          <w:p>
            <w:pPr>
              <w:pStyle w:val="Compact"/>
            </w:pPr>
            <w:r>
              <w:t xml:space="preserve">2.4, 5.5; LEN 8</w:t>
            </w:r>
          </w:p>
        </w:tc>
        <w:tc>
          <w:tcPr/>
          <w:p>
            <w:pPr>
              <w:pStyle w:val="Compact"/>
              <w:jc w:val="center"/>
            </w:pPr>
            <w:r>
              <w:t xml:space="preserve">●</w:t>
            </w:r>
          </w:p>
        </w:tc>
        <w:tc>
          <w:tcPr/>
          <w:p>
            <w:pPr>
              <w:pStyle w:val="Compact"/>
            </w:pPr>
          </w:p>
        </w:tc>
      </w:tr>
      <w:tr>
        <w:tc>
          <w:tcPr/>
          <w:p>
            <w:pPr>
              <w:pStyle w:val="Compact"/>
            </w:pPr>
            <w:r>
              <w:t xml:space="preserve">5.b Lead the change</w:t>
            </w:r>
          </w:p>
        </w:tc>
        <w:tc>
          <w:tcPr/>
          <w:p>
            <w:pPr>
              <w:pStyle w:val="Compact"/>
              <w:jc w:val="center"/>
            </w:pPr>
            <w:r>
              <w:t xml:space="preserve">I</w:t>
            </w:r>
          </w:p>
        </w:tc>
        <w:tc>
          <w:tcPr/>
          <w:p>
            <w:pPr>
              <w:pStyle w:val="Compact"/>
            </w:pPr>
            <w:r>
              <w:t xml:space="preserve">5.5; LEN 8; implementation-science thread</w:t>
            </w:r>
          </w:p>
        </w:tc>
        <w:tc>
          <w:tcPr/>
          <w:p>
            <w:pPr>
              <w:pStyle w:val="Compact"/>
              <w:jc w:val="center"/>
            </w:pPr>
            <w:r>
              <w:t xml:space="preserve">●</w:t>
            </w:r>
          </w:p>
        </w:tc>
        <w:tc>
          <w:tcPr/>
          <w:p>
            <w:pPr>
              <w:pStyle w:val="Compact"/>
            </w:pPr>
            <w:r>
              <w:t xml:space="preserve">Adoption/sustainment; why sound solutions fail to adopt</w:t>
            </w:r>
          </w:p>
        </w:tc>
      </w:tr>
      <w:tr>
        <w:tc>
          <w:tcPr/>
          <w:p>
            <w:pPr>
              <w:pStyle w:val="Compact"/>
            </w:pPr>
            <w:r>
              <w:t xml:space="preserve">5.c Enable the people who deliver</w:t>
            </w:r>
          </w:p>
        </w:tc>
        <w:tc>
          <w:tcPr/>
          <w:p>
            <w:pPr>
              <w:pStyle w:val="Compact"/>
              <w:jc w:val="center"/>
            </w:pPr>
            <w:r>
              <w:t xml:space="preserve">I</w:t>
            </w:r>
          </w:p>
        </w:tc>
        <w:tc>
          <w:tcPr/>
          <w:p>
            <w:pPr>
              <w:pStyle w:val="Compact"/>
            </w:pPr>
            <w:r>
              <w:t xml:space="preserve">2.6 (</w:t>
            </w:r>
            <w:r>
              <w:rPr>
                <w:b/>
                <w:bCs/>
              </w:rPr>
              <w:t xml:space="preserve">LEN 6</w:t>
            </w:r>
            <w:r>
              <w:t xml:space="preserve">), 3.7 (</w:t>
            </w:r>
            <w:r>
              <w:rPr>
                <w:b/>
                <w:bCs/>
              </w:rPr>
              <w:t xml:space="preserve">LEN 2</w:t>
            </w:r>
            <w:r>
              <w:t xml:space="preserve">),</w:t>
            </w:r>
            <w:r>
              <w:t xml:space="preserve"> </w:t>
            </w:r>
            <w:r>
              <w:rPr>
                <w:b/>
                <w:bCs/>
              </w:rPr>
              <w:t xml:space="preserve">LEN 10</w:t>
            </w:r>
            <w:r>
              <w:t xml:space="preserve">; LEN 8 (elec)</w:t>
            </w:r>
          </w:p>
        </w:tc>
        <w:tc>
          <w:tcPr/>
          <w:p>
            <w:pPr>
              <w:pStyle w:val="Compact"/>
              <w:jc w:val="center"/>
            </w:pPr>
            <w:r>
              <w:t xml:space="preserve">●</w:t>
            </w:r>
          </w:p>
        </w:tc>
        <w:tc>
          <w:tcPr/>
          <w:p>
            <w:pPr>
              <w:pStyle w:val="Compact"/>
            </w:pPr>
            <w:r>
              <w:rPr>
                <w:i/>
                <w:iCs/>
              </w:rPr>
              <w:t xml:space="preserve">(v2.3)</w:t>
            </w:r>
            <w:r>
              <w:t xml:space="preserve"> </w:t>
            </w:r>
            <w:r>
              <w:t xml:space="preserve">Closed as two subobjectives — 2.6 support/delivery layer (implementation facet), 3.7 deliverer-as-role (collaboration facet)</w:t>
            </w:r>
          </w:p>
        </w:tc>
      </w:tr>
      <w:tr>
        <w:tc>
          <w:tcPr/>
          <w:p>
            <w:pPr>
              <w:pStyle w:val="Compact"/>
            </w:pPr>
            <w:r>
              <w:t xml:space="preserve">5.d Govern and sustain</w:t>
            </w:r>
          </w:p>
        </w:tc>
        <w:tc>
          <w:tcPr/>
          <w:p>
            <w:pPr>
              <w:pStyle w:val="Compact"/>
              <w:jc w:val="center"/>
            </w:pPr>
            <w:r>
              <w:t xml:space="preserve">T</w:t>
            </w:r>
          </w:p>
        </w:tc>
        <w:tc>
          <w:tcPr/>
          <w:p>
            <w:pPr>
              <w:pStyle w:val="Compact"/>
            </w:pPr>
            <w:r>
              <w:t xml:space="preserve">LEO-5;</w:t>
            </w:r>
            <w:r>
              <w:t xml:space="preserve"> </w:t>
            </w:r>
            <w:r>
              <w:rPr>
                <w:b/>
                <w:bCs/>
              </w:rPr>
              <w:t xml:space="preserve">LEN 4</w:t>
            </w:r>
            <w:r>
              <w:t xml:space="preserve"> </w:t>
            </w:r>
            <w:r>
              <w:t xml:space="preserve">(governance), LEN 7</w:t>
            </w:r>
          </w:p>
        </w:tc>
        <w:tc>
          <w:tcPr/>
          <w:p>
            <w:pPr>
              <w:pStyle w:val="Compact"/>
              <w:jc w:val="center"/>
            </w:pPr>
            <w:r>
              <w:t xml:space="preserve">●</w:t>
            </w:r>
          </w:p>
        </w:tc>
        <w:tc>
          <w:tcPr/>
          <w:p>
            <w:pPr>
              <w:pStyle w:val="Compact"/>
            </w:pPr>
            <w:r>
              <w:t xml:space="preserve">Data governance, lifecycle, re-check constraints over time</w:t>
            </w:r>
          </w:p>
        </w:tc>
      </w:tr>
      <w:tr>
        <w:tc>
          <w:tcPr/>
          <w:p>
            <w:pPr>
              <w:pStyle w:val="Compact"/>
            </w:pPr>
            <w:r>
              <w:t xml:space="preserve">5.e Scale the solution</w:t>
            </w:r>
          </w:p>
        </w:tc>
        <w:tc>
          <w:tcPr/>
          <w:p>
            <w:pPr>
              <w:pStyle w:val="Compact"/>
              <w:jc w:val="center"/>
            </w:pPr>
            <w:r>
              <w:t xml:space="preserve">T</w:t>
            </w:r>
          </w:p>
        </w:tc>
        <w:tc>
          <w:tcPr/>
          <w:p>
            <w:pPr>
              <w:pStyle w:val="Compact"/>
            </w:pPr>
            <w:r>
              <w:t xml:space="preserve">2.3,</w:t>
            </w:r>
            <w:r>
              <w:t xml:space="preserve"> </w:t>
            </w:r>
            <w:r>
              <w:t xml:space="preserve">“speed and scale”</w:t>
            </w:r>
            <w:r>
              <w:t xml:space="preserve"> </w:t>
            </w:r>
            <w:r>
              <w:t xml:space="preserve">through-line</w:t>
            </w:r>
          </w:p>
        </w:tc>
        <w:tc>
          <w:tcPr/>
          <w:p>
            <w:pPr>
              <w:pStyle w:val="Compact"/>
              <w:jc w:val="center"/>
            </w:pPr>
            <w:r>
              <w:t xml:space="preserve">●</w:t>
            </w:r>
          </w:p>
        </w:tc>
        <w:tc>
          <w:tcPr/>
          <w:p>
            <w:pPr>
              <w:pStyle w:val="Compact"/>
            </w:pPr>
            <w:r>
              <w:rPr>
                <w:i/>
                <w:iCs/>
              </w:rPr>
              <w:t xml:space="preserve">(v2.7)</w:t>
            </w:r>
            <w:r>
              <w:t xml:space="preserve"> </w:t>
            </w:r>
            <w:r>
              <w:t xml:space="preserve">Total cost of ownership now explicit in LEN 10; deepened in LEN 8</w:t>
            </w:r>
          </w:p>
        </w:tc>
      </w:tr>
    </w:tbl>
    <w:bookmarkEnd w:id="17"/>
    <w:bookmarkStart w:id="18" w:name="category-6-evaluation"/>
    <w:p>
      <w:pPr>
        <w:pStyle w:val="Heading2"/>
      </w:pPr>
      <w:r>
        <w:t xml:space="preserve">Category 6 — Evaluation</w:t>
      </w:r>
    </w:p>
    <w:tbl>
      <w:tblPr>
        <w:tblStyle w:val="Table"/>
        <w:tblW w:type="pct" w:w="5000"/>
        <w:tblLayout w:type="fixed"/>
        <w:tblLook w:firstRow="1" w:lastRow="0" w:firstColumn="0" w:lastColumn="0" w:noHBand="0" w:noVBand="0" w:val="0020"/>
      </w:tblPr>
      <w:tblGrid>
        <w:gridCol w:w="1250"/>
        <w:gridCol w:w="2084"/>
        <w:gridCol w:w="1250"/>
        <w:gridCol w:w="2084"/>
        <w:gridCol w:w="1250"/>
      </w:tblGrid>
      <w:tr>
        <w:trPr>
          <w:tblHeader w:val="on"/>
        </w:trPr>
        <w:tc>
          <w:tcPr/>
          <w:p>
            <w:pPr>
              <w:pStyle w:val="Compact"/>
            </w:pPr>
            <w:r>
              <w:t xml:space="preserve">ICICLE competency</w:t>
            </w:r>
          </w:p>
        </w:tc>
        <w:tc>
          <w:tcPr/>
          <w:p>
            <w:pPr>
              <w:pStyle w:val="Compact"/>
              <w:jc w:val="center"/>
            </w:pPr>
            <w:r>
              <w:t xml:space="preserve">Tier</w:t>
            </w:r>
          </w:p>
        </w:tc>
        <w:tc>
          <w:tcPr/>
          <w:p>
            <w:pPr>
              <w:pStyle w:val="Compact"/>
            </w:pPr>
            <w:r>
              <w:t xml:space="preserve">LENS home</w:t>
            </w:r>
          </w:p>
        </w:tc>
        <w:tc>
          <w:tcPr/>
          <w:p>
            <w:pPr>
              <w:pStyle w:val="Compact"/>
              <w:jc w:val="center"/>
            </w:pPr>
            <w:r>
              <w:t xml:space="preserve">Status</w:t>
            </w:r>
          </w:p>
        </w:tc>
        <w:tc>
          <w:tcPr/>
          <w:p>
            <w:pPr>
              <w:pStyle w:val="Compact"/>
            </w:pPr>
            <w:r>
              <w:t xml:space="preserve">Note</w:t>
            </w:r>
          </w:p>
        </w:tc>
      </w:tr>
      <w:tr>
        <w:tc>
          <w:tcPr/>
          <w:p>
            <w:pPr>
              <w:pStyle w:val="Compact"/>
            </w:pPr>
            <w:r>
              <w:t xml:space="preserve">6.a Produce decision-grade evidence</w:t>
            </w:r>
          </w:p>
        </w:tc>
        <w:tc>
          <w:tcPr/>
          <w:p>
            <w:pPr>
              <w:pStyle w:val="Compact"/>
              <w:jc w:val="center"/>
            </w:pPr>
            <w:r>
              <w:t xml:space="preserve">I</w:t>
            </w:r>
          </w:p>
        </w:tc>
        <w:tc>
          <w:tcPr/>
          <w:p>
            <w:pPr>
              <w:pStyle w:val="Compact"/>
            </w:pPr>
            <w:r>
              <w:t xml:space="preserve">4.3,</w:t>
            </w:r>
            <w:r>
              <w:t xml:space="preserve"> </w:t>
            </w:r>
            <w:r>
              <w:rPr>
                <w:b/>
                <w:bCs/>
              </w:rPr>
              <w:t xml:space="preserve">LEN 4</w:t>
            </w:r>
            <w:r>
              <w:t xml:space="preserve">,</w:t>
            </w:r>
            <w:r>
              <w:t xml:space="preserve"> </w:t>
            </w:r>
            <w:r>
              <w:rPr>
                <w:b/>
                <w:bCs/>
              </w:rPr>
              <w:t xml:space="preserve">LEN 10</w:t>
            </w:r>
          </w:p>
        </w:tc>
        <w:tc>
          <w:tcPr/>
          <w:p>
            <w:pPr>
              <w:pStyle w:val="Compact"/>
              <w:jc w:val="center"/>
            </w:pPr>
            <w:r>
              <w:t xml:space="preserve">●</w:t>
            </w:r>
          </w:p>
        </w:tc>
        <w:tc>
          <w:tcPr/>
          <w:p>
            <w:pPr>
              <w:pStyle w:val="Compact"/>
            </w:pPr>
            <w:r>
              <w:t xml:space="preserve">The LENS signature competency</w:t>
            </w:r>
          </w:p>
        </w:tc>
      </w:tr>
      <w:tr>
        <w:tc>
          <w:tcPr/>
          <w:p>
            <w:pPr>
              <w:pStyle w:val="Compact"/>
            </w:pPr>
            <w:r>
              <w:t xml:space="preserve">6.b Evaluate impact</w:t>
            </w:r>
          </w:p>
        </w:tc>
        <w:tc>
          <w:tcPr/>
          <w:p>
            <w:pPr>
              <w:pStyle w:val="Compact"/>
              <w:jc w:val="center"/>
            </w:pPr>
            <w:r>
              <w:t xml:space="preserve">T</w:t>
            </w:r>
          </w:p>
        </w:tc>
        <w:tc>
          <w:tcPr/>
          <w:p>
            <w:pPr>
              <w:pStyle w:val="Compact"/>
            </w:pPr>
            <w:r>
              <w:t xml:space="preserve">LEO-4, 3.4;</w:t>
            </w:r>
            <w:r>
              <w:t xml:space="preserve"> </w:t>
            </w:r>
            <w:r>
              <w:rPr>
                <w:b/>
                <w:bCs/>
              </w:rPr>
              <w:t xml:space="preserve">LEN 4/10</w:t>
            </w:r>
          </w:p>
        </w:tc>
        <w:tc>
          <w:tcPr/>
          <w:p>
            <w:pPr>
              <w:pStyle w:val="Compact"/>
              <w:jc w:val="center"/>
            </w:pPr>
            <w:r>
              <w:t xml:space="preserve">●</w:t>
            </w:r>
          </w:p>
        </w:tc>
        <w:tc>
          <w:tcPr/>
          <w:p>
            <w:pPr>
              <w:pStyle w:val="Compact"/>
            </w:pPr>
            <w:r>
              <w:rPr>
                <w:i/>
                <w:iCs/>
              </w:rPr>
              <w:t xml:space="preserve">(v2.7)</w:t>
            </w:r>
            <w:r>
              <w:t xml:space="preserve"> </w:t>
            </w:r>
            <w:r>
              <w:t xml:space="preserve">Capability over time, including skill decay and retention, now explicit in LEN 4</w:t>
            </w:r>
          </w:p>
        </w:tc>
      </w:tr>
      <w:tr>
        <w:tc>
          <w:tcPr/>
          <w:p>
            <w:pPr>
              <w:pStyle w:val="Compact"/>
            </w:pPr>
            <w:r>
              <w:t xml:space="preserve">6.c Analyze how it fails</w:t>
            </w:r>
          </w:p>
        </w:tc>
        <w:tc>
          <w:tcPr/>
          <w:p>
            <w:pPr>
              <w:pStyle w:val="Compact"/>
              <w:jc w:val="center"/>
            </w:pPr>
            <w:r>
              <w:t xml:space="preserve">T</w:t>
            </w:r>
          </w:p>
        </w:tc>
        <w:tc>
          <w:tcPr/>
          <w:p>
            <w:pPr>
              <w:pStyle w:val="Compact"/>
            </w:pPr>
            <w:r>
              <w:t xml:space="preserve">The T/D/N/H/G/K casebook; failure analysis</w:t>
            </w:r>
          </w:p>
        </w:tc>
        <w:tc>
          <w:tcPr/>
          <w:p>
            <w:pPr>
              <w:pStyle w:val="Compact"/>
              <w:jc w:val="center"/>
            </w:pPr>
            <w:r>
              <w:t xml:space="preserve">●</w:t>
            </w:r>
          </w:p>
        </w:tc>
        <w:tc>
          <w:tcPr/>
          <w:p>
            <w:pPr>
              <w:pStyle w:val="Compact"/>
            </w:pPr>
            <w:r>
              <w:t xml:space="preserve">A LENS strength — the entire casebook is failure-mode analysis</w:t>
            </w:r>
          </w:p>
        </w:tc>
      </w:tr>
      <w:tr>
        <w:tc>
          <w:tcPr/>
          <w:p>
            <w:pPr>
              <w:pStyle w:val="Compact"/>
            </w:pPr>
            <w:r>
              <w:t xml:space="preserve">6.d Contribute to the field’s evidence base</w:t>
            </w:r>
          </w:p>
        </w:tc>
        <w:tc>
          <w:tcPr/>
          <w:p>
            <w:pPr>
              <w:pStyle w:val="Compact"/>
              <w:jc w:val="center"/>
            </w:pPr>
            <w:r>
              <w:t xml:space="preserve">T</w:t>
            </w:r>
          </w:p>
        </w:tc>
        <w:tc>
          <w:tcPr/>
          <w:p>
            <w:pPr>
              <w:pStyle w:val="Compact"/>
            </w:pPr>
            <w:r>
              <w:rPr>
                <w:b/>
                <w:bCs/>
              </w:rPr>
              <w:t xml:space="preserve">LEN 10</w:t>
            </w:r>
            <w:r>
              <w:t xml:space="preserve"> </w:t>
            </w:r>
            <w:r>
              <w:t xml:space="preserve">reproducible report;</w:t>
            </w:r>
            <w:r>
              <w:t xml:space="preserve"> </w:t>
            </w:r>
            <w:r>
              <w:t xml:space="preserve">“offered toward LECF validation”</w:t>
            </w:r>
          </w:p>
        </w:tc>
        <w:tc>
          <w:tcPr/>
          <w:p>
            <w:pPr>
              <w:pStyle w:val="Compact"/>
              <w:jc w:val="center"/>
            </w:pPr>
            <w:r>
              <w:t xml:space="preserve">◐</w:t>
            </w:r>
          </w:p>
        </w:tc>
        <w:tc>
          <w:tcPr/>
          <w:p>
            <w:pPr>
              <w:pStyle w:val="Compact"/>
            </w:pPr>
            <w:r>
              <w:t xml:space="preserve">Capstone produces evidence; contributing a case/method</w:t>
            </w:r>
            <w:r>
              <w:t xml:space="preserve"> </w:t>
            </w:r>
            <w:r>
              <w:rPr>
                <w:i/>
                <w:iCs/>
              </w:rPr>
              <w:t xml:space="preserve">back to the field</w:t>
            </w:r>
            <w:r>
              <w:t xml:space="preserve"> </w:t>
            </w:r>
            <w:r>
              <w:t xml:space="preserve">/ design-based research not a graduate objective</w:t>
            </w:r>
          </w:p>
        </w:tc>
      </w:tr>
    </w:tbl>
    <w:bookmarkEnd w:id="18"/>
    <w:bookmarkEnd w:id="19"/>
    <w:bookmarkStart w:id="24" w:name="what-to-do-with-the-gaps-disposition"/>
    <w:p>
      <w:pPr>
        <w:pStyle w:val="Heading1"/>
      </w:pPr>
      <w:r>
        <w:t xml:space="preserve">What to do with the gaps — disposition</w:t>
      </w:r>
    </w:p>
    <w:p>
      <w:pPr>
        <w:pStyle w:val="FirstParagraph"/>
      </w:pPr>
      <w:r>
        <w:t xml:space="preserve">Three moves, in order of leverage. R1 and part of R2 are done; the partials (R3) remain open.</w:t>
      </w:r>
    </w:p>
    <w:bookmarkStart w:id="20" w:name="r1.-close-5.c-done-v2.3"/>
    <w:p>
      <w:pPr>
        <w:pStyle w:val="Heading2"/>
      </w:pPr>
      <w:r>
        <w:t xml:space="preserve">R1. Close 5.c — DONE (v2.3)</w:t>
      </w:r>
    </w:p>
    <w:p>
      <w:pPr>
        <w:pStyle w:val="FirstParagraph"/>
      </w:pPr>
      <w:r>
        <w:t xml:space="preserve">5.c (enable the people who deliver) was the only</w:t>
      </w:r>
      <w:r>
        <w:t xml:space="preserve"> </w:t>
      </w:r>
      <w:r>
        <w:rPr>
          <w:i/>
          <w:iCs/>
        </w:rPr>
        <w:t xml:space="preserve">Individual</w:t>
      </w:r>
      <w:r>
        <w:t xml:space="preserve"> </w:t>
      </w:r>
      <w:r>
        <w:t xml:space="preserve">(floor) gap. Closed in doc 1 v2.3 as two subobjectives —</w:t>
      </w:r>
      <w:r>
        <w:t xml:space="preserve"> </w:t>
      </w:r>
      <w:r>
        <w:rPr>
          <w:b/>
          <w:bCs/>
        </w:rPr>
        <w:t xml:space="preserve">2.6</w:t>
      </w:r>
      <w:r>
        <w:t xml:space="preserve"> </w:t>
      </w:r>
      <w:r>
        <w:t xml:space="preserve">(support/delivery layer so delivery does not depend on the designer; LEO-2) and</w:t>
      </w:r>
      <w:r>
        <w:t xml:space="preserve"> </w:t>
      </w:r>
      <w:r>
        <w:rPr>
          <w:b/>
          <w:bCs/>
        </w:rPr>
        <w:t xml:space="preserve">3.7</w:t>
      </w:r>
      <w:r>
        <w:t xml:space="preserve"> </w:t>
      </w:r>
      <w:r>
        <w:t xml:space="preserve">(the deliverer as a designed-for role in the human-system collaboration; LEO-3) — taught in LEN 6 and LEN 2, deepened in LEN 8, assessed in the LEN 10 sustainment plan.</w:t>
      </w:r>
    </w:p>
    <w:bookmarkEnd w:id="20"/>
    <w:bookmarkStart w:id="21" w:name="X1e0afbd92e3ae68fe2fecc16ec6f8e24529cc0c"/>
    <w:p>
      <w:pPr>
        <w:pStyle w:val="Heading2"/>
      </w:pPr>
      <w:r>
        <w:t xml:space="preserve">R2. Name the individual-attainment posture for the Team gaps — ACCEPTED</w:t>
      </w:r>
    </w:p>
    <w:p>
      <w:pPr>
        <w:pStyle w:val="FirstParagraph"/>
      </w:pPr>
      <w:r>
        <w:t xml:space="preserve">1.j (develop others), 4.c (tools/platform engineering), and 4.d (content/media) are Team competencies the framework explicitly permits to be distributed. Backfilling them into a 30-credit concentration would dilute the thing LENS is. Editor decision (v2.5): record them as</w:t>
      </w:r>
      <w:r>
        <w:t xml:space="preserve"> </w:t>
      </w:r>
      <w:r>
        <w:rPr>
          <w:i/>
          <w:iCs/>
        </w:rPr>
        <w:t xml:space="preserve">awareness / out-of-scope</w:t>
      </w:r>
      <w:r>
        <w:t xml:space="preserve"> </w:t>
      </w:r>
      <w:r>
        <w:t xml:space="preserve">in the one-page attainment profile that</w:t>
      </w:r>
      <w:r>
        <w:t xml:space="preserve"> </w:t>
      </w:r>
      <w:r>
        <w:rPr>
          <w:rStyle w:val="VerbatimChar"/>
        </w:rPr>
        <w:t xml:space="preserve">4_LENS_LECF_Crosswalk.md</w:t>
      </w:r>
      <w:r>
        <w:t xml:space="preserve"> </w:t>
      </w:r>
      <w:r>
        <w:t xml:space="preserve">R2 already calls for, citing the framework’s own Individual/Team designation as the warrant.</w:t>
      </w:r>
      <w:r>
        <w:t xml:space="preserve"> </w:t>
      </w:r>
      <w:r>
        <w:rPr>
          <w:b/>
          <w:bCs/>
        </w:rPr>
        <w:t xml:space="preserve">1.i (manage the work) was handled differently</w:t>
      </w:r>
      <w:r>
        <w:t xml:space="preserve"> </w:t>
      </w:r>
      <w:r>
        <w:t xml:space="preserve">— rather than out-of-scope, it is exercised and evidenced in the LEN 10 capstone (v2.5), because a capstone project already requires it. Remaining action: draft and publish the attainment profile itself.</w:t>
      </w:r>
    </w:p>
    <w:bookmarkEnd w:id="21"/>
    <w:bookmarkStart w:id="22" w:name="r3.-decide-the-partials-resolved"/>
    <w:p>
      <w:pPr>
        <w:pStyle w:val="Heading2"/>
      </w:pPr>
      <w:r>
        <w:t xml:space="preserve">R3. Decide the partials — RESOLVED</w:t>
      </w:r>
    </w:p>
    <w:p>
      <w:pPr>
        <w:pStyle w:val="FirstParagraph"/>
      </w:pPr>
      <w:r>
        <w:t xml:space="preserve">Editor decision (docs 1 v2.4 / 2 v2.6), recorded at graduate level in</w:t>
      </w:r>
      <w:r>
        <w:t xml:space="preserve"> </w:t>
      </w:r>
      <w:r>
        <w:rPr>
          <w:rStyle w:val="VerbatimChar"/>
        </w:rPr>
        <w:t xml:space="preserve">8_LENS_Attainment_Profile.md</w:t>
      </w:r>
      <w:r>
        <w:t xml:space="preserve">:</w:t>
      </w:r>
      <w:r>
        <w:t xml:space="preserve"> </w:t>
      </w:r>
      <w:r>
        <w:t xml:space="preserve">-</w:t>
      </w:r>
      <w:r>
        <w:t xml:space="preserve"> </w:t>
      </w:r>
      <w:r>
        <w:rPr>
          <w:b/>
          <w:bCs/>
        </w:rPr>
        <w:t xml:space="preserve">3.c (appraise research) → practitioner</w:t>
      </w:r>
      <w:r>
        <w:t xml:space="preserve">, closed as subobjective 4.7 in LEN 4.</w:t>
      </w:r>
      <w:r>
        <w:t xml:space="preserve"> </w:t>
      </w:r>
      <w:r>
        <w:t xml:space="preserve">-</w:t>
      </w:r>
      <w:r>
        <w:t xml:space="preserve"> </w:t>
      </w:r>
      <w:r>
        <w:rPr>
          <w:b/>
          <w:bCs/>
        </w:rPr>
        <w:t xml:space="preserve">3.f (formal study + IRB) → awareness</w:t>
      </w:r>
      <w:r>
        <w:t xml:space="preserve">, routed to a university elective (JHU SOE</w:t>
      </w:r>
      <w:r>
        <w:t xml:space="preserve"> </w:t>
      </w:r>
      <w:r>
        <w:rPr>
          <w:rStyle w:val="VerbatimChar"/>
        </w:rPr>
        <w:t xml:space="preserve">ED.880.624</w:t>
      </w:r>
      <w:r>
        <w:t xml:space="preserve"> </w:t>
      </w:r>
      <w:r>
        <w:t xml:space="preserve">— number to be verified; Bloomberg School human-subjects research-ethics), not backfilled into the sequence that already replaced two research courses.</w:t>
      </w:r>
      <w:r>
        <w:t xml:space="preserve"> </w:t>
      </w:r>
      <w:r>
        <w:t xml:space="preserve">-</w:t>
      </w:r>
      <w:r>
        <w:t xml:space="preserve"> </w:t>
      </w:r>
      <w:r>
        <w:rPr>
          <w:b/>
          <w:bCs/>
        </w:rPr>
        <w:t xml:space="preserve">3.j (accessibility) and 3.k (assessment design) → practitioner, now named</w:t>
      </w:r>
      <w:r>
        <w:t xml:space="preserve"> </w:t>
      </w:r>
      <w:r>
        <w:t xml:space="preserve">as subobjectives 2.7 and 4.8 (v2.5) rather than resting on the program PLO.</w:t>
      </w:r>
      <w:r>
        <w:t xml:space="preserve"> </w:t>
      </w:r>
      <w:r>
        <w:t xml:space="preserve">-</w:t>
      </w:r>
      <w:r>
        <w:t xml:space="preserve"> </w:t>
      </w:r>
      <w:r>
        <w:rPr>
          <w:b/>
          <w:bCs/>
        </w:rPr>
        <w:t xml:space="preserve">3.h (HCD craft) and 6.d (contribute to the field) → awareness.</w:t>
      </w:r>
      <w:r>
        <w:t xml:space="preserve"> </w:t>
      </w:r>
      <w:r>
        <w:t xml:space="preserve">-</w:t>
      </w:r>
      <w:r>
        <w:t xml:space="preserve"> </w:t>
      </w:r>
      <w:r>
        <w:rPr>
          <w:b/>
          <w:bCs/>
        </w:rPr>
        <w:t xml:space="preserve">4.a (instrumentation standards) → practitioner, closed</w:t>
      </w:r>
      <w:r>
        <w:t xml:space="preserve"> </w:t>
      </w:r>
      <w:r>
        <w:t xml:space="preserve">by the v2.7 LEN 4 data-standards clause (xAPI/Caliper).</w:t>
      </w:r>
      <w:r>
        <w:t xml:space="preserve"> </w:t>
      </w:r>
      <w:r>
        <w:t xml:space="preserve">- 1.k (org capability), 1.m (stakeholder comms), 2.d (contextual research) tiered in the profile (awareness, practitioner, practitioner).</w:t>
      </w:r>
      <w:r>
        <w:t xml:space="preserve"> </w:t>
      </w:r>
      <w:r>
        <w:t xml:space="preserve">-</w:t>
      </w:r>
      <w:r>
        <w:t xml:space="preserve"> </w:t>
      </w:r>
      <w:r>
        <w:rPr>
          <w:b/>
          <w:bCs/>
        </w:rPr>
        <w:t xml:space="preserve">Light-touch notes closed</w:t>
      </w:r>
      <w:r>
        <w:t xml:space="preserve"> </w:t>
      </w:r>
      <w:r>
        <w:t xml:space="preserve">(v2.7): TCO explicit in LEN 10; skill-decay/retention explicit in LEN 4.</w:t>
      </w:r>
    </w:p>
    <w:p>
      <w:pPr>
        <w:pStyle w:val="BodyText"/>
      </w:pPr>
      <w:r>
        <w:t xml:space="preserve">No open items remain that block the SIG conversation. The three gaps are settled as deliberate Team-tier scope; every partial is either closed or a named awareness-tier routing.</w:t>
      </w:r>
    </w:p>
    <w:bookmarkEnd w:id="22"/>
    <w:bookmarkStart w:id="23" w:name="original-r3-note-as-found"/>
    <w:p>
      <w:pPr>
        <w:pStyle w:val="Heading2"/>
      </w:pPr>
      <w:r>
        <w:t xml:space="preserve">Original R3 note (as-found)</w:t>
      </w:r>
    </w:p>
    <w:p>
      <w:pPr>
        <w:pStyle w:val="FirstParagraph"/>
      </w:pPr>
      <w:r>
        <w:t xml:space="preserve">Several partials are thin only because LENS never wrote the subobjective, not because the curriculum omits the work:</w:t>
      </w:r>
    </w:p>
    <w:p>
      <w:pPr>
        <w:pStyle w:val="Compact"/>
        <w:numPr>
          <w:ilvl w:val="0"/>
          <w:numId w:val="1003"/>
        </w:numPr>
      </w:pPr>
      <w:r>
        <w:rPr>
          <w:b/>
          <w:bCs/>
        </w:rPr>
        <w:t xml:space="preserve">3.c</w:t>
      </w:r>
      <w:r>
        <w:t xml:space="preserve"> </w:t>
      </w:r>
      <w:r>
        <w:t xml:space="preserve">(appraise primary research) and</w:t>
      </w:r>
      <w:r>
        <w:t xml:space="preserve"> </w:t>
      </w:r>
      <w:r>
        <w:rPr>
          <w:b/>
          <w:bCs/>
        </w:rPr>
        <w:t xml:space="preserve">3.f</w:t>
      </w:r>
      <w:r>
        <w:t xml:space="preserve"> </w:t>
      </w:r>
      <w:r>
        <w:t xml:space="preserve">(formal study + human-subjects/IRB) — LEN 4 and the capstone touch both; naming a subobjective under LEO-4 that says</w:t>
      </w:r>
      <w:r>
        <w:t xml:space="preserve"> </w:t>
      </w:r>
      <w:r>
        <w:t xml:space="preserve">“appraise primary research and obtain research-ethics approval where human participants are involved”</w:t>
      </w:r>
      <w:r>
        <w:t xml:space="preserve"> </w:t>
      </w:r>
      <w:r>
        <w:t xml:space="preserve">closes both. This one matters most: LENS</w:t>
      </w:r>
      <w:r>
        <w:t xml:space="preserve"> </w:t>
      </w:r>
      <w:r>
        <w:rPr>
          <w:i/>
          <w:iCs/>
        </w:rPr>
        <w:t xml:space="preserve">removed</w:t>
      </w:r>
      <w:r>
        <w:t xml:space="preserve"> </w:t>
      </w:r>
      <w:r>
        <w:t xml:space="preserve">the two research/evaluation courses, so a reviewer will look here first.</w:t>
      </w:r>
    </w:p>
    <w:p>
      <w:pPr>
        <w:pStyle w:val="Compact"/>
        <w:numPr>
          <w:ilvl w:val="0"/>
          <w:numId w:val="1003"/>
        </w:numPr>
      </w:pPr>
      <w:r>
        <w:rPr>
          <w:b/>
          <w:bCs/>
        </w:rPr>
        <w:t xml:space="preserve">3.h / 3.j</w:t>
      </w:r>
      <w:r>
        <w:t xml:space="preserve"> </w:t>
      </w:r>
      <w:r>
        <w:t xml:space="preserve">(HCD craft; accessibility testing) — carried as PLOs, not LEOs. If LENS wants graduate-level claims on them, they need LEO or CLO homes; if not, they belong in the R2 awareness tier.</w:t>
      </w:r>
    </w:p>
    <w:p>
      <w:pPr>
        <w:pStyle w:val="Compact"/>
        <w:numPr>
          <w:ilvl w:val="0"/>
          <w:numId w:val="1003"/>
        </w:numPr>
      </w:pPr>
      <w:r>
        <w:rPr>
          <w:b/>
          <w:bCs/>
        </w:rPr>
        <w:t xml:space="preserve">6.d</w:t>
      </w:r>
      <w:r>
        <w:t xml:space="preserve"> </w:t>
      </w:r>
      <w:r>
        <w:t xml:space="preserve">(contribute to the field’s evidence base) — the capstone already offers evidence</w:t>
      </w:r>
      <w:r>
        <w:t xml:space="preserve"> </w:t>
      </w:r>
      <w:r>
        <w:t xml:space="preserve">“toward LECF validation.”</w:t>
      </w:r>
      <w:r>
        <w:t xml:space="preserve"> </w:t>
      </w:r>
      <w:r>
        <w:t xml:space="preserve">Turning that into a graduate objective (</w:t>
      </w:r>
      <w:r>
        <w:t xml:space="preserve">“report a project’s finding in terms the field can build on”</w:t>
      </w:r>
      <w:r>
        <w:t xml:space="preserve">) converts a partial into a covered and strengthens the R3 pathway in the LECF crosswalk at the same time.</w:t>
      </w:r>
    </w:p>
    <w:bookmarkEnd w:id="23"/>
    <w:bookmarkEnd w:id="24"/>
    <w:bookmarkStart w:id="25" w:name="in-plain-language"/>
    <w:p>
      <w:pPr>
        <w:pStyle w:val="Heading1"/>
      </w:pPr>
      <w:r>
        <w:t xml:space="preserve">In plain language</w:t>
      </w:r>
    </w:p>
    <w:p>
      <w:pPr>
        <w:pStyle w:val="FirstParagraph"/>
      </w:pPr>
      <w:r>
        <w:t xml:space="preserve">The field draft says what every learning engineer should be able to do, and marks which of those any one person must hold versus which the team can hold. After v2.3/v2.4 (competencies) and v2.5/v2.6 (course mapping), LENS reaches practitioner level on</w:t>
      </w:r>
      <w:r>
        <w:t xml:space="preserve"> </w:t>
      </w:r>
      <w:r>
        <w:rPr>
          <w:i/>
          <w:iCs/>
        </w:rPr>
        <w:t xml:space="preserve">every</w:t>
      </w:r>
      <w:r>
        <w:t xml:space="preserve"> </w:t>
      </w:r>
      <w:r>
        <w:t xml:space="preserve">Individual (floor) competency and on 18 of 25 Team competencies, and exercises project/program management in the capstone. What it deliberately holds below practitioner is the team-holds-it tier — growing other practitioners, formal study design, building the software, making the media — each stated at awareness or out-of-scope in the published attainment profile (</w:t>
      </w:r>
      <w:r>
        <w:rPr>
          <w:rStyle w:val="VerbatimChar"/>
        </w:rPr>
        <w:t xml:space="preserve">8_LENS_Attainment_Profile.md</w:t>
      </w:r>
      <w:r>
        <w:t xml:space="preserve">) on the framework’s own Individual/Team terms, rather than left for a reviewer to find by counting.</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2026-07-19T02:42:33Z</dcterms:created>
  <dcterms:modified xsi:type="dcterms:W3CDTF">2026-07-19T02:42:33Z</dcterms:modified>
</cp:coreProperties>
</file>

<file path=docProps/custom.xml><?xml version="1.0" encoding="utf-8"?>
<Properties xmlns="http://schemas.openxmlformats.org/officeDocument/2006/custom-properties" xmlns:vt="http://schemas.openxmlformats.org/officeDocument/2006/docPropsVTypes"/>
</file>