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LENS Graduate Attainment Profile</w:t>
      </w:r>
    </w:p>
    <w:p>
      <w:pPr>
        <w:pStyle w:val="BodyText"/>
      </w:pPr>
      <w:r>
        <w:t xml:space="preserve">The level a LENS graduate reaches on each ICICLE</w:t>
      </w:r>
      <w:r>
        <w:t xml:space="preserve"> </w:t>
      </w:r>
      <w:r>
        <w:rPr>
          <w:i/>
          <w:iCs/>
        </w:rPr>
        <w:t xml:space="preserve">Essential Competencies for Learning Engineering Practice</w:t>
      </w:r>
      <w:r>
        <w:t xml:space="preserve"> </w:t>
      </w:r>
      <w:r>
        <w:t xml:space="preserve">competency</w:t>
      </w:r>
    </w:p>
    <w:p>
      <w:pPr>
        <w:pStyle w:val="BodyText"/>
      </w:pPr>
      <w:r>
        <w:t xml:space="preserve">Working document for the ICICLE Competencies, Credentials and Curriculum SIG conversation. Internal draft; Chatham House attribution conventions apply. Not a document of record: docs 1 and 2 win wherever they and this disagree.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ICICLE</w:t>
      </w:r>
      <w:r>
        <w:t xml:space="preserve"> </w:t>
      </w:r>
      <w:r>
        <w:rPr>
          <w:i/>
          <w:iCs/>
        </w:rPr>
        <w:t xml:space="preserve">Essential Competencies</w:t>
      </w:r>
      <w:r>
        <w:t xml:space="preserve"> </w:t>
      </w:r>
      <w:r>
        <w:t xml:space="preserve">framework marks each competency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(every learning engineer holds it) or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(present somewhere in the effort, not necessarily in one person). LENS makes an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claim: what a graduate can do. These postures are compatible, but the crossing must be explicit, or a reviewer reads a distributed-to-the-team competency as one LENS omits.</w:t>
      </w:r>
    </w:p>
    <w:p>
      <w:pPr>
        <w:pStyle w:val="BodyText"/>
      </w:pPr>
      <w:r>
        <w:t xml:space="preserve">This profile states, for each of the 42 competencies, the level a LENS graduate reaches. It is the deliverable called for in</w:t>
      </w:r>
      <w:r>
        <w:t xml:space="preserve"> </w:t>
      </w:r>
      <w:r>
        <w:rPr>
          <w:rStyle w:val="VerbatimChar"/>
        </w:rPr>
        <w:t xml:space="preserve">4_LENS_LECF_Crosswalk.md</w:t>
      </w:r>
      <w:r>
        <w:t xml:space="preserve"> </w:t>
      </w:r>
      <w:r>
        <w:t xml:space="preserve">R2, and it is the companion to</w:t>
      </w:r>
      <w:r>
        <w:t xml:space="preserve"> </w:t>
      </w:r>
      <w:r>
        <w:rPr>
          <w:rStyle w:val="VerbatimChar"/>
        </w:rPr>
        <w:t xml:space="preserve">7_LENS_ICICLE_Essential_Competencies_Crosswalk.md</w:t>
      </w:r>
      <w:r>
        <w:t xml:space="preserve">, which establishes coverage; this document sets the</w:t>
      </w:r>
      <w:r>
        <w:t xml:space="preserve"> </w:t>
      </w:r>
      <w:r>
        <w:rPr>
          <w:i/>
          <w:iCs/>
        </w:rPr>
        <w:t xml:space="preserve">level</w:t>
      </w:r>
      <w:r>
        <w:t xml:space="preserve">. The precedent is IBSTPI (individual competencies validated against practitioners) and INCOSE (proficiency levels per competency); this uses a three-level floor, not the full INCOSE five.</w:t>
      </w:r>
    </w:p>
    <w:bookmarkEnd w:id="9"/>
    <w:bookmarkStart w:id="10" w:name="the-three-levels"/>
    <w:p>
      <w:pPr>
        <w:pStyle w:val="Heading1"/>
      </w:pPr>
      <w:r>
        <w:t xml:space="preserve">The three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The graduate…</w:t>
            </w:r>
          </w:p>
        </w:tc>
        <w:tc>
          <w:tcPr/>
          <w:p>
            <w:pPr>
              <w:pStyle w:val="Compact"/>
            </w:pPr>
            <w:r>
              <w:t xml:space="preserve">Where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performs it independently and produces evidence of it</w:t>
            </w:r>
          </w:p>
        </w:tc>
        <w:tc>
          <w:tcPr/>
          <w:p>
            <w:pPr>
              <w:pStyle w:val="Compact"/>
            </w:pPr>
            <w:r>
              <w:t xml:space="preserve">LEN 10 capstone artifacts + a required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recognizes it and can brief or work with the specialist who holds it (competency 1.b), but does not perform it independently</w:t>
            </w:r>
          </w:p>
        </w:tc>
        <w:tc>
          <w:tcPr/>
          <w:p>
            <w:pPr>
              <w:pStyle w:val="Compact"/>
            </w:pPr>
            <w:r>
              <w:t xml:space="preserve">a course, not the capstone; depth routed to an elective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does not develop it here; it is held by a teammate or the sibling LXD concentration</w:t>
            </w:r>
          </w:p>
        </w:tc>
        <w:tc>
          <w:tcPr/>
          <w:p>
            <w:pPr>
              <w:pStyle w:val="Compact"/>
            </w:pPr>
            <w:r>
              <w:t xml:space="preserve">stated, not assessed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Awareness is not a euphemism for a gap.</w:t>
      </w:r>
      <w:r>
        <w:t xml:space="preserve"> </w:t>
      </w:r>
      <w:r>
        <w:t xml:space="preserve">It is the framework’s own logic: a competency the field marks</w:t>
      </w:r>
      <w:r>
        <w:t xml:space="preserve"> </w:t>
      </w:r>
      <w:r>
        <w:rPr>
          <w:i/>
          <w:iCs/>
        </w:rPr>
        <w:t xml:space="preserve">Team</w:t>
      </w:r>
      <w:r>
        <w:t xml:space="preserve"> </w:t>
      </w:r>
      <w:r>
        <w:t xml:space="preserve">can be met by a graduate who can brief its specialist rather than be one. Out of scope is narrower still — competencies a 30-credit concentration deliberately does not build, named so a reviewer does not have to infer them.</w:t>
      </w:r>
    </w:p>
    <w:bookmarkEnd w:id="10"/>
    <w:bookmarkStart w:id="11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Individual competencies (17)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 competencies (25)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Practitioner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Individual (floor) competency is at practitioner level.</w:t>
      </w:r>
      <w:r>
        <w:t xml:space="preserve"> </w:t>
      </w:r>
      <w:r>
        <w:t xml:space="preserve">The five Awareness and two Out-of-scope competencies are all</w:t>
      </w:r>
      <w:r>
        <w:t xml:space="preserve"> </w:t>
      </w:r>
      <w:r>
        <w:rPr>
          <w:i/>
          <w:iCs/>
        </w:rPr>
        <w:t xml:space="preserve">Team</w:t>
      </w:r>
      <w:r>
        <w:t xml:space="preserve"> </w:t>
      </w:r>
      <w:r>
        <w:t xml:space="preserve">competencies the framework permits to be distributed. No Individual competency sits below practitioner.</w:t>
      </w:r>
    </w:p>
    <w:bookmarkEnd w:id="11"/>
    <w:bookmarkStart w:id="18" w:name="profile"/>
    <w:p>
      <w:pPr>
        <w:pStyle w:val="Heading1"/>
      </w:pPr>
      <w:r>
        <w:t xml:space="preserve">Profile</w:t>
      </w:r>
    </w:p>
    <w:p>
      <w:pPr>
        <w:pStyle w:val="FirstParagraph"/>
      </w:pPr>
      <w:r>
        <w:t xml:space="preserve">Practitioner unless marked otherwise.</w:t>
      </w:r>
      <w:r>
        <w:t xml:space="preserve"> </w:t>
      </w:r>
      <w:r>
        <w:t xml:space="preserve">“Basis”</w:t>
      </w:r>
      <w:r>
        <w:t xml:space="preserve"> </w:t>
      </w:r>
      <w:r>
        <w:t xml:space="preserve">names the LEO subobjective and/or required course for practitioner rows;</w:t>
      </w:r>
      <w:r>
        <w:t xml:space="preserve"> </w:t>
      </w:r>
      <w:r>
        <w:t xml:space="preserve">“→ deeper”</w:t>
      </w:r>
      <w:r>
        <w:t xml:space="preserve"> </w:t>
      </w:r>
      <w:r>
        <w:t xml:space="preserve">names the elective route for awareness rows.</w:t>
      </w:r>
    </w:p>
    <w:bookmarkStart w:id="12" w:name="category-1-cross-functional-the-hub"/>
    <w:p>
      <w:pPr>
        <w:pStyle w:val="Heading2"/>
      </w:pPr>
      <w:r>
        <w:t xml:space="preserve">Category 1 — Cross-Functional (the hub)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 (I/T)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Basis /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1.a Lead the LE 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LEO-1; LEN 1, LEN 6; capstone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1.b Hold enough of each discipline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5.3; LEN 6, LEN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1.c Apply engineering 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1.2, 1.3; LEN 1, LEN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1.d Reason and decide under uncertainty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4.3, 4.4; LEN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1.e Team with a machine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LEO-3; LEN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1.f Communicate across disciplines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5.4, 4.5; PLO-4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1.g Practice ethically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4.1, 4.6; ethics thread, LEN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1.h Hold the dispositions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§6.4; LEN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1.i Manage the 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LEN 10 capstone — plan, budget, timeline, resources, versioning, progress reporting (exercised, v2.5)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1.j Develop other practitioners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A mid-career capability (mentor/coach colleagues); not a graduation claim. Graduates make reasoning visible in the capstone report but do not develop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1.k Build organizational 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Graduate can read an LE maturity/minimum-viable-team question (LEN 8, elective, deepens); assessing and building an org’s LE function is post-graduation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1.l Iterate through the 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2.2; LEN 1/2/6/10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1.m Communicate across stakeholders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PLO-4; capstone briefing to partner leadership; LEN 8.</w:t>
            </w:r>
            <w:r>
              <w:t xml:space="preserve"> </w:t>
            </w:r>
            <w:r>
              <w:rPr>
                <w:i/>
                <w:iCs/>
              </w:rPr>
              <w:t xml:space="preserve">TCO / cost-center-to-value framing is lighter</w:t>
            </w:r>
          </w:p>
        </w:tc>
      </w:tr>
    </w:tbl>
    <w:bookmarkEnd w:id="12"/>
    <w:bookmarkStart w:id="13" w:name="category-2-challenge-identification"/>
    <w:p>
      <w:pPr>
        <w:pStyle w:val="Heading2"/>
      </w:pPr>
      <w:r>
        <w:t xml:space="preserve">Category 2 — Challenge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Basis /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2.a Frame the challenge in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2.2; LEN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2.b Engage the stakeholders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5.4; LEN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2.c Attribute the 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4.2 gap attribution — a LENS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2.d Conduct contextual research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LEN 6, LEN 5 (CTA).</w:t>
            </w:r>
            <w:r>
              <w:t xml:space="preserve"> </w:t>
            </w:r>
            <w:r>
              <w:rPr>
                <w:i/>
                <w:iCs/>
              </w:rPr>
              <w:t xml:space="preserve">Personas/empathy-mapping toolkit lighter; the inquiry is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2.e Identify the constraints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5.1; LEN 3</w:t>
            </w:r>
          </w:p>
        </w:tc>
      </w:tr>
    </w:tbl>
    <w:bookmarkEnd w:id="13"/>
    <w:bookmarkStart w:id="14" w:name="category-3-research-and-design"/>
    <w:p>
      <w:pPr>
        <w:pStyle w:val="Heading2"/>
      </w:pPr>
      <w:r>
        <w:t xml:space="preserve">Category 3 — Research and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Basis /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3.a Apply the learning sciences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2.1; F1, LEN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3.b Elicit and model expert knowledge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5.3; LEN 5 (CTA, CDM)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3.c Read and judge research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 (v2.4)</w:t>
            </w:r>
            <w:r>
              <w:t xml:space="preserve">; LEN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3.d Analyze existing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4.1; LEN 4, LEN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3.e Design for evidence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4.1; LEN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3.f Run a study + human-subjects/IRB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LENS builds evidence</w:t>
            </w:r>
            <w:r>
              <w:t xml:space="preserve"> </w:t>
            </w:r>
            <w:r>
              <w:rPr>
                <w:i/>
                <w:iCs/>
              </w:rPr>
              <w:t xml:space="preserve">use</w:t>
            </w:r>
            <w:r>
              <w:t xml:space="preserve"> </w:t>
            </w:r>
            <w:r>
              <w:t xml:space="preserve">(LEN 4; capstone governance/ethics plan). Formal study</w:t>
            </w:r>
            <w:r>
              <w:t xml:space="preserve"> </w:t>
            </w:r>
            <w:r>
              <w:rPr>
                <w:i/>
                <w:iCs/>
              </w:rPr>
              <w:t xml:space="preserve">design</w:t>
            </w:r>
            <w:r>
              <w:t xml:space="preserve"> </w:t>
            </w:r>
            <w:r>
              <w:t xml:space="preserve">+ IRB →</w:t>
            </w:r>
            <w:r>
              <w:t xml:space="preserve"> </w:t>
            </w:r>
            <w:r>
              <w:rPr>
                <w:b/>
                <w:bCs/>
              </w:rPr>
              <w:t xml:space="preserve">JHU SOE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ED.880.624 Evaluation and Research in Education</w:t>
            </w:r>
            <w:r>
              <w:t xml:space="preserve"> </w:t>
            </w:r>
            <w:r>
              <w:t xml:space="preserve">(number to be verified); Bloomberg School human-subjects research-ethics course where participants are involved (§6.5)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3.g Hold the domain knowledge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5.3;</w:t>
            </w:r>
            <w:r>
              <w:t xml:space="preserve"> </w:t>
            </w:r>
            <w:r>
              <w:t xml:space="preserve">“students as domain experts”</w:t>
            </w:r>
            <w:r>
              <w:t xml:space="preserve"> </w:t>
            </w:r>
            <w:r>
              <w:t xml:space="preserve">— a LENS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3.h Apply human-centered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Human-centered as PLO-2; prototyping in LEN 2. Design-patterns / information-architecture / prototyping-fidelity craft → an LXD or HCI elective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3.i Translate learning science into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2.1; F1, LEN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3.j Design for accessibility and inclusion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 (v2.5)</w:t>
            </w:r>
            <w:r>
              <w:t xml:space="preserve">; LEN 6, grounded in F2, deepened in LEN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3.k Design the assessment before the 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 (v2.5)</w:t>
            </w:r>
            <w:r>
              <w:t xml:space="preserve">; LEN 4</w:t>
            </w:r>
          </w:p>
        </w:tc>
      </w:tr>
    </w:tbl>
    <w:bookmarkEnd w:id="14"/>
    <w:bookmarkStart w:id="15" w:name="category-4-development"/>
    <w:p>
      <w:pPr>
        <w:pStyle w:val="Heading2"/>
      </w:pPr>
      <w:r>
        <w:t xml:space="preserve">Category 4 —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Basis /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4.a Instrument the 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4.1; LEN 4 incl. data standards &amp; interoperability (xAPI, Caliper, v2.7); deepened in LEN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4.b Test the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2.2; LEN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4.c Select and integrate tools and technology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Software/platform engineering, LMS config, systems integration. Held by a software-engineering teammate; the graduate briefs this specialist (1.b). LEN 9 (elective) gives computational, not platform-engineering,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4.d Develop the content and 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Content/media production is the sibling</w:t>
            </w:r>
            <w:r>
              <w:t xml:space="preserve"> </w:t>
            </w:r>
            <w:r>
              <w:rPr>
                <w:b/>
                <w:bCs/>
              </w:rPr>
              <w:t xml:space="preserve">LXD</w:t>
            </w:r>
            <w:r>
              <w:t xml:space="preserve"> </w:t>
            </w:r>
            <w:r>
              <w:t xml:space="preserve">concentration’s domain; LENS graduates are engineers/integrators who direct rather than produce</w:t>
            </w:r>
          </w:p>
        </w:tc>
      </w:tr>
    </w:tbl>
    <w:bookmarkEnd w:id="15"/>
    <w:bookmarkStart w:id="16" w:name="category-5-implementation"/>
    <w:p>
      <w:pPr>
        <w:pStyle w:val="Heading2"/>
      </w:pPr>
      <w:r>
        <w:t xml:space="preserve">Category 5 —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Basis /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5.a Roll out and 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2.4, 5.5; LEN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5.b Lead the change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5.5; LEN 8; implementation-science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5.c Enable the people who deliver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2.6, 3.7 (v2.3)</w:t>
            </w:r>
            <w:r>
              <w:t xml:space="preserve">; LEN 6, LEN 2; capstone sustainment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5.d Govern and sustain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LEO-5; LEN 4 governance, LEN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5.e Scale the 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2.3;</w:t>
            </w:r>
            <w:r>
              <w:t xml:space="preserve"> </w:t>
            </w:r>
            <w:r>
              <w:t xml:space="preserve">“speed and scale”</w:t>
            </w:r>
            <w:r>
              <w:t xml:space="preserve"> </w:t>
            </w:r>
            <w:r>
              <w:t xml:space="preserve">through-line; total cost of ownership in LEN 10 (v2.7), deepened in LEN 8</w:t>
            </w:r>
          </w:p>
        </w:tc>
      </w:tr>
    </w:tbl>
    <w:bookmarkEnd w:id="16"/>
    <w:bookmarkStart w:id="17" w:name="category-6-evaluation"/>
    <w:p>
      <w:pPr>
        <w:pStyle w:val="Heading2"/>
      </w:pPr>
      <w:r>
        <w:t xml:space="preserve">Category 6 — Evaluation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Basis / 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6.a Produce decision-grade evidence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4.3; LEN 4, LEN 10 — the LENS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6.b Evaluate 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LEO-4, 3.4; LEN 4/10 incl. capability over time, skill decay &amp; retention (v2.7)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6.c Analyze how it fails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The T/D/N/H/G/K casebook; failure analysis — a LENS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6.d Contribute to the field’s evidence 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Capstone produces a reproducible report offered toward LECF validation;</w:t>
            </w:r>
            <w:r>
              <w:t xml:space="preserve"> </w:t>
            </w:r>
            <w:r>
              <w:rPr>
                <w:i/>
                <w:iCs/>
              </w:rPr>
              <w:t xml:space="preserve">design-based research and publishing back to the field</w:t>
            </w:r>
            <w:r>
              <w:t xml:space="preserve"> </w:t>
            </w:r>
            <w:r>
              <w:t xml:space="preserve">as a graduate practice → a doctoral pathway, not the M.Ed.</w:t>
            </w:r>
          </w:p>
        </w:tc>
      </w:tr>
    </w:tbl>
    <w:bookmarkEnd w:id="17"/>
    <w:bookmarkEnd w:id="18"/>
    <w:bookmarkStart w:id="19" w:name="X9d3f1805f3f707f24b3948332cb2516c9587826"/>
    <w:p>
      <w:pPr>
        <w:pStyle w:val="Heading1"/>
      </w:pPr>
      <w:r>
        <w:t xml:space="preserve">The Awareness and Out-of-scope competencies, in one place</w:t>
      </w:r>
    </w:p>
    <w:p>
      <w:pPr>
        <w:pStyle w:val="FirstParagraph"/>
      </w:pPr>
      <w:r>
        <w:rPr>
          <w:b/>
          <w:bCs/>
        </w:rPr>
        <w:t xml:space="preserve">Awareness (5):</w:t>
      </w:r>
      <w:r>
        <w:t xml:space="preserve"> </w:t>
      </w:r>
      <w:r>
        <w:t xml:space="preserve">1.j develop other practitioners · 1.k build organizational capability · 3.f run a formal study + human-subjects/IRB · 3.h HCD craft · 6.d contribute to the field’s evidence base. Each is a</w:t>
      </w:r>
      <w:r>
        <w:t xml:space="preserve"> </w:t>
      </w:r>
      <w:r>
        <w:rPr>
          <w:i/>
          <w:iCs/>
        </w:rPr>
        <w:t xml:space="preserve">Team</w:t>
      </w:r>
      <w:r>
        <w:t xml:space="preserve"> </w:t>
      </w:r>
      <w:r>
        <w:t xml:space="preserve">competency; the graduate can brief its specialist and, for 3.f, has a named elective route. None is a floor competency.</w:t>
      </w:r>
    </w:p>
    <w:p>
      <w:pPr>
        <w:pStyle w:val="BodyText"/>
      </w:pPr>
      <w:r>
        <w:rPr>
          <w:b/>
          <w:bCs/>
        </w:rPr>
        <w:t xml:space="preserve">Out of scope (2):</w:t>
      </w:r>
      <w:r>
        <w:t xml:space="preserve"> </w:t>
      </w:r>
      <w:r>
        <w:t xml:space="preserve">4.c tools/platform engineering · 4.d content/media production. Both are</w:t>
      </w:r>
      <w:r>
        <w:t xml:space="preserve"> </w:t>
      </w:r>
      <w:r>
        <w:rPr>
          <w:i/>
          <w:iCs/>
        </w:rPr>
        <w:t xml:space="preserve">Team</w:t>
      </w:r>
      <w:r>
        <w:t xml:space="preserve"> </w:t>
      </w:r>
      <w:r>
        <w:t xml:space="preserve">competencies whose depth belongs to a different role (software engineer) or a different concentration (LXD). A LENS effort covers them through the team, not the individual — exactly the framework’s Team logic.</w:t>
      </w:r>
    </w:p>
    <w:bookmarkEnd w:id="19"/>
    <w:bookmarkStart w:id="20" w:name="how-to-use-this"/>
    <w:p>
      <w:pPr>
        <w:pStyle w:val="Heading1"/>
      </w:pPr>
      <w:r>
        <w:t xml:space="preserve">How to use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the SIG.</w:t>
      </w:r>
      <w:r>
        <w:t xml:space="preserve"> </w:t>
      </w:r>
      <w:r>
        <w:t xml:space="preserve">LENS reaches practitioner on every Individual (floor) competency and on 18 of 25 Team competencies; it names the seven it does not, on the framework’s own Individual/Team warrant. That is a proficiency claim the field can check, not a coverage boast.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accreditation.</w:t>
      </w:r>
      <w:r>
        <w:t xml:space="preserve"> </w:t>
      </w:r>
      <w:r>
        <w:t xml:space="preserve">The Awareness/Out-of-scope rows are the honest answer to</w:t>
      </w:r>
      <w:r>
        <w:t xml:space="preserve"> </w:t>
      </w:r>
      <w:r>
        <w:t xml:space="preserve">“where does research-methods depth / platform engineering / content production live?”</w:t>
      </w:r>
      <w:r>
        <w:t xml:space="preserve"> </w:t>
      </w:r>
      <w:r>
        <w:t xml:space="preserve">— an elective, a teammate, or the sibling concentration, each stated.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a student.</w:t>
      </w:r>
      <w:r>
        <w:t xml:space="preserve"> </w:t>
      </w:r>
      <w:r>
        <w:t xml:space="preserve">Practitioner rows are what you will be able to do at graduation. Awareness rows are where you consult a specialist — and, for 3.f, the elective to take if you want to hold it yourself.</w:t>
      </w:r>
    </w:p>
    <w:p>
      <w:pPr>
        <w:pStyle w:val="FirstParagraph"/>
      </w:pPr>
      <w:r>
        <w:rPr>
          <w:i/>
          <w:iCs/>
        </w:rPr>
        <w:t xml:space="preserve">Levels are a proposal against the 2018 ICICLE Individual/Team criteria; the criteria are ICICLE’s, the level assignments are LENS’s and await program-owner adoption alongside docs 1 (v2.4) and 2 (v2.6).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2026-07-19T02:42:34Z</dcterms:created>
  <dcterms:modified xsi:type="dcterms:W3CDTF">2026-07-19T02:42:34Z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