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drawing>
          <wp:inline distT="0" distB="0" distL="0" distR="0">
            <wp:extent cx="2038350" cy="1038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38350" cy="1038225"/>
                    </a:xfrm>
                    <a:prstGeom prst="rect">
                      <a:avLst/>
                    </a:prstGeom>
                  </pic:spPr>
                </pic:pic>
              </a:graphicData>
            </a:graphic>
          </wp:inline>
        </w:drawing>
      </w:r>
    </w:p>
    <w:p>
      <w:pPr>
        <w:spacing w:after="60" w:before="0"/>
      </w:pPr>
      <w:r>
        <w:rPr>
          <w:rFonts w:ascii="Calibri" w:cs="Calibri" w:eastAsia="Calibri" w:hAnsi="Calibri"/>
          <w:b/>
          <w:bCs/>
          <w:sz w:val="30"/>
          <w:szCs w:val="30"/>
        </w:rPr>
        <w:t xml:space="preserve">Principles of Learning Engineering for Complex Systems</w:t>
      </w:r>
    </w:p>
    <w:p>
      <w:pPr>
        <w:spacing w:after="60" w:before="0"/>
      </w:pPr>
      <w:r>
        <w:rPr>
          <w:rFonts w:ascii="Calibri" w:cs="Calibri" w:eastAsia="Calibri" w:hAnsi="Calibri"/>
          <w:b/>
          <w:bCs/>
          <w:sz w:val="24"/>
          <w:szCs w:val="24"/>
        </w:rPr>
        <w:t xml:space="preserve">LEN 1 · ED.XXX.XXX (pending SOE assignment)</w:t>
      </w:r>
    </w:p>
    <w:p>
      <w:pPr>
        <w:spacing w:after="200" w:before="0"/>
      </w:pPr>
      <w:r>
        <w:rPr>
          <w:rFonts w:ascii="Calibri" w:cs="Calibri" w:eastAsia="Calibri" w:hAnsi="Calibri"/>
          <w:sz w:val="24"/>
          <w:szCs w:val="24"/>
        </w:rPr>
        <w:t xml:space="preserve">Fall 2026</w:t>
      </w:r>
    </w:p>
    <w:p>
      <w:pPr>
        <w:spacing w:after="20"/>
      </w:pPr>
      <w:r>
        <w:rPr>
          <w:rFonts w:ascii="Calibri" w:cs="Calibri" w:eastAsia="Calibri" w:hAnsi="Calibri"/>
          <w:b/>
          <w:bCs/>
          <w:sz w:val="22"/>
          <w:szCs w:val="22"/>
        </w:rPr>
        <w:t xml:space="preserve">Instructor(s): </w:t>
      </w:r>
      <w:r>
        <w:rPr>
          <w:rFonts w:ascii="Calibri" w:cs="Calibri" w:eastAsia="Calibri" w:hAnsi="Calibri"/>
          <w:sz w:val="22"/>
          <w:szCs w:val="22"/>
        </w:rPr>
        <w:t xml:space="preserve">[Name]</w:t>
      </w:r>
    </w:p>
    <w:p>
      <w:pPr>
        <w:spacing w:after="20"/>
      </w:pPr>
      <w:r>
        <w:rPr>
          <w:rFonts w:ascii="Calibri" w:cs="Calibri" w:eastAsia="Calibri" w:hAnsi="Calibri"/>
          <w:sz w:val="22"/>
          <w:szCs w:val="22"/>
        </w:rPr>
        <w:t xml:space="preserve">[Phone number and times you can be reached]</w:t>
      </w:r>
    </w:p>
    <w:p>
      <w:pPr>
        <w:spacing w:after="140"/>
      </w:pPr>
      <w:r>
        <w:rPr>
          <w:rFonts w:ascii="Calibri" w:cs="Calibri" w:eastAsia="Calibri" w:hAnsi="Calibri"/>
          <w:sz w:val="22"/>
          <w:szCs w:val="22"/>
        </w:rPr>
        <w:t xml:space="preserve">[JHU e-mail address]</w:t>
      </w:r>
    </w:p>
    <w:p>
      <w:pPr>
        <w:spacing w:after="20"/>
      </w:pPr>
      <w:r>
        <w:rPr>
          <w:rFonts w:ascii="Calibri" w:cs="Calibri" w:eastAsia="Calibri" w:hAnsi="Calibri"/>
          <w:b/>
          <w:bCs/>
          <w:sz w:val="22"/>
          <w:szCs w:val="22"/>
        </w:rPr>
        <w:t xml:space="preserve">Credit Hours: </w:t>
      </w:r>
      <w:r>
        <w:rPr>
          <w:rFonts w:ascii="Calibri" w:cs="Calibri" w:eastAsia="Calibri" w:hAnsi="Calibri"/>
          <w:sz w:val="22"/>
          <w:szCs w:val="22"/>
        </w:rPr>
        <w:t xml:space="preserve">3</w:t>
      </w:r>
    </w:p>
    <w:p>
      <w:pPr>
        <w:spacing w:after="140"/>
      </w:pPr>
      <w:r>
        <w:rPr>
          <w:rFonts w:ascii="Calibri" w:cs="Calibri" w:eastAsia="Calibri" w:hAnsi="Calibri"/>
          <w:b/>
          <w:bCs/>
          <w:sz w:val="22"/>
          <w:szCs w:val="22"/>
        </w:rPr>
        <w:t xml:space="preserve">Class Times: </w:t>
      </w:r>
      <w:r>
        <w:rPr>
          <w:rFonts w:ascii="Calibri" w:cs="Calibri" w:eastAsia="Calibri" w:hAnsi="Calibri"/>
          <w:sz w:val="22"/>
          <w:szCs w:val="22"/>
        </w:rPr>
        <w:t xml:space="preserve">Online, asynchronous; 15 weeks. No required synchronous sessions. Optional live office hours are scheduled in Week 1.</w:t>
      </w:r>
    </w:p>
    <w:p>
      <w:pPr>
        <w:spacing w:after="140"/>
      </w:pPr>
      <w:r>
        <w:rPr>
          <w:rFonts w:ascii="Calibri" w:cs="Calibri" w:eastAsia="Calibri" w:hAnsi="Calibri"/>
          <w:b/>
          <w:bCs/>
          <w:sz w:val="22"/>
          <w:szCs w:val="22"/>
        </w:rPr>
        <w:t xml:space="preserve">Course Description: </w:t>
      </w:r>
      <w:r>
        <w:rPr>
          <w:rFonts w:ascii="Calibri" w:cs="Calibri" w:eastAsia="Calibri" w:hAnsi="Calibri"/>
          <w:sz w:val="22"/>
          <w:szCs w:val="22"/>
        </w:rPr>
        <w:t xml:space="preserve">First course in the LENS concentration sequence. Establishes the intellectual and methodological principles of learning engineering as a systems-level discipline. Introduces capability as the interface between what a system requires of its human operators and the impact of that system, and frames the engineering of this interface as the central problem of the field. Examines the convergence of learning sciences, human systems integration, and systems engineering when human capability is treated as a design problem within and across disparate systems. Core topics: defining measurable capability requirements; systems lifecycle thinking; system integration and interdependencies; the iterative engineering cycle (design, instrument, evaluate, refine); the evidence-capability-performance flywheel; ethics of intervention where human and system performance are interdependent. Students practice communicating capability analyses to diverse stakeholders.</w:t>
      </w:r>
    </w:p>
    <w:p>
      <w:pPr>
        <w:spacing w:after="100"/>
      </w:pPr>
      <w:r>
        <w:rPr>
          <w:rFonts w:ascii="Calibri" w:cs="Calibri" w:eastAsia="Calibri" w:hAnsi="Calibri"/>
          <w:b/>
          <w:bCs/>
          <w:sz w:val="22"/>
          <w:szCs w:val="22"/>
        </w:rPr>
        <w:t xml:space="preserve">Prerequisites: </w:t>
      </w:r>
      <w:r>
        <w:rPr>
          <w:rFonts w:ascii="Calibri" w:cs="Calibri" w:eastAsia="Calibri" w:hAnsi="Calibri"/>
          <w:sz w:val="22"/>
          <w:szCs w:val="22"/>
        </w:rPr>
        <w:t xml:space="preserve">LDT F1 (Learning Sciences Studio).</w:t>
      </w:r>
    </w:p>
    <w:p>
      <w:pPr>
        <w:spacing w:after="100" w:before="0"/>
      </w:pPr>
      <w:r>
        <w:rPr>
          <w:rFonts w:ascii="Calibri" w:cs="Calibri" w:eastAsia="Calibri" w:hAnsi="Calibri"/>
          <w:i/>
          <w:iCs/>
          <w:sz w:val="18"/>
          <w:szCs w:val="18"/>
        </w:rPr>
        <w:t xml:space="preserve">Draft for discussion, July 2026. Policy statements will be populated in HelioCampus prior to submission.</w:t>
      </w:r>
    </w:p>
    <w:p>
      <w:pPr>
        <w:pStyle w:val="Heading1"/>
        <w:spacing w:after="120" w:before="260"/>
      </w:pPr>
      <w:r>
        <w:rPr>
          <w:rFonts w:ascii="Calibri" w:cs="Calibri" w:eastAsia="Calibri" w:hAnsi="Calibri"/>
          <w:b/>
          <w:bCs/>
          <w:color w:val="000000"/>
          <w:sz w:val="26"/>
          <w:szCs w:val="26"/>
        </w:rPr>
        <w:t xml:space="preserve">Course and Program Learning Objectives, and Assessments</w:t>
      </w:r>
    </w:p>
    <w:p>
      <w:pPr>
        <w:spacing w:after="100" w:before="0"/>
      </w:pPr>
      <w:r>
        <w:rPr>
          <w:rFonts w:ascii="Calibri" w:cs="Calibri" w:eastAsia="Calibri" w:hAnsi="Calibri"/>
          <w:sz w:val="22"/>
          <w:szCs w:val="22"/>
        </w:rPr>
        <w:t xml:space="preserve">On completion of this course, students will be able to do the following. Bracketed tags reference LENS Educational Objectives (LEOs), the concentration-level objective tier held at the program level. PLO alignment is inherited from the program-level PLO-to-LEO support map rather than asserted course by course. This course serves LEO-1 (Systems Thinking and Analysis; competency name: Systems Analysis) and LEO-2 (Learning Engineering Design and Implementation; competency name: Iterative Development).</w:t>
      </w:r>
    </w:p>
    <w:p>
      <w:pPr>
        <w:pStyle w:val="Heading1"/>
        <w:spacing w:after="120" w:before="260"/>
      </w:pPr>
      <w:r>
        <w:rPr>
          <w:rFonts w:ascii="Calibri" w:cs="Calibri" w:eastAsia="Calibri" w:hAnsi="Calibri"/>
          <w:b/>
          <w:bCs/>
          <w:color w:val="000000"/>
          <w:sz w:val="26"/>
          <w:szCs w:val="26"/>
        </w:rPr>
        <w:t xml:space="preserve">Alignment of Course Learning Objectives, Program Learning Objectives, and Assignments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2100"/>
        <w:gridCol w:w="3360"/>
      </w:tblGrid>
      <w:tr>
        <w:tc>
          <w:tcPr>
            <w:tcW w:type="dxa" w:w="3900"/>
            <w:shd w:fill="D9D9D9"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Course Learning Objectives</w:t>
            </w:r>
          </w:p>
        </w:tc>
        <w:tc>
          <w:tcPr>
            <w:tcW w:type="dxa" w:w="2100"/>
            <w:shd w:fill="D9D9D9"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Alignment to PLO</w:t>
            </w:r>
          </w:p>
        </w:tc>
        <w:tc>
          <w:tcPr>
            <w:tcW w:type="dxa" w:w="3360"/>
            <w:shd w:fill="D9D9D9"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Assignment Titles</w:t>
            </w:r>
          </w:p>
        </w:tc>
      </w:tr>
      <w:tr>
        <w:tc>
          <w:tcPr>
            <w:tcW w:type="dxa" w:w="3900"/>
            <w:tcMar>
              <w:top w:type="dxa" w:w="60"/>
              <w:left w:type="dxa" w:w="100"/>
              <w:bottom w:type="dxa" w:w="60"/>
              <w:right w:type="dxa" w:w="100"/>
            </w:tcMar>
          </w:tcPr>
          <w:p>
            <w:pPr>
              <w:spacing w:after="0"/>
            </w:pPr>
            <w:r>
              <w:rPr>
                <w:rFonts w:ascii="Calibri" w:cs="Calibri" w:eastAsia="Calibri" w:hAnsi="Calibri"/>
                <w:sz w:val="20"/>
                <w:szCs w:val="20"/>
              </w:rPr>
              <w:t xml:space="preserve">CLO 1. Define capability as the interface between what a system requires of its human operators and the impact of that system, and decompose a system performance requirement into measurable human capability requirements. [LEO 1.1]</w:t>
            </w:r>
          </w:p>
        </w:tc>
        <w:tc>
          <w:tcPr>
            <w:tcW w:type="dxa" w:w="2100"/>
            <w:tcMar>
              <w:top w:type="dxa" w:w="60"/>
              <w:left w:type="dxa" w:w="100"/>
              <w:bottom w:type="dxa" w:w="60"/>
              <w:right w:type="dxa" w:w="100"/>
            </w:tcMar>
          </w:tcPr>
          <w:p>
            <w:pPr>
              <w:spacing w:after="0"/>
            </w:pPr>
            <w:r>
              <w:rPr>
                <w:rFonts w:ascii="Calibri" w:cs="Calibri" w:eastAsia="Calibri" w:hAnsi="Calibri"/>
                <w:sz w:val="20"/>
                <w:szCs w:val="20"/>
              </w:rPr>
              <w:t xml:space="preserve">PLO 1.3; PLO 1.4</w:t>
            </w:r>
          </w:p>
        </w:tc>
        <w:tc>
          <w:tcPr>
            <w:tcW w:type="dxa" w:w="3360"/>
            <w:tcMar>
              <w:top w:type="dxa" w:w="60"/>
              <w:left w:type="dxa" w:w="100"/>
              <w:bottom w:type="dxa" w:w="60"/>
              <w:right w:type="dxa" w:w="100"/>
            </w:tcMar>
          </w:tcPr>
          <w:p>
            <w:pPr>
              <w:spacing w:after="0"/>
            </w:pPr>
            <w:r>
              <w:rPr>
                <w:rFonts w:ascii="Calibri" w:cs="Calibri" w:eastAsia="Calibri" w:hAnsi="Calibri"/>
                <w:sz w:val="20"/>
                <w:szCs w:val="20"/>
              </w:rPr>
              <w:t xml:space="preserve">Assignment 1: Capability Analysis</w:t>
            </w:r>
          </w:p>
        </w:tc>
      </w:tr>
      <w:tr>
        <w:tc>
          <w:tcPr>
            <w:tcW w:type="dxa" w:w="3900"/>
            <w:tcMar>
              <w:top w:type="dxa" w:w="60"/>
              <w:left w:type="dxa" w:w="100"/>
              <w:bottom w:type="dxa" w:w="60"/>
              <w:right w:type="dxa" w:w="100"/>
            </w:tcMar>
          </w:tcPr>
          <w:p>
            <w:pPr>
              <w:spacing w:after="0"/>
            </w:pPr>
            <w:r>
              <w:rPr>
                <w:rFonts w:ascii="Calibri" w:cs="Calibri" w:eastAsia="Calibri" w:hAnsi="Calibri"/>
                <w:sz w:val="20"/>
                <w:szCs w:val="20"/>
              </w:rPr>
              <w:t xml:space="preserve">CLO 2. Model a learning environment and its host operational system as interacting systems with defined components, interfaces, and feedback loops. [LEO 1.2]</w:t>
            </w:r>
          </w:p>
        </w:tc>
        <w:tc>
          <w:tcPr>
            <w:tcW w:type="dxa" w:w="2100"/>
            <w:tcMar>
              <w:top w:type="dxa" w:w="60"/>
              <w:left w:type="dxa" w:w="100"/>
              <w:bottom w:type="dxa" w:w="60"/>
              <w:right w:type="dxa" w:w="100"/>
            </w:tcMar>
          </w:tcPr>
          <w:p>
            <w:pPr>
              <w:spacing w:after="0"/>
            </w:pPr>
            <w:r>
              <w:rPr>
                <w:rFonts w:ascii="Calibri" w:cs="Calibri" w:eastAsia="Calibri" w:hAnsi="Calibri"/>
                <w:sz w:val="20"/>
                <w:szCs w:val="20"/>
              </w:rPr>
              <w:t xml:space="preserve">PLO 2.2</w:t>
            </w:r>
          </w:p>
        </w:tc>
        <w:tc>
          <w:tcPr>
            <w:tcW w:type="dxa" w:w="3360"/>
            <w:tcMar>
              <w:top w:type="dxa" w:w="60"/>
              <w:left w:type="dxa" w:w="100"/>
              <w:bottom w:type="dxa" w:w="60"/>
              <w:right w:type="dxa" w:w="100"/>
            </w:tcMar>
          </w:tcPr>
          <w:p>
            <w:pPr>
              <w:spacing w:after="0"/>
            </w:pPr>
            <w:r>
              <w:rPr>
                <w:rFonts w:ascii="Calibri" w:cs="Calibri" w:eastAsia="Calibri" w:hAnsi="Calibri"/>
                <w:sz w:val="20"/>
                <w:szCs w:val="20"/>
              </w:rPr>
              <w:t xml:space="preserve">Assignment 1: Capability Analysis</w:t>
            </w:r>
          </w:p>
        </w:tc>
      </w:tr>
      <w:tr>
        <w:tc>
          <w:tcPr>
            <w:tcW w:type="dxa" w:w="3900"/>
            <w:tcMar>
              <w:top w:type="dxa" w:w="60"/>
              <w:left w:type="dxa" w:w="100"/>
              <w:bottom w:type="dxa" w:w="60"/>
              <w:right w:type="dxa" w:w="100"/>
            </w:tcMar>
          </w:tcPr>
          <w:p>
            <w:pPr>
              <w:spacing w:after="0"/>
            </w:pPr>
            <w:r>
              <w:rPr>
                <w:rFonts w:ascii="Calibri" w:cs="Calibri" w:eastAsia="Calibri" w:hAnsi="Calibri"/>
                <w:sz w:val="20"/>
                <w:szCs w:val="20"/>
              </w:rPr>
              <w:t xml:space="preserve">CLO 3. Apply systems engineering lifecycle models to locate where capability development decisions occur across a system's life. [LEO 1.3]</w:t>
            </w:r>
          </w:p>
        </w:tc>
        <w:tc>
          <w:tcPr>
            <w:tcW w:type="dxa" w:w="2100"/>
            <w:tcMar>
              <w:top w:type="dxa" w:w="60"/>
              <w:left w:type="dxa" w:w="100"/>
              <w:bottom w:type="dxa" w:w="60"/>
              <w:right w:type="dxa" w:w="100"/>
            </w:tcMar>
          </w:tcPr>
          <w:p>
            <w:pPr>
              <w:spacing w:after="0"/>
            </w:pPr>
            <w:r>
              <w:rPr>
                <w:rFonts w:ascii="Calibri" w:cs="Calibri" w:eastAsia="Calibri" w:hAnsi="Calibri"/>
                <w:sz w:val="20"/>
                <w:szCs w:val="20"/>
              </w:rPr>
              <w:t xml:space="preserve">PLO 1.3; PLO 2.2</w:t>
            </w:r>
          </w:p>
        </w:tc>
        <w:tc>
          <w:tcPr>
            <w:tcW w:type="dxa" w:w="3360"/>
            <w:tcMar>
              <w:top w:type="dxa" w:w="60"/>
              <w:left w:type="dxa" w:w="100"/>
              <w:bottom w:type="dxa" w:w="60"/>
              <w:right w:type="dxa" w:w="100"/>
            </w:tcMar>
          </w:tcPr>
          <w:p>
            <w:pPr>
              <w:spacing w:after="0"/>
            </w:pPr>
            <w:r>
              <w:rPr>
                <w:rFonts w:ascii="Calibri" w:cs="Calibri" w:eastAsia="Calibri" w:hAnsi="Calibri"/>
                <w:sz w:val="20"/>
                <w:szCs w:val="20"/>
              </w:rPr>
              <w:t xml:space="preserve">Assignment 1: Capability Analysis</w:t>
            </w:r>
          </w:p>
        </w:tc>
      </w:tr>
      <w:tr>
        <w:tc>
          <w:tcPr>
            <w:tcW w:type="dxa" w:w="3900"/>
            <w:tcMar>
              <w:top w:type="dxa" w:w="60"/>
              <w:left w:type="dxa" w:w="100"/>
              <w:bottom w:type="dxa" w:w="60"/>
              <w:right w:type="dxa" w:w="100"/>
            </w:tcMar>
          </w:tcPr>
          <w:p>
            <w:pPr>
              <w:spacing w:after="0"/>
            </w:pPr>
            <w:r>
              <w:rPr>
                <w:rFonts w:ascii="Calibri" w:cs="Calibri" w:eastAsia="Calibri" w:hAnsi="Calibri"/>
                <w:sz w:val="20"/>
                <w:szCs w:val="20"/>
              </w:rPr>
              <w:t xml:space="preserve">CLO 4. Apply learning sciences principles (cognitive, motivational, sociocultural) to the design of capability interventions under operational constraints. [LEO 2.1]</w:t>
            </w:r>
          </w:p>
        </w:tc>
        <w:tc>
          <w:tcPr>
            <w:tcW w:type="dxa" w:w="2100"/>
            <w:tcMar>
              <w:top w:type="dxa" w:w="60"/>
              <w:left w:type="dxa" w:w="100"/>
              <w:bottom w:type="dxa" w:w="60"/>
              <w:right w:type="dxa" w:w="100"/>
            </w:tcMar>
          </w:tcPr>
          <w:p>
            <w:pPr>
              <w:spacing w:after="0"/>
            </w:pPr>
            <w:r>
              <w:rPr>
                <w:rFonts w:ascii="Calibri" w:cs="Calibri" w:eastAsia="Calibri" w:hAnsi="Calibri"/>
                <w:sz w:val="20"/>
                <w:szCs w:val="20"/>
              </w:rPr>
              <w:t xml:space="preserve">PLO 1.1; PLO 1.4; PLO 1.5</w:t>
            </w:r>
          </w:p>
        </w:tc>
        <w:tc>
          <w:tcPr>
            <w:tcW w:type="dxa" w:w="3360"/>
            <w:tcMar>
              <w:top w:type="dxa" w:w="60"/>
              <w:left w:type="dxa" w:w="100"/>
              <w:bottom w:type="dxa" w:w="60"/>
              <w:right w:type="dxa" w:w="100"/>
            </w:tcMar>
          </w:tcPr>
          <w:p>
            <w:pPr>
              <w:spacing w:after="0"/>
            </w:pPr>
            <w:r>
              <w:rPr>
                <w:rFonts w:ascii="Calibri" w:cs="Calibri" w:eastAsia="Calibri" w:hAnsi="Calibri"/>
                <w:sz w:val="20"/>
                <w:szCs w:val="20"/>
              </w:rPr>
              <w:t xml:space="preserve">Assignment 2: Iteration Cycle Report</w:t>
            </w:r>
          </w:p>
        </w:tc>
      </w:tr>
      <w:tr>
        <w:tc>
          <w:tcPr>
            <w:tcW w:type="dxa" w:w="3900"/>
            <w:tcMar>
              <w:top w:type="dxa" w:w="60"/>
              <w:left w:type="dxa" w:w="100"/>
              <w:bottom w:type="dxa" w:w="60"/>
              <w:right w:type="dxa" w:w="100"/>
            </w:tcMar>
          </w:tcPr>
          <w:p>
            <w:pPr>
              <w:spacing w:after="0"/>
            </w:pPr>
            <w:r>
              <w:rPr>
                <w:rFonts w:ascii="Calibri" w:cs="Calibri" w:eastAsia="Calibri" w:hAnsi="Calibri"/>
                <w:sz w:val="20"/>
                <w:szCs w:val="20"/>
              </w:rPr>
              <w:t xml:space="preserve">CLO 5. Execute one complete iteration cycle (design, instrument, evaluate, refine) on a bounded capability problem, and narrate and defend the iteration in first person, documenting the revision of the problem framing. [LEO 2.2, 2.3, 2.5]</w:t>
            </w:r>
          </w:p>
        </w:tc>
        <w:tc>
          <w:tcPr>
            <w:tcW w:type="dxa" w:w="2100"/>
            <w:tcMar>
              <w:top w:type="dxa" w:w="60"/>
              <w:left w:type="dxa" w:w="100"/>
              <w:bottom w:type="dxa" w:w="60"/>
              <w:right w:type="dxa" w:w="100"/>
            </w:tcMar>
          </w:tcPr>
          <w:p>
            <w:pPr>
              <w:spacing w:after="0"/>
            </w:pPr>
            <w:r>
              <w:rPr>
                <w:rFonts w:ascii="Calibri" w:cs="Calibri" w:eastAsia="Calibri" w:hAnsi="Calibri"/>
                <w:sz w:val="20"/>
                <w:szCs w:val="20"/>
              </w:rPr>
              <w:t xml:space="preserve">PLO 1.5; PLO 2.2; PLO 3.3</w:t>
            </w:r>
          </w:p>
        </w:tc>
        <w:tc>
          <w:tcPr>
            <w:tcW w:type="dxa" w:w="3360"/>
            <w:tcMar>
              <w:top w:type="dxa" w:w="60"/>
              <w:left w:type="dxa" w:w="100"/>
              <w:bottom w:type="dxa" w:w="60"/>
              <w:right w:type="dxa" w:w="100"/>
            </w:tcMar>
          </w:tcPr>
          <w:p>
            <w:pPr>
              <w:spacing w:after="0"/>
            </w:pPr>
            <w:r>
              <w:rPr>
                <w:rFonts w:ascii="Calibri" w:cs="Calibri" w:eastAsia="Calibri" w:hAnsi="Calibri"/>
                <w:sz w:val="20"/>
                <w:szCs w:val="20"/>
              </w:rPr>
              <w:t xml:space="preserve">Assignment 2: Iteration Cycle Report</w:t>
            </w:r>
          </w:p>
        </w:tc>
      </w:tr>
      <w:tr>
        <w:tc>
          <w:tcPr>
            <w:tcW w:type="dxa" w:w="3900"/>
            <w:tcMar>
              <w:top w:type="dxa" w:w="60"/>
              <w:left w:type="dxa" w:w="100"/>
              <w:bottom w:type="dxa" w:w="60"/>
              <w:right w:type="dxa" w:w="100"/>
            </w:tcMar>
          </w:tcPr>
          <w:p>
            <w:pPr>
              <w:spacing w:after="0"/>
            </w:pPr>
            <w:r>
              <w:rPr>
                <w:rFonts w:ascii="Calibri" w:cs="Calibri" w:eastAsia="Calibri" w:hAnsi="Calibri"/>
                <w:sz w:val="20"/>
                <w:szCs w:val="20"/>
              </w:rPr>
              <w:t xml:space="preserve">CLO 6. Analyze a documented coupling failure between learning investment and operational outcome, and communicate the analysis to a mixed technical and non-technical audience. [LEO 1.4]</w:t>
            </w:r>
          </w:p>
        </w:tc>
        <w:tc>
          <w:tcPr>
            <w:tcW w:type="dxa" w:w="2100"/>
            <w:tcMar>
              <w:top w:type="dxa" w:w="60"/>
              <w:left w:type="dxa" w:w="100"/>
              <w:bottom w:type="dxa" w:w="60"/>
              <w:right w:type="dxa" w:w="100"/>
            </w:tcMar>
          </w:tcPr>
          <w:p>
            <w:pPr>
              <w:spacing w:after="0"/>
            </w:pPr>
            <w:r>
              <w:rPr>
                <w:rFonts w:ascii="Calibri" w:cs="Calibri" w:eastAsia="Calibri" w:hAnsi="Calibri"/>
                <w:sz w:val="20"/>
                <w:szCs w:val="20"/>
              </w:rPr>
              <w:t xml:space="preserve">PLO 3.2; PLO 4.2 †</w:t>
            </w:r>
          </w:p>
        </w:tc>
        <w:tc>
          <w:tcPr>
            <w:tcW w:type="dxa" w:w="3360"/>
            <w:tcMar>
              <w:top w:type="dxa" w:w="60"/>
              <w:left w:type="dxa" w:w="100"/>
              <w:bottom w:type="dxa" w:w="60"/>
              <w:right w:type="dxa" w:w="100"/>
            </w:tcMar>
          </w:tcPr>
          <w:p>
            <w:pPr>
              <w:spacing w:after="0"/>
            </w:pPr>
            <w:r>
              <w:rPr>
                <w:rFonts w:ascii="Calibri" w:cs="Calibri" w:eastAsia="Calibri" w:hAnsi="Calibri"/>
                <w:sz w:val="20"/>
                <w:szCs w:val="20"/>
              </w:rPr>
              <w:t xml:space="preserve">Final: Integrated Analysis and Briefing</w:t>
            </w:r>
          </w:p>
        </w:tc>
      </w:tr>
      <w:tr>
        <w:tc>
          <w:tcPr>
            <w:tcW w:type="dxa" w:w="3900"/>
            <w:tcMar>
              <w:top w:type="dxa" w:w="60"/>
              <w:left w:type="dxa" w:w="100"/>
              <w:bottom w:type="dxa" w:w="60"/>
              <w:right w:type="dxa" w:w="100"/>
            </w:tcMar>
          </w:tcPr>
          <w:p>
            <w:pPr>
              <w:spacing w:after="0"/>
            </w:pPr>
            <w:r>
              <w:rPr>
                <w:rFonts w:ascii="Calibri" w:cs="Calibri" w:eastAsia="Calibri" w:hAnsi="Calibri"/>
                <w:sz w:val="20"/>
                <w:szCs w:val="20"/>
              </w:rPr>
              <w:t xml:space="preserve">CLO 7. Apply the governance-objection diagnostic: distinguish a governance objection that good design can dissolve from one that correctly signals the system should not deploy. [LEO 1.5]</w:t>
            </w:r>
          </w:p>
        </w:tc>
        <w:tc>
          <w:tcPr>
            <w:tcW w:type="dxa" w:w="2100"/>
            <w:tcMar>
              <w:top w:type="dxa" w:w="60"/>
              <w:left w:type="dxa" w:w="100"/>
              <w:bottom w:type="dxa" w:w="60"/>
              <w:right w:type="dxa" w:w="100"/>
            </w:tcMar>
          </w:tcPr>
          <w:p>
            <w:pPr>
              <w:spacing w:after="0"/>
            </w:pPr>
            <w:r>
              <w:rPr>
                <w:rFonts w:ascii="Calibri" w:cs="Calibri" w:eastAsia="Calibri" w:hAnsi="Calibri"/>
                <w:sz w:val="20"/>
                <w:szCs w:val="20"/>
              </w:rPr>
              <w:t xml:space="preserve">PLO 2.2; PLO 2.3</w:t>
            </w:r>
          </w:p>
        </w:tc>
        <w:tc>
          <w:tcPr>
            <w:tcW w:type="dxa" w:w="3360"/>
            <w:tcMar>
              <w:top w:type="dxa" w:w="60"/>
              <w:left w:type="dxa" w:w="100"/>
              <w:bottom w:type="dxa" w:w="60"/>
              <w:right w:type="dxa" w:w="100"/>
            </w:tcMar>
          </w:tcPr>
          <w:p>
            <w:pPr>
              <w:spacing w:after="0"/>
            </w:pPr>
            <w:r>
              <w:rPr>
                <w:rFonts w:ascii="Calibri" w:cs="Calibri" w:eastAsia="Calibri" w:hAnsi="Calibri"/>
                <w:sz w:val="20"/>
                <w:szCs w:val="20"/>
              </w:rPr>
              <w:t xml:space="preserve">Final: Integrated Analysis and Briefing; Dispositions Portfolio</w:t>
            </w:r>
          </w:p>
        </w:tc>
      </w:tr>
    </w:tbl>
    <w:p>
      <w:pPr>
        <w:spacing w:after="120" w:before="0"/>
      </w:pPr>
      <w:r>
        <w:rPr>
          <w:rFonts w:ascii="Calibri" w:cs="Calibri" w:eastAsia="Calibri" w:hAnsi="Calibri"/>
          <w:i/>
          <w:iCs/>
          <w:sz w:val="18"/>
          <w:szCs w:val="18"/>
        </w:rPr>
        <w:t xml:space="preserve">† PLO 4.2 is carried by this course's final briefing, which is delivered to a mixed technical and non-technical audience. LEN 1 is listed as PLO-1, PLO-2, PLO-3 in the course mapping of record (LENS Objectives and Course Mapping, v2.3, §5.2, §6.1, §6.3); PLO-4 is added here, and the corresponding edit to that document is pending in the open program-owner round-trip.</w:t>
      </w:r>
    </w:p>
    <w:p>
      <w:pPr>
        <w:pStyle w:val="Heading1"/>
        <w:spacing w:after="120" w:before="260"/>
      </w:pPr>
      <w:r>
        <w:rPr>
          <w:rFonts w:ascii="Calibri" w:cs="Calibri" w:eastAsia="Calibri" w:hAnsi="Calibri"/>
          <w:b/>
          <w:bCs/>
          <w:color w:val="000000"/>
          <w:sz w:val="26"/>
          <w:szCs w:val="26"/>
        </w:rPr>
        <w:t xml:space="preserve">Program Learning Outcomes (PLOs)</w:t>
      </w:r>
    </w:p>
    <w:p>
      <w:pPr>
        <w:spacing w:after="100" w:before="0"/>
      </w:pPr>
      <w:r>
        <w:rPr>
          <w:rFonts w:ascii="Calibri" w:cs="Calibri" w:eastAsia="Calibri" w:hAnsi="Calibri"/>
          <w:sz w:val="22"/>
          <w:szCs w:val="22"/>
        </w:rPr>
        <w:t xml:space="preserve">Upon successful completion of the LDT program, graduates will demonstrate competence in six areas. This course carries the sub-objectives listed in the alignment table above.</w:t>
      </w:r>
    </w:p>
    <w:p>
      <w:pPr>
        <w:pStyle w:val="ListParagraph"/>
        <w:numPr>
          <w:ilvl w:val="0"/>
          <w:numId w:val="1"/>
        </w:numPr>
        <w:spacing w:after="60"/>
      </w:pPr>
      <w:r>
        <w:rPr>
          <w:rFonts w:ascii="Calibri" w:cs="Calibri" w:eastAsia="Calibri" w:hAnsi="Calibri"/>
          <w:sz w:val="22"/>
          <w:szCs w:val="22"/>
        </w:rPr>
        <w:t xml:space="preserve">PLO 1. Theory and Evidence in the Design of Experiences and Solutions. 1.1 Describe and differentiate theories and ideas from the learning sciences, motivation, and media/technology. 1.3 Analyze and evaluate design options to identify appropriate and applicable theories and practices to accomplish intended instructional outcomes in a given context and for a learner population. 1.4 Justify design and deployment decisions based on theory, ideas, models, or evidence. 1.5 Design, develop, and deploy digital education solutions grounded in ideas and theories from the learning sciences, motivation, and media/technology.</w:t>
      </w:r>
    </w:p>
    <w:p>
      <w:pPr>
        <w:pStyle w:val="ListParagraph"/>
        <w:numPr>
          <w:ilvl w:val="0"/>
          <w:numId w:val="1"/>
        </w:numPr>
        <w:spacing w:after="60"/>
      </w:pPr>
      <w:r>
        <w:rPr>
          <w:rFonts w:ascii="Calibri" w:cs="Calibri" w:eastAsia="Calibri" w:hAnsi="Calibri"/>
          <w:sz w:val="22"/>
          <w:szCs w:val="22"/>
        </w:rPr>
        <w:t xml:space="preserve">PLO 2. Ethical and Human-Centered Learning Solutions. 2.2 Apply systematic models and systems thinking to create ethical, learner-focused digital tools and curricula. 2.3 Evaluate learning solutions to ensure they advance equity and inclusivity across varied contexts.</w:t>
      </w:r>
    </w:p>
    <w:p>
      <w:pPr>
        <w:pStyle w:val="ListParagraph"/>
        <w:numPr>
          <w:ilvl w:val="0"/>
          <w:numId w:val="1"/>
        </w:numPr>
        <w:spacing w:after="60"/>
      </w:pPr>
      <w:r>
        <w:rPr>
          <w:rFonts w:ascii="Calibri" w:cs="Calibri" w:eastAsia="Calibri" w:hAnsi="Calibri"/>
          <w:sz w:val="22"/>
          <w:szCs w:val="22"/>
        </w:rPr>
        <w:t xml:space="preserve">PLO 3. Collaboration and Leadership in Educational Technology. 3.2 Communicate shared visions for technology-supported solutions. 3.3 Lead efforts to ensure the quality of technology-supported learning experiences.</w:t>
      </w:r>
    </w:p>
    <w:p>
      <w:pPr>
        <w:pStyle w:val="ListParagraph"/>
        <w:numPr>
          <w:ilvl w:val="0"/>
          <w:numId w:val="1"/>
        </w:numPr>
        <w:spacing w:after="60"/>
      </w:pPr>
      <w:r>
        <w:rPr>
          <w:rFonts w:ascii="Calibri" w:cs="Calibri" w:eastAsia="Calibri" w:hAnsi="Calibri"/>
          <w:sz w:val="22"/>
          <w:szCs w:val="22"/>
        </w:rPr>
        <w:t xml:space="preserve">PLO 4. Communication Competence. 4.2 Articulate and justify pedagogical, design, and development decisions to diverse audiences.</w:t>
      </w:r>
    </w:p>
    <w:p>
      <w:pPr>
        <w:pStyle w:val="Heading1"/>
        <w:spacing w:after="120" w:before="260"/>
      </w:pPr>
      <w:r>
        <w:rPr>
          <w:rFonts w:ascii="Calibri" w:cs="Calibri" w:eastAsia="Calibri" w:hAnsi="Calibri"/>
          <w:b/>
          <w:bCs/>
          <w:color w:val="000000"/>
          <w:sz w:val="26"/>
          <w:szCs w:val="26"/>
        </w:rPr>
        <w:t xml:space="preserve">Required Text and Other Materials</w:t>
      </w:r>
    </w:p>
    <w:p>
      <w:pPr>
        <w:spacing w:after="100" w:before="0"/>
      </w:pPr>
      <w:r>
        <w:rPr>
          <w:rFonts w:ascii="Calibri" w:cs="Calibri" w:eastAsia="Calibri" w:hAnsi="Calibri"/>
          <w:sz w:val="22"/>
          <w:szCs w:val="22"/>
        </w:rPr>
        <w:t xml:space="preserve">The following texts are required. Chapter- and article-level readings are listed in short form in the Course Outline; the full reading list with editions, selections, and access links is provided in Canvas. All other readings are available through JHU library access or open sources. No text purchase beyond the title below is required.</w:t>
      </w:r>
    </w:p>
    <w:p>
      <w:pPr>
        <w:pStyle w:val="ListParagraph"/>
        <w:numPr>
          <w:ilvl w:val="0"/>
          <w:numId w:val="1"/>
        </w:numPr>
        <w:spacing w:after="60"/>
      </w:pPr>
      <w:r>
        <w:rPr>
          <w:rFonts w:ascii="Calibri" w:cs="Calibri" w:eastAsia="Calibri" w:hAnsi="Calibri"/>
          <w:sz w:val="22"/>
          <w:szCs w:val="22"/>
        </w:rPr>
        <w:t xml:space="preserve">Goodell, J., &amp; Kolodner, J. (Eds.). (2023). Learning engineering toolkit: Evidence-based practices from the learning sciences, instructional design, and beyond. Routledge.</w:t>
      </w:r>
    </w:p>
    <w:p>
      <w:pPr>
        <w:spacing w:after="100" w:before="0"/>
      </w:pPr>
      <w:r>
        <w:rPr>
          <w:rFonts w:ascii="Calibri" w:cs="Calibri" w:eastAsia="Calibri" w:hAnsi="Calibri"/>
          <w:sz w:val="20"/>
          <w:szCs w:val="20"/>
        </w:rPr>
        <w:t xml:space="preserve">The Introduction, Chapter 1, and Chapter 2 of the Learning Engineering Toolkit are available as open access PDFs from Taylor &amp; Francis under a CC BY-NC-ND 4.0 license. Sawyer (2022) selections are provided through JHU library access; no purchase is required.</w:t>
      </w:r>
    </w:p>
    <w:p>
      <w:pPr>
        <w:spacing w:after="100" w:before="0"/>
      </w:pPr>
      <w:r>
        <w:rPr>
          <w:rFonts w:ascii="Calibri" w:cs="Calibri" w:eastAsia="Calibri" w:hAnsi="Calibri"/>
          <w:sz w:val="20"/>
          <w:szCs w:val="20"/>
        </w:rPr>
        <w:t xml:space="preserve">LENS Capability Matters Casebook (course edition). Provided in Canvas. Cases carry COLO sub-objective tags and evidence-tier flags; each is read with its tags.</w:t>
      </w:r>
    </w:p>
    <w:p>
      <w:pPr>
        <w:pStyle w:val="Heading1"/>
        <w:spacing w:after="120" w:before="260"/>
      </w:pPr>
      <w:r>
        <w:rPr>
          <w:rFonts w:ascii="Calibri" w:cs="Calibri" w:eastAsia="Calibri" w:hAnsi="Calibri"/>
          <w:b/>
          <w:bCs/>
          <w:color w:val="000000"/>
          <w:sz w:val="26"/>
          <w:szCs w:val="26"/>
        </w:rPr>
        <w:t xml:space="preserve">Assignments</w:t>
      </w:r>
    </w:p>
    <w:p>
      <w:pPr>
        <w:spacing w:after="100"/>
      </w:pPr>
      <w:r>
        <w:rPr>
          <w:rFonts w:ascii="Calibri" w:cs="Calibri" w:eastAsia="Calibri" w:hAnsi="Calibri"/>
          <w:b/>
          <w:bCs/>
          <w:sz w:val="22"/>
          <w:szCs w:val="22"/>
        </w:rPr>
        <w:t xml:space="preserve">Weekly discussions and labs (20%). </w:t>
      </w:r>
      <w:r>
        <w:rPr>
          <w:rFonts w:ascii="Calibri" w:cs="Calibri" w:eastAsia="Calibri" w:hAnsi="Calibri"/>
          <w:sz w:val="22"/>
          <w:szCs w:val="22"/>
        </w:rPr>
        <w:t xml:space="preserve">Each week includes either a discussion prompt tied to the module reading or a hands-on lab (modeling, requirements writing, case analysis). Students post an initial substantive contribution and respond to at least two peers, with responses drawn from different professional domains where possible. Labs produce a short artifact (a system diagram, a requirements draft, a coded case analysis) that feeds the graded assignments. Cases are assigned weekly and carry the discussion. Module 5 adds three graded case memos: short analyses that code the case with a named failure analysis method, justify the method against the case, and name the evidence that would have changed the outcome. Participation is assessed on substance and engagement with evidence, not volume.</w:t>
      </w:r>
    </w:p>
    <w:p>
      <w:pPr>
        <w:spacing w:after="100"/>
      </w:pPr>
      <w:r>
        <w:rPr>
          <w:rFonts w:ascii="Calibri" w:cs="Calibri" w:eastAsia="Calibri" w:hAnsi="Calibri"/>
          <w:b/>
          <w:bCs/>
          <w:sz w:val="22"/>
          <w:szCs w:val="22"/>
        </w:rPr>
        <w:t xml:space="preserve">Assignment 1: Capability Analysis (20%, due Week 7). </w:t>
      </w:r>
      <w:r>
        <w:rPr>
          <w:rFonts w:ascii="Calibri" w:cs="Calibri" w:eastAsia="Calibri" w:hAnsi="Calibri"/>
          <w:sz w:val="22"/>
          <w:szCs w:val="22"/>
        </w:rPr>
        <w:t xml:space="preserve">A capability analysis of the student's own professional domain. Students identify a system performance requirement, decompose it into measurable human capability requirements, and produce a system model showing components, interfaces, and feedback loops between the learning environment and the host operational system. The analysis must locate at least three capability development decisions on a systems lifecycle model and justify their placement. Assessed against CLO 1, CLO 2, and CLO 3 (LEO 1.1, 1.2, 1.3).</w:t>
      </w:r>
    </w:p>
    <w:p>
      <w:pPr>
        <w:spacing w:after="100"/>
      </w:pPr>
      <w:r>
        <w:rPr>
          <w:rFonts w:ascii="Calibri" w:cs="Calibri" w:eastAsia="Calibri" w:hAnsi="Calibri"/>
          <w:b/>
          <w:bCs/>
          <w:sz w:val="22"/>
          <w:szCs w:val="22"/>
        </w:rPr>
        <w:t xml:space="preserve">Assignment 2: Iteration Cycle Report (20%, due Week 13). </w:t>
      </w:r>
      <w:r>
        <w:rPr>
          <w:rFonts w:ascii="Calibri" w:cs="Calibri" w:eastAsia="Calibri" w:hAnsi="Calibri"/>
          <w:sz w:val="22"/>
          <w:szCs w:val="22"/>
        </w:rPr>
        <w:t xml:space="preserve">One complete documented iteration cycle (design, instrument, evaluate, refine) on a bounded capability problem. The report presents the initial problem framing, the learning sciences principles applied and the operational constraints that bent them, the instrumentation used, the evidence gathered, and, critically, the revision of the problem framing that the evidence forced. The report is written in first person and defends the iteration as the student ran it: design competence includes rendering the iteration legible, not only producing an outcome. Reports that show no revision must argue why the initial framing survived. Assessed against CLO 4 and CLO 5 (LEO 2.1, 2.2, 2.3, 2.5).</w:t>
      </w:r>
    </w:p>
    <w:p>
      <w:pPr>
        <w:spacing w:after="100"/>
      </w:pPr>
      <w:r>
        <w:rPr>
          <w:rFonts w:ascii="Calibri" w:cs="Calibri" w:eastAsia="Calibri" w:hAnsi="Calibri"/>
          <w:b/>
          <w:bCs/>
          <w:sz w:val="22"/>
          <w:szCs w:val="22"/>
        </w:rPr>
        <w:t xml:space="preserve">Final: Integrated Analysis and Briefing (30%, due Week 15). </w:t>
      </w:r>
      <w:r>
        <w:rPr>
          <w:rFonts w:ascii="Calibri" w:cs="Calibri" w:eastAsia="Calibri" w:hAnsi="Calibri"/>
          <w:sz w:val="22"/>
          <w:szCs w:val="22"/>
        </w:rPr>
        <w:t xml:space="preserve">A written analysis of a documented coupling failure, in which learning investment and operational outcome decoupled, drawn from the Capability Matters Casebook or proposed by the student and approved by Week 11. The analysis applies a named failure analysis method and justifies the choice, analyzes the interdependencies between human and system performance that produced the failure, and assesses operational impact. The analysis must also run the governance-objection diagnostic on the case: where a governance objection was raised, argue whether better design could have dissolved it or whether it correctly signaled that the system should not have deployed. Gap attribution (LEO 4.2) is previewed here and formally assessed in LEN 4. It is accompanied by a recorded briefing (12 minutes maximum) delivered to a mixed technical and non-technical audience, stating uncertainty and the limits of inference honestly. Assessed against CLO 6 and CLO 7 (LEO 1.4, 1.5).</w:t>
      </w:r>
    </w:p>
    <w:p>
      <w:pPr>
        <w:spacing w:after="100"/>
      </w:pPr>
      <w:r>
        <w:rPr>
          <w:rFonts w:ascii="Calibri" w:cs="Calibri" w:eastAsia="Calibri" w:hAnsi="Calibri"/>
          <w:b/>
          <w:bCs/>
          <w:sz w:val="22"/>
          <w:szCs w:val="22"/>
        </w:rPr>
        <w:t xml:space="preserve">Dispositions Portfolio (10%, due Week 15). </w:t>
      </w:r>
      <w:r>
        <w:rPr>
          <w:rFonts w:ascii="Calibri" w:cs="Calibri" w:eastAsia="Calibri" w:hAnsi="Calibri"/>
          <w:sz w:val="22"/>
          <w:szCs w:val="22"/>
        </w:rPr>
        <w:t xml:space="preserve">A short reflective portfolio tracing the five professional dispositions of the field across the student's work products in this course, citing specific artifacts as evidence. This is a claim-and-evidence document, not a narrative reflection: each disposition claim must point to a work product and say what in it warrants the claim.</w:t>
      </w:r>
    </w:p>
    <w:p>
      <w:pPr>
        <w:pStyle w:val="Heading1"/>
        <w:spacing w:after="120" w:before="260"/>
      </w:pPr>
      <w:r>
        <w:rPr>
          <w:rFonts w:ascii="Calibri" w:cs="Calibri" w:eastAsia="Calibri" w:hAnsi="Calibri"/>
          <w:b/>
          <w:bCs/>
          <w:color w:val="000000"/>
          <w:sz w:val="26"/>
          <w:szCs w:val="26"/>
        </w:rPr>
        <w:t xml:space="preserve">Evaluation and Grading</w:t>
      </w:r>
    </w:p>
    <w:p>
      <w:pPr>
        <w:spacing w:after="100" w:before="0"/>
      </w:pPr>
      <w:r>
        <w:rPr>
          <w:rFonts w:ascii="Calibri" w:cs="Calibri" w:eastAsia="Calibri" w:hAnsi="Calibri"/>
          <w:sz w:val="22"/>
          <w:szCs w:val="22"/>
        </w:rPr>
        <w:t xml:space="preserve">Course grades are determined by the weighted components below. Rubric lines reference LEO subobjectives directly, so that each student's attainment profile carries its own evidence trail. Rubrics are posted in Canvas at the start of the term.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0"/>
        <w:gridCol w:w="2400"/>
      </w:tblGrid>
      <w:tr>
        <w:tc>
          <w:tcPr>
            <w:tcW w:type="dxa" w:w="4560"/>
            <w:shd w:fill="D9D9D9"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Assignment</w:t>
            </w:r>
          </w:p>
        </w:tc>
        <w:tc>
          <w:tcPr>
            <w:tcW w:type="dxa" w:w="2400"/>
            <w:shd w:fill="D9D9D9"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 / Points</w:t>
            </w:r>
          </w:p>
        </w:tc>
        <w:tc>
          <w:tcPr>
            <w:tcW w:type="dxa" w:w="2400"/>
            <w:shd w:fill="D9D9D9"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Assessments Due</w:t>
            </w:r>
          </w:p>
        </w:tc>
      </w:tr>
      <w:tr>
        <w:tc>
          <w:tcPr>
            <w:tcW w:type="dxa" w:w="4560"/>
            <w:tcMar>
              <w:top w:type="dxa" w:w="60"/>
              <w:left w:type="dxa" w:w="100"/>
              <w:bottom w:type="dxa" w:w="60"/>
              <w:right w:type="dxa" w:w="100"/>
            </w:tcMar>
          </w:tcPr>
          <w:p>
            <w:pPr>
              <w:spacing w:after="0"/>
            </w:pPr>
            <w:r>
              <w:rPr>
                <w:rFonts w:ascii="Calibri" w:cs="Calibri" w:eastAsia="Calibri" w:hAnsi="Calibri"/>
                <w:sz w:val="20"/>
                <w:szCs w:val="20"/>
              </w:rPr>
              <w:t xml:space="preserve">Weekly discussions and labs</w:t>
            </w:r>
          </w:p>
        </w:tc>
        <w:tc>
          <w:tcPr>
            <w:tcW w:type="dxa" w:w="2400"/>
            <w:tcMar>
              <w:top w:type="dxa" w:w="60"/>
              <w:left w:type="dxa" w:w="100"/>
              <w:bottom w:type="dxa" w:w="60"/>
              <w:right w:type="dxa" w:w="100"/>
            </w:tcMar>
          </w:tcPr>
          <w:p>
            <w:pPr>
              <w:spacing w:after="0"/>
            </w:pPr>
            <w:r>
              <w:rPr>
                <w:rFonts w:ascii="Calibri" w:cs="Calibri" w:eastAsia="Calibri" w:hAnsi="Calibri"/>
                <w:sz w:val="20"/>
                <w:szCs w:val="20"/>
              </w:rPr>
              <w:t xml:space="preserve">20%</w:t>
            </w:r>
          </w:p>
        </w:tc>
        <w:tc>
          <w:tcPr>
            <w:tcW w:type="dxa" w:w="2400"/>
            <w:tcMar>
              <w:top w:type="dxa" w:w="60"/>
              <w:left w:type="dxa" w:w="100"/>
              <w:bottom w:type="dxa" w:w="60"/>
              <w:right w:type="dxa" w:w="100"/>
            </w:tcMar>
          </w:tcPr>
          <w:p>
            <w:pPr>
              <w:spacing w:after="0"/>
            </w:pPr>
            <w:r>
              <w:rPr>
                <w:rFonts w:ascii="Calibri" w:cs="Calibri" w:eastAsia="Calibri" w:hAnsi="Calibri"/>
                <w:sz w:val="20"/>
                <w:szCs w:val="20"/>
              </w:rPr>
              <w:t xml:space="preserve">Weekly, Weeks 1–15</w:t>
            </w:r>
          </w:p>
        </w:tc>
      </w:tr>
      <w:tr>
        <w:tc>
          <w:tcPr>
            <w:tcW w:type="dxa" w:w="4560"/>
            <w:tcMar>
              <w:top w:type="dxa" w:w="60"/>
              <w:left w:type="dxa" w:w="100"/>
              <w:bottom w:type="dxa" w:w="60"/>
              <w:right w:type="dxa" w:w="100"/>
            </w:tcMar>
          </w:tcPr>
          <w:p>
            <w:pPr>
              <w:spacing w:after="0"/>
            </w:pPr>
            <w:r>
              <w:rPr>
                <w:rFonts w:ascii="Calibri" w:cs="Calibri" w:eastAsia="Calibri" w:hAnsi="Calibri"/>
                <w:sz w:val="20"/>
                <w:szCs w:val="20"/>
              </w:rPr>
              <w:t xml:space="preserve">Assignment 1: Capability Analysis</w:t>
            </w:r>
          </w:p>
        </w:tc>
        <w:tc>
          <w:tcPr>
            <w:tcW w:type="dxa" w:w="2400"/>
            <w:tcMar>
              <w:top w:type="dxa" w:w="60"/>
              <w:left w:type="dxa" w:w="100"/>
              <w:bottom w:type="dxa" w:w="60"/>
              <w:right w:type="dxa" w:w="100"/>
            </w:tcMar>
          </w:tcPr>
          <w:p>
            <w:pPr>
              <w:spacing w:after="0"/>
            </w:pPr>
            <w:r>
              <w:rPr>
                <w:rFonts w:ascii="Calibri" w:cs="Calibri" w:eastAsia="Calibri" w:hAnsi="Calibri"/>
                <w:sz w:val="20"/>
                <w:szCs w:val="20"/>
              </w:rPr>
              <w:t xml:space="preserve">20%</w:t>
            </w:r>
          </w:p>
        </w:tc>
        <w:tc>
          <w:tcPr>
            <w:tcW w:type="dxa" w:w="2400"/>
            <w:tcMar>
              <w:top w:type="dxa" w:w="60"/>
              <w:left w:type="dxa" w:w="100"/>
              <w:bottom w:type="dxa" w:w="60"/>
              <w:right w:type="dxa" w:w="100"/>
            </w:tcMar>
          </w:tcPr>
          <w:p>
            <w:pPr>
              <w:spacing w:after="0"/>
            </w:pPr>
            <w:r>
              <w:rPr>
                <w:rFonts w:ascii="Calibri" w:cs="Calibri" w:eastAsia="Calibri" w:hAnsi="Calibri"/>
                <w:sz w:val="20"/>
                <w:szCs w:val="20"/>
              </w:rPr>
              <w:t xml:space="preserve">Week 7</w:t>
            </w:r>
          </w:p>
        </w:tc>
      </w:tr>
      <w:tr>
        <w:tc>
          <w:tcPr>
            <w:tcW w:type="dxa" w:w="4560"/>
            <w:tcMar>
              <w:top w:type="dxa" w:w="60"/>
              <w:left w:type="dxa" w:w="100"/>
              <w:bottom w:type="dxa" w:w="60"/>
              <w:right w:type="dxa" w:w="100"/>
            </w:tcMar>
          </w:tcPr>
          <w:p>
            <w:pPr>
              <w:spacing w:after="0"/>
            </w:pPr>
            <w:r>
              <w:rPr>
                <w:rFonts w:ascii="Calibri" w:cs="Calibri" w:eastAsia="Calibri" w:hAnsi="Calibri"/>
                <w:sz w:val="20"/>
                <w:szCs w:val="20"/>
              </w:rPr>
              <w:t xml:space="preserve">Assignment 2: Iteration Cycle Report</w:t>
            </w:r>
          </w:p>
        </w:tc>
        <w:tc>
          <w:tcPr>
            <w:tcW w:type="dxa" w:w="2400"/>
            <w:tcMar>
              <w:top w:type="dxa" w:w="60"/>
              <w:left w:type="dxa" w:w="100"/>
              <w:bottom w:type="dxa" w:w="60"/>
              <w:right w:type="dxa" w:w="100"/>
            </w:tcMar>
          </w:tcPr>
          <w:p>
            <w:pPr>
              <w:spacing w:after="0"/>
            </w:pPr>
            <w:r>
              <w:rPr>
                <w:rFonts w:ascii="Calibri" w:cs="Calibri" w:eastAsia="Calibri" w:hAnsi="Calibri"/>
                <w:sz w:val="20"/>
                <w:szCs w:val="20"/>
              </w:rPr>
              <w:t xml:space="preserve">20%</w:t>
            </w:r>
          </w:p>
        </w:tc>
        <w:tc>
          <w:tcPr>
            <w:tcW w:type="dxa" w:w="2400"/>
            <w:tcMar>
              <w:top w:type="dxa" w:w="60"/>
              <w:left w:type="dxa" w:w="100"/>
              <w:bottom w:type="dxa" w:w="60"/>
              <w:right w:type="dxa" w:w="100"/>
            </w:tcMar>
          </w:tcPr>
          <w:p>
            <w:pPr>
              <w:spacing w:after="0"/>
            </w:pPr>
            <w:r>
              <w:rPr>
                <w:rFonts w:ascii="Calibri" w:cs="Calibri" w:eastAsia="Calibri" w:hAnsi="Calibri"/>
                <w:sz w:val="20"/>
                <w:szCs w:val="20"/>
              </w:rPr>
              <w:t xml:space="preserve">Week 13</w:t>
            </w:r>
          </w:p>
        </w:tc>
      </w:tr>
      <w:tr>
        <w:tc>
          <w:tcPr>
            <w:tcW w:type="dxa" w:w="4560"/>
            <w:tcMar>
              <w:top w:type="dxa" w:w="60"/>
              <w:left w:type="dxa" w:w="100"/>
              <w:bottom w:type="dxa" w:w="60"/>
              <w:right w:type="dxa" w:w="100"/>
            </w:tcMar>
          </w:tcPr>
          <w:p>
            <w:pPr>
              <w:spacing w:after="0"/>
            </w:pPr>
            <w:r>
              <w:rPr>
                <w:rFonts w:ascii="Calibri" w:cs="Calibri" w:eastAsia="Calibri" w:hAnsi="Calibri"/>
                <w:sz w:val="20"/>
                <w:szCs w:val="20"/>
              </w:rPr>
              <w:t xml:space="preserve">Final: Integrated Analysis and Briefing</w:t>
            </w:r>
          </w:p>
        </w:tc>
        <w:tc>
          <w:tcPr>
            <w:tcW w:type="dxa" w:w="2400"/>
            <w:tcMar>
              <w:top w:type="dxa" w:w="60"/>
              <w:left w:type="dxa" w:w="100"/>
              <w:bottom w:type="dxa" w:w="60"/>
              <w:right w:type="dxa" w:w="100"/>
            </w:tcMar>
          </w:tcPr>
          <w:p>
            <w:pPr>
              <w:spacing w:after="0"/>
            </w:pPr>
            <w:r>
              <w:rPr>
                <w:rFonts w:ascii="Calibri" w:cs="Calibri" w:eastAsia="Calibri" w:hAnsi="Calibri"/>
                <w:sz w:val="20"/>
                <w:szCs w:val="20"/>
              </w:rPr>
              <w:t xml:space="preserve">30%</w:t>
            </w:r>
          </w:p>
        </w:tc>
        <w:tc>
          <w:tcPr>
            <w:tcW w:type="dxa" w:w="2400"/>
            <w:tcMar>
              <w:top w:type="dxa" w:w="60"/>
              <w:left w:type="dxa" w:w="100"/>
              <w:bottom w:type="dxa" w:w="60"/>
              <w:right w:type="dxa" w:w="100"/>
            </w:tcMar>
          </w:tcPr>
          <w:p>
            <w:pPr>
              <w:spacing w:after="0"/>
            </w:pPr>
            <w:r>
              <w:rPr>
                <w:rFonts w:ascii="Calibri" w:cs="Calibri" w:eastAsia="Calibri" w:hAnsi="Calibri"/>
                <w:sz w:val="20"/>
                <w:szCs w:val="20"/>
              </w:rPr>
              <w:t xml:space="preserve">Week 15</w:t>
            </w:r>
          </w:p>
        </w:tc>
      </w:tr>
      <w:tr>
        <w:tc>
          <w:tcPr>
            <w:tcW w:type="dxa" w:w="4560"/>
            <w:tcMar>
              <w:top w:type="dxa" w:w="60"/>
              <w:left w:type="dxa" w:w="100"/>
              <w:bottom w:type="dxa" w:w="60"/>
              <w:right w:type="dxa" w:w="100"/>
            </w:tcMar>
          </w:tcPr>
          <w:p>
            <w:pPr>
              <w:spacing w:after="0"/>
            </w:pPr>
            <w:r>
              <w:rPr>
                <w:rFonts w:ascii="Calibri" w:cs="Calibri" w:eastAsia="Calibri" w:hAnsi="Calibri"/>
                <w:sz w:val="20"/>
                <w:szCs w:val="20"/>
              </w:rPr>
              <w:t xml:space="preserve">Dispositions Portfolio</w:t>
            </w:r>
          </w:p>
        </w:tc>
        <w:tc>
          <w:tcPr>
            <w:tcW w:type="dxa" w:w="2400"/>
            <w:tcMar>
              <w:top w:type="dxa" w:w="60"/>
              <w:left w:type="dxa" w:w="100"/>
              <w:bottom w:type="dxa" w:w="60"/>
              <w:right w:type="dxa" w:w="100"/>
            </w:tcMar>
          </w:tcPr>
          <w:p>
            <w:pPr>
              <w:spacing w:after="0"/>
            </w:pPr>
            <w:r>
              <w:rPr>
                <w:rFonts w:ascii="Calibri" w:cs="Calibri" w:eastAsia="Calibri" w:hAnsi="Calibri"/>
                <w:sz w:val="20"/>
                <w:szCs w:val="20"/>
              </w:rPr>
              <w:t xml:space="preserve">10%</w:t>
            </w:r>
          </w:p>
        </w:tc>
        <w:tc>
          <w:tcPr>
            <w:tcW w:type="dxa" w:w="2400"/>
            <w:tcMar>
              <w:top w:type="dxa" w:w="60"/>
              <w:left w:type="dxa" w:w="100"/>
              <w:bottom w:type="dxa" w:w="60"/>
              <w:right w:type="dxa" w:w="100"/>
            </w:tcMar>
          </w:tcPr>
          <w:p>
            <w:pPr>
              <w:spacing w:after="0"/>
            </w:pPr>
            <w:r>
              <w:rPr>
                <w:rFonts w:ascii="Calibri" w:cs="Calibri" w:eastAsia="Calibri" w:hAnsi="Calibri"/>
                <w:sz w:val="20"/>
                <w:szCs w:val="20"/>
              </w:rPr>
              <w:t xml:space="preserve">Week 15</w:t>
            </w:r>
          </w:p>
        </w:tc>
      </w:tr>
      <w:tr>
        <w:tc>
          <w:tcPr>
            <w:tcW w:type="dxa" w:w="4560"/>
            <w:tcMar>
              <w:top w:type="dxa" w:w="60"/>
              <w:left w:type="dxa" w:w="100"/>
              <w:bottom w:type="dxa" w:w="60"/>
              <w:right w:type="dxa" w:w="100"/>
            </w:tcMar>
          </w:tcPr>
          <w:p>
            <w:pPr>
              <w:spacing w:after="0"/>
            </w:pPr>
            <w:r>
              <w:rPr>
                <w:rFonts w:ascii="Calibri" w:cs="Calibri" w:eastAsia="Calibri" w:hAnsi="Calibri"/>
                <w:b/>
                <w:bCs/>
                <w:sz w:val="20"/>
                <w:szCs w:val="20"/>
              </w:rPr>
              <w:t xml:space="preserve">TOTAL</w:t>
            </w:r>
          </w:p>
        </w:tc>
        <w:tc>
          <w:tcPr>
            <w:tcW w:type="dxa" w:w="2400"/>
            <w:tcMar>
              <w:top w:type="dxa" w:w="60"/>
              <w:left w:type="dxa" w:w="100"/>
              <w:bottom w:type="dxa" w:w="60"/>
              <w:right w:type="dxa" w:w="100"/>
            </w:tcMar>
          </w:tcPr>
          <w:p>
            <w:pPr>
              <w:spacing w:after="0"/>
            </w:pPr>
            <w:r>
              <w:rPr>
                <w:rFonts w:ascii="Calibri" w:cs="Calibri" w:eastAsia="Calibri" w:hAnsi="Calibri"/>
                <w:b/>
                <w:bCs/>
                <w:sz w:val="20"/>
                <w:szCs w:val="20"/>
              </w:rPr>
              <w:t xml:space="preserve">100%</w:t>
            </w:r>
          </w:p>
        </w:tc>
        <w:tc>
          <w:tcPr>
            <w:tcW w:type="dxa" w:w="2400"/>
            <w:tcMar>
              <w:top w:type="dxa" w:w="60"/>
              <w:left w:type="dxa" w:w="100"/>
              <w:bottom w:type="dxa" w:w="60"/>
              <w:right w:type="dxa" w:w="100"/>
            </w:tcMar>
          </w:tcPr>
          <w:p>
            <w:pPr>
              <w:spacing w:after="0"/>
            </w:pPr>
            <w:r>
              <w:rPr>
                <w:rFonts w:ascii="Calibri" w:cs="Calibri" w:eastAsia="Calibri" w:hAnsi="Calibri"/>
                <w:sz w:val="20"/>
                <w:szCs w:val="20"/>
              </w:rPr>
              <w:t xml:space="preserve"/>
            </w:r>
          </w:p>
        </w:tc>
      </w:tr>
    </w:tbl>
    <w:p>
      <w:pPr>
        <w:spacing w:after="120" w:before="0"/>
      </w:pPr>
      <w:r>
        <w:rPr>
          <w:rFonts w:ascii="Calibri" w:cs="Calibri" w:eastAsia="Calibri" w:hAnsi="Calibri"/>
          <w:sz w:val="22"/>
          <w:szCs w:val="22"/>
        </w:rPr>
        <w:t xml:space="preserve"/>
      </w:r>
    </w:p>
    <w:p>
      <w:pPr>
        <w:spacing w:after="100" w:before="100"/>
      </w:pPr>
      <w:r>
        <w:rPr>
          <w:rFonts w:ascii="Calibri" w:cs="Calibri" w:eastAsia="Calibri" w:hAnsi="Calibri"/>
          <w:b/>
          <w:bCs/>
          <w:sz w:val="24"/>
          <w:szCs w:val="24"/>
        </w:rPr>
        <w:t xml:space="preserve">Grading Scale</w:t>
      </w:r>
    </w:p>
    <w:p>
      <w:pPr>
        <w:spacing w:after="100" w:before="0"/>
      </w:pPr>
      <w:r>
        <w:rPr>
          <w:rFonts w:ascii="Calibri" w:cs="Calibri" w:eastAsia="Calibri" w:hAnsi="Calibri"/>
          <w:sz w:val="22"/>
          <w:szCs w:val="22"/>
        </w:rPr>
        <w:t xml:space="preserve">The grading scale is determined by the university.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740"/>
        <w:gridCol w:w="900"/>
        <w:gridCol w:w="1740"/>
        <w:gridCol w:w="900"/>
        <w:gridCol w:w="1740"/>
        <w:gridCol w:w="720"/>
        <w:gridCol w:w="720"/>
      </w:tblGrid>
      <w:tr>
        <w:tc>
          <w:tcPr>
            <w:tcW w:type="dxa" w:w="900"/>
            <w:tcMar>
              <w:top w:type="dxa" w:w="60"/>
              <w:left w:type="dxa" w:w="100"/>
              <w:bottom w:type="dxa" w:w="60"/>
              <w:right w:type="dxa" w:w="100"/>
            </w:tcMar>
          </w:tcPr>
          <w:p>
            <w:pPr>
              <w:spacing w:after="0"/>
            </w:pPr>
            <w:r>
              <w:rPr>
                <w:rFonts w:ascii="Calibri" w:cs="Calibri" w:eastAsia="Calibri" w:hAnsi="Calibri"/>
                <w:b/>
                <w:bCs/>
                <w:sz w:val="20"/>
                <w:szCs w:val="20"/>
              </w:rPr>
              <w:t xml:space="preserve">A</w:t>
            </w:r>
          </w:p>
        </w:tc>
        <w:tc>
          <w:tcPr>
            <w:tcW w:type="dxa" w:w="1740"/>
            <w:tcMar>
              <w:top w:type="dxa" w:w="60"/>
              <w:left w:type="dxa" w:w="100"/>
              <w:bottom w:type="dxa" w:w="60"/>
              <w:right w:type="dxa" w:w="100"/>
            </w:tcMar>
          </w:tcPr>
          <w:p>
            <w:pPr>
              <w:spacing w:after="0"/>
            </w:pPr>
            <w:r>
              <w:rPr>
                <w:rFonts w:ascii="Calibri" w:cs="Calibri" w:eastAsia="Calibri" w:hAnsi="Calibri"/>
                <w:sz w:val="20"/>
                <w:szCs w:val="20"/>
              </w:rPr>
              <w:t xml:space="preserve">93.5–100%</w:t>
            </w:r>
          </w:p>
        </w:tc>
        <w:tc>
          <w:tcPr>
            <w:tcW w:type="dxa" w:w="900"/>
            <w:tcMar>
              <w:top w:type="dxa" w:w="60"/>
              <w:left w:type="dxa" w:w="100"/>
              <w:bottom w:type="dxa" w:w="60"/>
              <w:right w:type="dxa" w:w="100"/>
            </w:tcMar>
          </w:tcPr>
          <w:p>
            <w:pPr>
              <w:spacing w:after="0"/>
            </w:pPr>
            <w:r>
              <w:rPr>
                <w:rFonts w:ascii="Calibri" w:cs="Calibri" w:eastAsia="Calibri" w:hAnsi="Calibri"/>
                <w:b/>
                <w:bCs/>
                <w:sz w:val="20"/>
                <w:szCs w:val="20"/>
              </w:rPr>
              <w:t xml:space="preserve">B+</w:t>
            </w:r>
          </w:p>
        </w:tc>
        <w:tc>
          <w:tcPr>
            <w:tcW w:type="dxa" w:w="1740"/>
            <w:tcMar>
              <w:top w:type="dxa" w:w="60"/>
              <w:left w:type="dxa" w:w="100"/>
              <w:bottom w:type="dxa" w:w="60"/>
              <w:right w:type="dxa" w:w="100"/>
            </w:tcMar>
          </w:tcPr>
          <w:p>
            <w:pPr>
              <w:spacing w:after="0"/>
            </w:pPr>
            <w:r>
              <w:rPr>
                <w:rFonts w:ascii="Calibri" w:cs="Calibri" w:eastAsia="Calibri" w:hAnsi="Calibri"/>
                <w:sz w:val="20"/>
                <w:szCs w:val="20"/>
              </w:rPr>
              <w:t xml:space="preserve">86.5–89.4%</w:t>
            </w:r>
          </w:p>
        </w:tc>
        <w:tc>
          <w:tcPr>
            <w:tcW w:type="dxa" w:w="900"/>
            <w:tcMar>
              <w:top w:type="dxa" w:w="60"/>
              <w:left w:type="dxa" w:w="100"/>
              <w:bottom w:type="dxa" w:w="60"/>
              <w:right w:type="dxa" w:w="100"/>
            </w:tcMar>
          </w:tcPr>
          <w:p>
            <w:pPr>
              <w:spacing w:after="0"/>
            </w:pPr>
            <w:r>
              <w:rPr>
                <w:rFonts w:ascii="Calibri" w:cs="Calibri" w:eastAsia="Calibri" w:hAnsi="Calibri"/>
                <w:b/>
                <w:bCs/>
                <w:sz w:val="20"/>
                <w:szCs w:val="20"/>
              </w:rPr>
              <w:t xml:space="preserve">C+</w:t>
            </w:r>
          </w:p>
        </w:tc>
        <w:tc>
          <w:tcPr>
            <w:tcW w:type="dxa" w:w="1740"/>
            <w:tcMar>
              <w:top w:type="dxa" w:w="60"/>
              <w:left w:type="dxa" w:w="100"/>
              <w:bottom w:type="dxa" w:w="60"/>
              <w:right w:type="dxa" w:w="100"/>
            </w:tcMar>
          </w:tcPr>
          <w:p>
            <w:pPr>
              <w:spacing w:after="0"/>
            </w:pPr>
            <w:r>
              <w:rPr>
                <w:rFonts w:ascii="Calibri" w:cs="Calibri" w:eastAsia="Calibri" w:hAnsi="Calibri"/>
                <w:sz w:val="20"/>
                <w:szCs w:val="20"/>
              </w:rPr>
              <w:t xml:space="preserve">76.5–79.4%</w:t>
            </w:r>
          </w:p>
        </w:tc>
        <w:tc>
          <w:tcPr>
            <w:tcW w:type="dxa" w:w="720"/>
            <w:tcMar>
              <w:top w:type="dxa" w:w="60"/>
              <w:left w:type="dxa" w:w="100"/>
              <w:bottom w:type="dxa" w:w="60"/>
              <w:right w:type="dxa" w:w="100"/>
            </w:tcMar>
          </w:tcPr>
          <w:p>
            <w:pPr>
              <w:spacing w:after="0"/>
            </w:pPr>
            <w:r>
              <w:rPr>
                <w:rFonts w:ascii="Calibri" w:cs="Calibri" w:eastAsia="Calibri" w:hAnsi="Calibri"/>
                <w:b/>
                <w:bCs/>
                <w:sz w:val="20"/>
                <w:szCs w:val="20"/>
              </w:rPr>
              <w:t xml:space="preserve">F</w:t>
            </w:r>
          </w:p>
        </w:tc>
        <w:tc>
          <w:tcPr>
            <w:tcW w:type="dxa" w:w="720"/>
            <w:tcMar>
              <w:top w:type="dxa" w:w="60"/>
              <w:left w:type="dxa" w:w="100"/>
              <w:bottom w:type="dxa" w:w="60"/>
              <w:right w:type="dxa" w:w="100"/>
            </w:tcMar>
          </w:tcPr>
          <w:p>
            <w:pPr>
              <w:spacing w:after="0"/>
            </w:pPr>
            <w:r>
              <w:rPr>
                <w:rFonts w:ascii="Calibri" w:cs="Calibri" w:eastAsia="Calibri" w:hAnsi="Calibri"/>
                <w:sz w:val="20"/>
                <w:szCs w:val="20"/>
              </w:rPr>
              <w:t xml:space="preserve">69% and below</w:t>
            </w:r>
          </w:p>
        </w:tc>
      </w:tr>
      <w:tr>
        <w:tc>
          <w:tcPr>
            <w:tcW w:type="dxa" w:w="900"/>
            <w:tcMar>
              <w:top w:type="dxa" w:w="60"/>
              <w:left w:type="dxa" w:w="100"/>
              <w:bottom w:type="dxa" w:w="60"/>
              <w:right w:type="dxa" w:w="100"/>
            </w:tcMar>
          </w:tcPr>
          <w:p>
            <w:pPr>
              <w:spacing w:after="0"/>
            </w:pPr>
            <w:r>
              <w:rPr>
                <w:rFonts w:ascii="Calibri" w:cs="Calibri" w:eastAsia="Calibri" w:hAnsi="Calibri"/>
                <w:b/>
                <w:bCs/>
                <w:sz w:val="20"/>
                <w:szCs w:val="20"/>
              </w:rPr>
              <w:t xml:space="preserve">A-</w:t>
            </w:r>
          </w:p>
        </w:tc>
        <w:tc>
          <w:tcPr>
            <w:tcW w:type="dxa" w:w="1740"/>
            <w:tcMar>
              <w:top w:type="dxa" w:w="60"/>
              <w:left w:type="dxa" w:w="100"/>
              <w:bottom w:type="dxa" w:w="60"/>
              <w:right w:type="dxa" w:w="100"/>
            </w:tcMar>
          </w:tcPr>
          <w:p>
            <w:pPr>
              <w:spacing w:after="0"/>
            </w:pPr>
            <w:r>
              <w:rPr>
                <w:rFonts w:ascii="Calibri" w:cs="Calibri" w:eastAsia="Calibri" w:hAnsi="Calibri"/>
                <w:sz w:val="20"/>
                <w:szCs w:val="20"/>
              </w:rPr>
              <w:t xml:space="preserve">89.5–93.4%</w:t>
            </w:r>
          </w:p>
        </w:tc>
        <w:tc>
          <w:tcPr>
            <w:tcW w:type="dxa" w:w="900"/>
            <w:tcMar>
              <w:top w:type="dxa" w:w="60"/>
              <w:left w:type="dxa" w:w="100"/>
              <w:bottom w:type="dxa" w:w="60"/>
              <w:right w:type="dxa" w:w="100"/>
            </w:tcMar>
          </w:tcPr>
          <w:p>
            <w:pPr>
              <w:spacing w:after="0"/>
            </w:pPr>
            <w:r>
              <w:rPr>
                <w:rFonts w:ascii="Calibri" w:cs="Calibri" w:eastAsia="Calibri" w:hAnsi="Calibri"/>
                <w:b/>
                <w:bCs/>
                <w:sz w:val="20"/>
                <w:szCs w:val="20"/>
              </w:rPr>
              <w:t xml:space="preserve">B</w:t>
            </w:r>
          </w:p>
        </w:tc>
        <w:tc>
          <w:tcPr>
            <w:tcW w:type="dxa" w:w="1740"/>
            <w:tcMar>
              <w:top w:type="dxa" w:w="60"/>
              <w:left w:type="dxa" w:w="100"/>
              <w:bottom w:type="dxa" w:w="60"/>
              <w:right w:type="dxa" w:w="100"/>
            </w:tcMar>
          </w:tcPr>
          <w:p>
            <w:pPr>
              <w:spacing w:after="0"/>
            </w:pPr>
            <w:r>
              <w:rPr>
                <w:rFonts w:ascii="Calibri" w:cs="Calibri" w:eastAsia="Calibri" w:hAnsi="Calibri"/>
                <w:sz w:val="20"/>
                <w:szCs w:val="20"/>
              </w:rPr>
              <w:t xml:space="preserve">82.5–86.4%</w:t>
            </w:r>
          </w:p>
        </w:tc>
        <w:tc>
          <w:tcPr>
            <w:tcW w:type="dxa" w:w="900"/>
            <w:tcMar>
              <w:top w:type="dxa" w:w="60"/>
              <w:left w:type="dxa" w:w="100"/>
              <w:bottom w:type="dxa" w:w="60"/>
              <w:right w:type="dxa" w:w="100"/>
            </w:tcMar>
          </w:tcPr>
          <w:p>
            <w:pPr>
              <w:spacing w:after="0"/>
            </w:pPr>
            <w:r>
              <w:rPr>
                <w:rFonts w:ascii="Calibri" w:cs="Calibri" w:eastAsia="Calibri" w:hAnsi="Calibri"/>
                <w:b/>
                <w:bCs/>
                <w:sz w:val="20"/>
                <w:szCs w:val="20"/>
              </w:rPr>
              <w:t xml:space="preserve">C</w:t>
            </w:r>
          </w:p>
        </w:tc>
        <w:tc>
          <w:tcPr>
            <w:tcW w:type="dxa" w:w="1740"/>
            <w:tcMar>
              <w:top w:type="dxa" w:w="60"/>
              <w:left w:type="dxa" w:w="100"/>
              <w:bottom w:type="dxa" w:w="60"/>
              <w:right w:type="dxa" w:w="100"/>
            </w:tcMar>
          </w:tcPr>
          <w:p>
            <w:pPr>
              <w:spacing w:after="0"/>
            </w:pPr>
            <w:r>
              <w:rPr>
                <w:rFonts w:ascii="Calibri" w:cs="Calibri" w:eastAsia="Calibri" w:hAnsi="Calibri"/>
                <w:sz w:val="20"/>
                <w:szCs w:val="20"/>
              </w:rPr>
              <w:t xml:space="preserve">72.5–76.4%</w:t>
            </w:r>
          </w:p>
        </w:tc>
        <w:tc>
          <w:tcPr>
            <w:tcW w:type="dxa" w:w="720"/>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720"/>
            <w:tcMar>
              <w:top w:type="dxa" w:w="60"/>
              <w:left w:type="dxa" w:w="100"/>
              <w:bottom w:type="dxa" w:w="60"/>
              <w:right w:type="dxa" w:w="100"/>
            </w:tcMar>
          </w:tcPr>
          <w:p>
            <w:pPr>
              <w:spacing w:after="0"/>
            </w:pPr>
            <w:r>
              <w:rPr>
                <w:rFonts w:ascii="Calibri" w:cs="Calibri" w:eastAsia="Calibri" w:hAnsi="Calibri"/>
                <w:sz w:val="20"/>
                <w:szCs w:val="20"/>
              </w:rPr>
              <w:t xml:space="preserve"/>
            </w:r>
          </w:p>
        </w:tc>
      </w:tr>
      <w:tr>
        <w:tc>
          <w:tcPr>
            <w:tcW w:type="dxa" w:w="900"/>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1740"/>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900"/>
            <w:tcMar>
              <w:top w:type="dxa" w:w="60"/>
              <w:left w:type="dxa" w:w="100"/>
              <w:bottom w:type="dxa" w:w="60"/>
              <w:right w:type="dxa" w:w="100"/>
            </w:tcMar>
          </w:tcPr>
          <w:p>
            <w:pPr>
              <w:spacing w:after="0"/>
            </w:pPr>
            <w:r>
              <w:rPr>
                <w:rFonts w:ascii="Calibri" w:cs="Calibri" w:eastAsia="Calibri" w:hAnsi="Calibri"/>
                <w:b/>
                <w:bCs/>
                <w:sz w:val="20"/>
                <w:szCs w:val="20"/>
              </w:rPr>
              <w:t xml:space="preserve">B-</w:t>
            </w:r>
          </w:p>
        </w:tc>
        <w:tc>
          <w:tcPr>
            <w:tcW w:type="dxa" w:w="1740"/>
            <w:tcMar>
              <w:top w:type="dxa" w:w="60"/>
              <w:left w:type="dxa" w:w="100"/>
              <w:bottom w:type="dxa" w:w="60"/>
              <w:right w:type="dxa" w:w="100"/>
            </w:tcMar>
          </w:tcPr>
          <w:p>
            <w:pPr>
              <w:spacing w:after="0"/>
            </w:pPr>
            <w:r>
              <w:rPr>
                <w:rFonts w:ascii="Calibri" w:cs="Calibri" w:eastAsia="Calibri" w:hAnsi="Calibri"/>
                <w:sz w:val="20"/>
                <w:szCs w:val="20"/>
              </w:rPr>
              <w:t xml:space="preserve">79.5–82.4%</w:t>
            </w:r>
          </w:p>
        </w:tc>
        <w:tc>
          <w:tcPr>
            <w:tcW w:type="dxa" w:w="900"/>
            <w:tcMar>
              <w:top w:type="dxa" w:w="60"/>
              <w:left w:type="dxa" w:w="100"/>
              <w:bottom w:type="dxa" w:w="60"/>
              <w:right w:type="dxa" w:w="100"/>
            </w:tcMar>
          </w:tcPr>
          <w:p>
            <w:pPr>
              <w:spacing w:after="0"/>
            </w:pPr>
            <w:r>
              <w:rPr>
                <w:rFonts w:ascii="Calibri" w:cs="Calibri" w:eastAsia="Calibri" w:hAnsi="Calibri"/>
                <w:b/>
                <w:bCs/>
                <w:sz w:val="20"/>
                <w:szCs w:val="20"/>
              </w:rPr>
              <w:t xml:space="preserve">C-</w:t>
            </w:r>
          </w:p>
        </w:tc>
        <w:tc>
          <w:tcPr>
            <w:tcW w:type="dxa" w:w="1740"/>
            <w:tcMar>
              <w:top w:type="dxa" w:w="60"/>
              <w:left w:type="dxa" w:w="100"/>
              <w:bottom w:type="dxa" w:w="60"/>
              <w:right w:type="dxa" w:w="100"/>
            </w:tcMar>
          </w:tcPr>
          <w:p>
            <w:pPr>
              <w:spacing w:after="0"/>
            </w:pPr>
            <w:r>
              <w:rPr>
                <w:rFonts w:ascii="Calibri" w:cs="Calibri" w:eastAsia="Calibri" w:hAnsi="Calibri"/>
                <w:sz w:val="20"/>
                <w:szCs w:val="20"/>
              </w:rPr>
              <w:t xml:space="preserve">69.5–72.4%</w:t>
            </w:r>
          </w:p>
        </w:tc>
        <w:tc>
          <w:tcPr>
            <w:tcW w:type="dxa" w:w="720"/>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720"/>
            <w:tcMar>
              <w:top w:type="dxa" w:w="60"/>
              <w:left w:type="dxa" w:w="100"/>
              <w:bottom w:type="dxa" w:w="60"/>
              <w:right w:type="dxa" w:w="100"/>
            </w:tcMar>
          </w:tcPr>
          <w:p>
            <w:pPr>
              <w:spacing w:after="0"/>
            </w:pPr>
            <w:r>
              <w:rPr>
                <w:rFonts w:ascii="Calibri" w:cs="Calibri" w:eastAsia="Calibri" w:hAnsi="Calibri"/>
                <w:sz w:val="20"/>
                <w:szCs w:val="20"/>
              </w:rPr>
              <w:t xml:space="preserve"/>
            </w:r>
          </w:p>
        </w:tc>
      </w:tr>
    </w:tbl>
    <w:p>
      <w:pPr>
        <w:spacing w:after="100" w:before="0"/>
      </w:pPr>
      <w:r>
        <w:rPr>
          <w:rFonts w:ascii="Calibri" w:cs="Calibri" w:eastAsia="Calibri" w:hAnsi="Calibri"/>
          <w:sz w:val="22"/>
          <w:szCs w:val="22"/>
        </w:rPr>
        <w:t xml:space="preserve"/>
      </w:r>
    </w:p>
    <w:p>
      <w:pPr>
        <w:spacing w:after="40" w:before="0"/>
      </w:pPr>
      <w:r>
        <w:rPr>
          <w:rFonts w:ascii="Calibri" w:cs="Calibri" w:eastAsia="Calibri" w:hAnsi="Calibri"/>
          <w:b/>
          <w:bCs/>
          <w:sz w:val="22"/>
          <w:szCs w:val="22"/>
        </w:rPr>
        <w:t xml:space="preserve">A+ is not awarded at any level.</w:t>
      </w:r>
    </w:p>
    <w:p>
      <w:pPr>
        <w:spacing w:after="100" w:before="0"/>
      </w:pPr>
      <w:r>
        <w:rPr>
          <w:rFonts w:ascii="Calibri" w:cs="Calibri" w:eastAsia="Calibri" w:hAnsi="Calibri"/>
          <w:b/>
          <w:bCs/>
          <w:sz w:val="22"/>
          <w:szCs w:val="22"/>
        </w:rPr>
        <w:t xml:space="preserve">The grades of D+, D, and D- are not awarded at the graduate level.</w:t>
      </w:r>
    </w:p>
    <w:p>
      <w:pPr>
        <w:pStyle w:val="Heading1"/>
        <w:spacing w:after="120" w:before="260"/>
      </w:pPr>
      <w:r>
        <w:rPr>
          <w:rFonts w:ascii="Calibri" w:cs="Calibri" w:eastAsia="Calibri" w:hAnsi="Calibri"/>
          <w:b/>
          <w:bCs/>
          <w:color w:val="000000"/>
          <w:sz w:val="26"/>
          <w:szCs w:val="26"/>
        </w:rPr>
        <w:t xml:space="preserve">Grading Policies</w:t>
      </w:r>
    </w:p>
    <w:p>
      <w:pPr>
        <w:pStyle w:val="ListParagraph"/>
        <w:numPr>
          <w:ilvl w:val="0"/>
          <w:numId w:val="2"/>
        </w:numPr>
        <w:spacing w:after="60"/>
      </w:pPr>
      <w:r>
        <w:rPr>
          <w:rFonts w:ascii="Calibri" w:cs="Calibri" w:eastAsia="Calibri" w:hAnsi="Calibri"/>
          <w:sz w:val="22"/>
          <w:szCs w:val="22"/>
        </w:rPr>
        <w:t xml:space="preserve">Grading will be based on successful and timely completion of assignments. Students should reference the syllabus for a schedule of assignment due dates. Late work is accepted at the instructor's discretion and may result in a grade reduction. Late work may not be accepted without prior arrangements with the instructor.</w:t>
      </w:r>
    </w:p>
    <w:p>
      <w:pPr>
        <w:pStyle w:val="ListParagraph"/>
        <w:numPr>
          <w:ilvl w:val="0"/>
          <w:numId w:val="2"/>
        </w:numPr>
        <w:spacing w:after="60"/>
      </w:pPr>
      <w:r>
        <w:rPr>
          <w:rFonts w:ascii="Calibri" w:cs="Calibri" w:eastAsia="Calibri" w:hAnsi="Calibri"/>
          <w:sz w:val="22"/>
          <w:szCs w:val="22"/>
        </w:rPr>
        <w:t xml:space="preserve">Incomplete (I) grades are highly discouraged and as a general rule will not be given without an unavoidable and compelling reason.</w:t>
      </w:r>
    </w:p>
    <w:p>
      <w:pPr>
        <w:pStyle w:val="ListParagraph"/>
        <w:numPr>
          <w:ilvl w:val="0"/>
          <w:numId w:val="2"/>
        </w:numPr>
        <w:spacing w:after="60"/>
      </w:pPr>
      <w:r>
        <w:rPr>
          <w:rFonts w:ascii="Calibri" w:cs="Calibri" w:eastAsia="Calibri" w:hAnsi="Calibri"/>
          <w:sz w:val="22"/>
          <w:szCs w:val="22"/>
        </w:rPr>
        <w:t xml:space="preserve">Use of AI tools. Consistent with the program's position that AI is simultaneously a creative partner and an epistemic risk, students are expected to use AI tools where assignments permit, to document that use, and to remain the authors of their own reasoning. Each assignment specifies permitted uses. Undocumented AI use, or submission of AI output in place of the analysis the assignment exists to develop, is treated under the academic integrity policy.</w:t>
      </w:r>
    </w:p>
    <w:p>
      <w:pPr>
        <w:pStyle w:val="Heading1"/>
        <w:spacing w:after="120" w:before="260"/>
      </w:pPr>
      <w:r>
        <w:rPr>
          <w:rFonts w:ascii="Calibri" w:cs="Calibri" w:eastAsia="Calibri" w:hAnsi="Calibri"/>
          <w:b/>
          <w:bCs/>
          <w:color w:val="000000"/>
          <w:sz w:val="26"/>
          <w:szCs w:val="26"/>
        </w:rPr>
        <w:t xml:space="preserve">Course Outline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60"/>
        <w:gridCol w:w="2560"/>
        <w:gridCol w:w="2400"/>
        <w:gridCol w:w="1440"/>
      </w:tblGrid>
      <w:tr>
        <w:tc>
          <w:tcPr>
            <w:tcW w:type="dxa" w:w="1400"/>
            <w:shd w:fill="D9D9D9" w:color="auto" w:val="clear"/>
            <w:tcMar>
              <w:top w:type="dxa" w:w="60"/>
              <w:left w:type="dxa" w:w="100"/>
              <w:bottom w:type="dxa" w:w="60"/>
              <w:right w:type="dxa" w:w="100"/>
            </w:tcMar>
          </w:tcPr>
          <w:p>
            <w:pPr>
              <w:spacing w:after="0"/>
            </w:pPr>
            <w:r>
              <w:rPr>
                <w:rFonts w:ascii="Calibri" w:cs="Calibri" w:eastAsia="Calibri" w:hAnsi="Calibri"/>
                <w:b/>
                <w:bCs/>
                <w:sz w:val="18"/>
                <w:szCs w:val="18"/>
              </w:rPr>
              <w:t xml:space="preserve">Session/Module</w:t>
            </w:r>
          </w:p>
          <w:p>
            <w:pPr>
              <w:spacing w:after="0"/>
            </w:pPr>
            <w:r>
              <w:rPr>
                <w:rFonts w:ascii="Calibri" w:cs="Calibri" w:eastAsia="Calibri" w:hAnsi="Calibri"/>
                <w:b/>
                <w:bCs/>
                <w:sz w:val="18"/>
                <w:szCs w:val="18"/>
              </w:rPr>
              <w:t xml:space="preserve">Week(s)/Dates</w:t>
            </w:r>
          </w:p>
        </w:tc>
        <w:tc>
          <w:tcPr>
            <w:tcW w:type="dxa" w:w="1560"/>
            <w:shd w:fill="D9D9D9" w:color="auto" w:val="clear"/>
            <w:tcMar>
              <w:top w:type="dxa" w:w="60"/>
              <w:left w:type="dxa" w:w="100"/>
              <w:bottom w:type="dxa" w:w="60"/>
              <w:right w:type="dxa" w:w="100"/>
            </w:tcMar>
          </w:tcPr>
          <w:p>
            <w:pPr>
              <w:spacing w:after="0"/>
            </w:pPr>
            <w:r>
              <w:rPr>
                <w:rFonts w:ascii="Calibri" w:cs="Calibri" w:eastAsia="Calibri" w:hAnsi="Calibri"/>
                <w:b/>
                <w:bCs/>
                <w:sz w:val="18"/>
                <w:szCs w:val="18"/>
              </w:rPr>
              <w:t xml:space="preserve">Title</w:t>
            </w:r>
          </w:p>
        </w:tc>
        <w:tc>
          <w:tcPr>
            <w:tcW w:type="dxa" w:w="2560"/>
            <w:shd w:fill="D9D9D9" w:color="auto" w:val="clear"/>
            <w:tcMar>
              <w:top w:type="dxa" w:w="60"/>
              <w:left w:type="dxa" w:w="100"/>
              <w:bottom w:type="dxa" w:w="60"/>
              <w:right w:type="dxa" w:w="100"/>
            </w:tcMar>
          </w:tcPr>
          <w:p>
            <w:pPr>
              <w:spacing w:after="0"/>
            </w:pPr>
            <w:r>
              <w:rPr>
                <w:rFonts w:ascii="Calibri" w:cs="Calibri" w:eastAsia="Calibri" w:hAnsi="Calibri"/>
                <w:b/>
                <w:bCs/>
                <w:sz w:val="18"/>
                <w:szCs w:val="18"/>
              </w:rPr>
              <w:t xml:space="preserve">Readings and Cases</w:t>
            </w:r>
          </w:p>
        </w:tc>
        <w:tc>
          <w:tcPr>
            <w:tcW w:type="dxa" w:w="2400"/>
            <w:shd w:fill="D9D9D9" w:color="auto" w:val="clear"/>
            <w:tcMar>
              <w:top w:type="dxa" w:w="60"/>
              <w:left w:type="dxa" w:w="100"/>
              <w:bottom w:type="dxa" w:w="60"/>
              <w:right w:type="dxa" w:w="100"/>
            </w:tcMar>
          </w:tcPr>
          <w:p>
            <w:pPr>
              <w:spacing w:after="0"/>
            </w:pPr>
            <w:r>
              <w:rPr>
                <w:rFonts w:ascii="Calibri" w:cs="Calibri" w:eastAsia="Calibri" w:hAnsi="Calibri"/>
                <w:b/>
                <w:bCs/>
                <w:sz w:val="18"/>
                <w:szCs w:val="18"/>
              </w:rPr>
              <w:t xml:space="preserve">Additional Reading</w:t>
            </w:r>
          </w:p>
        </w:tc>
        <w:tc>
          <w:tcPr>
            <w:tcW w:type="dxa" w:w="1440"/>
            <w:shd w:fill="D9D9D9" w:color="auto" w:val="clear"/>
            <w:tcMar>
              <w:top w:type="dxa" w:w="60"/>
              <w:left w:type="dxa" w:w="100"/>
              <w:bottom w:type="dxa" w:w="60"/>
              <w:right w:type="dxa" w:w="100"/>
            </w:tcMar>
          </w:tcPr>
          <w:p>
            <w:pPr>
              <w:spacing w:after="0"/>
            </w:pPr>
            <w:r>
              <w:rPr>
                <w:rFonts w:ascii="Calibri" w:cs="Calibri" w:eastAsia="Calibri" w:hAnsi="Calibri"/>
                <w:b/>
                <w:bCs/>
                <w:sz w:val="18"/>
                <w:szCs w:val="18"/>
              </w:rPr>
              <w:t xml:space="preserve">Assessments Due</w:t>
            </w:r>
          </w:p>
        </w:tc>
      </w:tr>
      <w:tr>
        <w:tc>
          <w:tcPr>
            <w:tcW w:type="dxa" w:w="1400"/>
            <w:tcMar>
              <w:top w:type="dxa" w:w="60"/>
              <w:left w:type="dxa" w:w="100"/>
              <w:bottom w:type="dxa" w:w="60"/>
              <w:right w:type="dxa" w:w="100"/>
            </w:tcMar>
          </w:tcPr>
          <w:p>
            <w:pPr>
              <w:spacing w:after="0"/>
            </w:pPr>
            <w:r>
              <w:rPr>
                <w:rFonts w:ascii="Calibri" w:cs="Calibri" w:eastAsia="Calibri" w:hAnsi="Calibri"/>
                <w:b/>
                <w:bCs/>
                <w:sz w:val="18"/>
                <w:szCs w:val="18"/>
              </w:rPr>
              <w:t xml:space="preserve">MODULE 1 — Framing Capability</w:t>
            </w:r>
          </w:p>
          <w:p>
            <w:pPr>
              <w:spacing w:after="0"/>
            </w:pPr>
            <w:r>
              <w:rPr>
                <w:rFonts w:ascii="Calibri" w:cs="Calibri" w:eastAsia="Calibri" w:hAnsi="Calibri"/>
                <w:b/>
                <w:bCs/>
                <w:sz w:val="18"/>
                <w:szCs w:val="18"/>
              </w:rPr>
              <w:t xml:space="preserve">Weeks 1–2</w:t>
            </w:r>
          </w:p>
          <w:p>
            <w:pPr>
              <w:spacing w:after="0"/>
            </w:pPr>
            <w:r>
              <w:rPr>
                <w:rFonts w:ascii="Calibri" w:cs="Calibri" w:eastAsia="Calibri" w:hAnsi="Calibri"/>
                <w:b/>
                <w:bCs/>
                <w:sz w:val="18"/>
                <w:szCs w:val="18"/>
              </w:rPr>
              <w:t xml:space="preserve">CLO 1</w:t>
            </w:r>
          </w:p>
        </w:tc>
        <w:tc>
          <w:tcPr>
            <w:tcW w:type="dxa" w:w="1560"/>
            <w:tcMar>
              <w:top w:type="dxa" w:w="60"/>
              <w:left w:type="dxa" w:w="100"/>
              <w:bottom w:type="dxa" w:w="60"/>
              <w:right w:type="dxa" w:w="100"/>
            </w:tcMar>
          </w:tcPr>
          <w:p>
            <w:pPr>
              <w:spacing w:after="0"/>
            </w:pPr>
            <w:r>
              <w:rPr>
                <w:rFonts w:ascii="Calibri" w:cs="Calibri" w:eastAsia="Calibri" w:hAnsi="Calibri"/>
                <w:sz w:val="18"/>
                <w:szCs w:val="18"/>
              </w:rPr>
              <w:t xml:space="preserve">The field and its problem: origins, dispositions, and what learning engineering claims</w:t>
            </w:r>
          </w:p>
        </w:tc>
        <w:tc>
          <w:tcPr>
            <w:tcW w:type="dxa" w:w="2560"/>
            <w:tcMar>
              <w:top w:type="dxa" w:w="60"/>
              <w:left w:type="dxa" w:w="100"/>
              <w:bottom w:type="dxa" w:w="60"/>
              <w:right w:type="dxa" w:w="100"/>
            </w:tcMar>
          </w:tcPr>
          <w:p>
            <w:pPr>
              <w:spacing w:after="0"/>
            </w:pPr>
            <w:r>
              <w:rPr>
                <w:rFonts w:ascii="Calibri" w:cs="Calibri" w:eastAsia="Calibri" w:hAnsi="Calibri"/>
                <w:sz w:val="18"/>
                <w:szCs w:val="18"/>
              </w:rPr>
              <w:t xml:space="preserve">Goodell &amp; Kolodner (2023), Introduction, ch. 1; IEEE ICICLE field definition. Case: a public capability failure at launch.</w:t>
            </w:r>
          </w:p>
        </w:tc>
        <w:tc>
          <w:tcPr>
            <w:tcW w:type="dxa" w:w="2400"/>
            <w:tcMar>
              <w:top w:type="dxa" w:w="60"/>
              <w:left w:type="dxa" w:w="100"/>
              <w:bottom w:type="dxa" w:w="60"/>
              <w:right w:type="dxa" w:w="100"/>
            </w:tcMar>
          </w:tcPr>
          <w:p>
            <w:pPr>
              <w:spacing w:after="0"/>
            </w:pPr>
            <w:r>
              <w:rPr>
                <w:rFonts w:ascii="Calibri" w:cs="Calibri" w:eastAsia="Calibri" w:hAnsi="Calibri"/>
                <w:sz w:val="18"/>
                <w:szCs w:val="18"/>
              </w:rPr>
              <w:t xml:space="preserve">Lee (2023), Journal of the Learning Sciences</w:t>
            </w:r>
          </w:p>
        </w:tc>
        <w:tc>
          <w:tcPr>
            <w:tcW w:type="dxa" w:w="1440"/>
            <w:tcMar>
              <w:top w:type="dxa" w:w="60"/>
              <w:left w:type="dxa" w:w="100"/>
              <w:bottom w:type="dxa" w:w="60"/>
              <w:right w:type="dxa" w:w="100"/>
            </w:tcMar>
          </w:tcPr>
          <w:p>
            <w:pPr>
              <w:spacing w:after="0"/>
            </w:pPr>
            <w:r>
              <w:rPr>
                <w:rFonts w:ascii="Calibri" w:cs="Calibri" w:eastAsia="Calibri" w:hAnsi="Calibri"/>
                <w:sz w:val="18"/>
                <w:szCs w:val="18"/>
              </w:rPr>
              <w:t xml:space="preserve">Introductions; domain expertise inventory</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Week 2</w:t>
            </w:r>
          </w:p>
        </w:tc>
        <w:tc>
          <w:tcPr>
            <w:tcW w:type="dxa" w:w="1560"/>
            <w:tcMar>
              <w:top w:type="dxa" w:w="60"/>
              <w:left w:type="dxa" w:w="100"/>
              <w:bottom w:type="dxa" w:w="60"/>
              <w:right w:type="dxa" w:w="100"/>
            </w:tcMar>
          </w:tcPr>
          <w:p>
            <w:pPr>
              <w:spacing w:after="0"/>
            </w:pPr>
            <w:r>
              <w:rPr>
                <w:rFonts w:ascii="Calibri" w:cs="Calibri" w:eastAsia="Calibri" w:hAnsi="Calibri"/>
                <w:sz w:val="18"/>
                <w:szCs w:val="18"/>
              </w:rPr>
              <w:t xml:space="preserve">What engineering adds; capability as interface</w:t>
            </w:r>
          </w:p>
        </w:tc>
        <w:tc>
          <w:tcPr>
            <w:tcW w:type="dxa" w:w="2560"/>
            <w:tcMar>
              <w:top w:type="dxa" w:w="60"/>
              <w:left w:type="dxa" w:w="100"/>
              <w:bottom w:type="dxa" w:w="60"/>
              <w:right w:type="dxa" w:w="100"/>
            </w:tcMar>
          </w:tcPr>
          <w:p>
            <w:pPr>
              <w:spacing w:after="0"/>
            </w:pPr>
            <w:r>
              <w:rPr>
                <w:rFonts w:ascii="Calibri" w:cs="Calibri" w:eastAsia="Calibri" w:hAnsi="Calibri"/>
                <w:sz w:val="18"/>
                <w:szCs w:val="18"/>
              </w:rPr>
              <w:t xml:space="preserve">Goodell &amp; Kolodner (2023), ch. 4 (Learning Engineering is Engineering); LENS working definition (course note); Gilbert (1978), selections. Case: a system that required operator capability never specified or trained.</w:t>
            </w:r>
          </w:p>
        </w:tc>
        <w:tc>
          <w:tcPr>
            <w:tcW w:type="dxa" w:w="2400"/>
            <w:tcMar>
              <w:top w:type="dxa" w:w="60"/>
              <w:left w:type="dxa" w:w="100"/>
              <w:bottom w:type="dxa" w:w="60"/>
              <w:right w:type="dxa" w:w="100"/>
            </w:tcMar>
          </w:tcPr>
          <w:p>
            <w:pPr>
              <w:spacing w:after="0"/>
            </w:pPr>
            <w:r>
              <w:rPr>
                <w:rFonts w:ascii="Calibri" w:cs="Calibri" w:eastAsia="Calibri" w:hAnsi="Calibri"/>
                <w:sz w:val="18"/>
                <w:szCs w:val="18"/>
              </w:rPr>
              <w:t xml:space="preserve">Kolodner (2023), Journal of the Learning Sciences</w:t>
            </w:r>
          </w:p>
        </w:tc>
        <w:tc>
          <w:tcPr>
            <w:tcW w:type="dxa" w:w="1440"/>
            <w:tcMar>
              <w:top w:type="dxa" w:w="60"/>
              <w:left w:type="dxa" w:w="100"/>
              <w:bottom w:type="dxa" w:w="60"/>
              <w:right w:type="dxa" w:w="100"/>
            </w:tcMar>
          </w:tcPr>
          <w:p>
            <w:pPr>
              <w:spacing w:after="0"/>
            </w:pPr>
            <w:r>
              <w:rPr>
                <w:rFonts w:ascii="Calibri" w:cs="Calibri" w:eastAsia="Calibri" w:hAnsi="Calibri"/>
                <w:sz w:val="18"/>
                <w:szCs w:val="18"/>
              </w:rPr>
              <w:t xml:space="preserve">Discussion; draft a capability statement for your own domain</w:t>
            </w:r>
          </w:p>
        </w:tc>
      </w:tr>
      <w:tr>
        <w:tc>
          <w:tcPr>
            <w:tcW w:type="dxa" w:w="1400"/>
            <w:tcMar>
              <w:top w:type="dxa" w:w="60"/>
              <w:left w:type="dxa" w:w="100"/>
              <w:bottom w:type="dxa" w:w="60"/>
              <w:right w:type="dxa" w:w="100"/>
            </w:tcMar>
          </w:tcPr>
          <w:p>
            <w:pPr>
              <w:spacing w:after="0"/>
            </w:pPr>
            <w:r>
              <w:rPr>
                <w:rFonts w:ascii="Calibri" w:cs="Calibri" w:eastAsia="Calibri" w:hAnsi="Calibri"/>
                <w:b/>
                <w:bCs/>
                <w:sz w:val="18"/>
                <w:szCs w:val="18"/>
              </w:rPr>
              <w:t xml:space="preserve">MODULE 2 — Learning Sciences for Capability</w:t>
            </w:r>
          </w:p>
          <w:p>
            <w:pPr>
              <w:spacing w:after="0"/>
            </w:pPr>
            <w:r>
              <w:rPr>
                <w:rFonts w:ascii="Calibri" w:cs="Calibri" w:eastAsia="Calibri" w:hAnsi="Calibri"/>
                <w:b/>
                <w:bCs/>
                <w:sz w:val="18"/>
                <w:szCs w:val="18"/>
              </w:rPr>
              <w:t xml:space="preserve">Weeks 3–4</w:t>
            </w:r>
          </w:p>
          <w:p>
            <w:pPr>
              <w:spacing w:after="0"/>
            </w:pPr>
            <w:r>
              <w:rPr>
                <w:rFonts w:ascii="Calibri" w:cs="Calibri" w:eastAsia="Calibri" w:hAnsi="Calibri"/>
                <w:b/>
                <w:bCs/>
                <w:sz w:val="18"/>
                <w:szCs w:val="18"/>
              </w:rPr>
              <w:t xml:space="preserve">CLO 4</w:t>
            </w:r>
          </w:p>
        </w:tc>
        <w:tc>
          <w:tcPr>
            <w:tcW w:type="dxa" w:w="1560"/>
            <w:tcMar>
              <w:top w:type="dxa" w:w="60"/>
              <w:left w:type="dxa" w:w="100"/>
              <w:bottom w:type="dxa" w:w="60"/>
              <w:right w:type="dxa" w:w="100"/>
            </w:tcMar>
          </w:tcPr>
          <w:p>
            <w:pPr>
              <w:spacing w:after="0"/>
            </w:pPr>
            <w:r>
              <w:rPr>
                <w:rFonts w:ascii="Calibri" w:cs="Calibri" w:eastAsia="Calibri" w:hAnsi="Calibri"/>
                <w:sz w:val="18"/>
                <w:szCs w:val="18"/>
              </w:rPr>
              <w:t xml:space="preserve">Learning sciences review: F1 foundations recast in capability terms</w:t>
            </w:r>
          </w:p>
        </w:tc>
        <w:tc>
          <w:tcPr>
            <w:tcW w:type="dxa" w:w="2560"/>
            <w:tcMar>
              <w:top w:type="dxa" w:w="60"/>
              <w:left w:type="dxa" w:w="100"/>
              <w:bottom w:type="dxa" w:w="60"/>
              <w:right w:type="dxa" w:w="100"/>
            </w:tcMar>
          </w:tcPr>
          <w:p>
            <w:pPr>
              <w:spacing w:after="0"/>
            </w:pPr>
            <w:r>
              <w:rPr>
                <w:rFonts w:ascii="Calibri" w:cs="Calibri" w:eastAsia="Calibri" w:hAnsi="Calibri"/>
                <w:sz w:val="18"/>
                <w:szCs w:val="18"/>
              </w:rPr>
              <w:t xml:space="preserve">Goodell &amp; Kolodner (2023), ch. 2; F1 synthesis materials; Sawyer (2022), targeted re-reads. Case: an intervention built explicitly on learning sciences principles.</w:t>
            </w:r>
          </w:p>
        </w:tc>
        <w:tc>
          <w:tcPr>
            <w:tcW w:type="dxa" w:w="2400"/>
            <w:tcMar>
              <w:top w:type="dxa" w:w="60"/>
              <w:left w:type="dxa" w:w="100"/>
              <w:bottom w:type="dxa" w:w="60"/>
              <w:right w:type="dxa" w:w="100"/>
            </w:tcMar>
          </w:tcPr>
          <w:p>
            <w:pPr>
              <w:spacing w:after="0"/>
            </w:pPr>
            <w:r>
              <w:rPr>
                <w:rFonts w:ascii="Calibri" w:cs="Calibri" w:eastAsia="Calibri" w:hAnsi="Calibri"/>
                <w:sz w:val="18"/>
                <w:szCs w:val="18"/>
              </w:rPr>
              <w:t xml:space="preserve">Uncapher (2018), Applied Developmental Science</w:t>
            </w:r>
          </w:p>
        </w:tc>
        <w:tc>
          <w:tcPr>
            <w:tcW w:type="dxa" w:w="1440"/>
            <w:tcMar>
              <w:top w:type="dxa" w:w="60"/>
              <w:left w:type="dxa" w:w="100"/>
              <w:bottom w:type="dxa" w:w="60"/>
              <w:right w:type="dxa" w:w="100"/>
            </w:tcMar>
          </w:tcPr>
          <w:p>
            <w:pPr>
              <w:spacing w:after="0"/>
            </w:pPr>
            <w:r>
              <w:rPr>
                <w:rFonts w:ascii="Calibri" w:cs="Calibri" w:eastAsia="Calibri" w:hAnsi="Calibri"/>
                <w:sz w:val="18"/>
                <w:szCs w:val="18"/>
              </w:rPr>
              <w:t xml:space="preserve">Review exercise: map F1 theories onto a capability problem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Week 4</w:t>
            </w:r>
          </w:p>
        </w:tc>
        <w:tc>
          <w:tcPr>
            <w:tcW w:type="dxa" w:w="1560"/>
            <w:tcMar>
              <w:top w:type="dxa" w:w="60"/>
              <w:left w:type="dxa" w:w="100"/>
              <w:bottom w:type="dxa" w:w="60"/>
              <w:right w:type="dxa" w:w="100"/>
            </w:tcMar>
          </w:tcPr>
          <w:p>
            <w:pPr>
              <w:spacing w:after="0"/>
            </w:pPr>
            <w:r>
              <w:rPr>
                <w:rFonts w:ascii="Calibri" w:cs="Calibri" w:eastAsia="Calibri" w:hAnsi="Calibri"/>
                <w:sz w:val="18"/>
                <w:szCs w:val="18"/>
              </w:rPr>
              <w:t xml:space="preserve">Expansion: expertise, cognitive load under operational conditions, transfer, motivation</w:t>
            </w:r>
          </w:p>
        </w:tc>
        <w:tc>
          <w:tcPr>
            <w:tcW w:type="dxa" w:w="2560"/>
            <w:tcMar>
              <w:top w:type="dxa" w:w="60"/>
              <w:left w:type="dxa" w:w="100"/>
              <w:bottom w:type="dxa" w:w="60"/>
              <w:right w:type="dxa" w:w="100"/>
            </w:tcMar>
          </w:tcPr>
          <w:p>
            <w:pPr>
              <w:spacing w:after="0"/>
            </w:pPr>
            <w:r>
              <w:rPr>
                <w:rFonts w:ascii="Calibri" w:cs="Calibri" w:eastAsia="Calibri" w:hAnsi="Calibri"/>
                <w:sz w:val="18"/>
                <w:szCs w:val="18"/>
              </w:rPr>
              <w:t xml:space="preserve">Goodell &amp; Kolodner (2023), ch. 9, ch. 15; Sweller et al. (2011), selections. Case: an intervention whose transfer claim was tested at scale.</w:t>
            </w:r>
          </w:p>
        </w:tc>
        <w:tc>
          <w:tcPr>
            <w:tcW w:type="dxa" w:w="2400"/>
            <w:tcMar>
              <w:top w:type="dxa" w:w="60"/>
              <w:left w:type="dxa" w:w="100"/>
              <w:bottom w:type="dxa" w:w="60"/>
              <w:right w:type="dxa" w:w="100"/>
            </w:tcMar>
          </w:tcPr>
          <w:p>
            <w:pPr>
              <w:spacing w:after="0"/>
            </w:pPr>
            <w:r>
              <w:rPr>
                <w:rFonts w:ascii="Calibri" w:cs="Calibri" w:eastAsia="Calibri" w:hAnsi="Calibri"/>
                <w:sz w:val="18"/>
                <w:szCs w:val="18"/>
              </w:rPr>
              <w:t xml:space="preserve">Barnett &amp; Ceci (2002), Psychological Bulletin</w:t>
            </w:r>
          </w:p>
        </w:tc>
        <w:tc>
          <w:tcPr>
            <w:tcW w:type="dxa" w:w="1440"/>
            <w:tcMar>
              <w:top w:type="dxa" w:w="60"/>
              <w:left w:type="dxa" w:w="100"/>
              <w:bottom w:type="dxa" w:w="60"/>
              <w:right w:type="dxa" w:w="100"/>
            </w:tcMar>
          </w:tcPr>
          <w:p>
            <w:pPr>
              <w:spacing w:after="0"/>
            </w:pPr>
            <w:r>
              <w:rPr>
                <w:rFonts w:ascii="Calibri" w:cs="Calibri" w:eastAsia="Calibri" w:hAnsi="Calibri"/>
                <w:sz w:val="18"/>
                <w:szCs w:val="18"/>
              </w:rPr>
              <w:t xml:space="preserve">Reading response: which findings survive contact with your domain?</w:t>
            </w:r>
          </w:p>
        </w:tc>
      </w:tr>
      <w:tr>
        <w:tc>
          <w:tcPr>
            <w:tcW w:type="dxa" w:w="1400"/>
            <w:tcMar>
              <w:top w:type="dxa" w:w="60"/>
              <w:left w:type="dxa" w:w="100"/>
              <w:bottom w:type="dxa" w:w="60"/>
              <w:right w:type="dxa" w:w="100"/>
            </w:tcMar>
          </w:tcPr>
          <w:p>
            <w:pPr>
              <w:spacing w:after="0"/>
            </w:pPr>
            <w:r>
              <w:rPr>
                <w:rFonts w:ascii="Calibri" w:cs="Calibri" w:eastAsia="Calibri" w:hAnsi="Calibri"/>
                <w:b/>
                <w:bCs/>
                <w:sz w:val="18"/>
                <w:szCs w:val="18"/>
              </w:rPr>
              <w:t xml:space="preserve">MODULE 3 — Systems, Lifecycle, and HSI</w:t>
            </w:r>
          </w:p>
          <w:p>
            <w:pPr>
              <w:spacing w:after="0"/>
            </w:pPr>
            <w:r>
              <w:rPr>
                <w:rFonts w:ascii="Calibri" w:cs="Calibri" w:eastAsia="Calibri" w:hAnsi="Calibri"/>
                <w:b/>
                <w:bCs/>
                <w:sz w:val="18"/>
                <w:szCs w:val="18"/>
              </w:rPr>
              <w:t xml:space="preserve">Weeks 5–7</w:t>
            </w:r>
          </w:p>
          <w:p>
            <w:pPr>
              <w:spacing w:after="0"/>
            </w:pPr>
            <w:r>
              <w:rPr>
                <w:rFonts w:ascii="Calibri" w:cs="Calibri" w:eastAsia="Calibri" w:hAnsi="Calibri"/>
                <w:b/>
                <w:bCs/>
                <w:sz w:val="18"/>
                <w:szCs w:val="18"/>
              </w:rPr>
              <w:t xml:space="preserve">CLO 2; CLO 3</w:t>
            </w:r>
          </w:p>
        </w:tc>
        <w:tc>
          <w:tcPr>
            <w:tcW w:type="dxa" w:w="1560"/>
            <w:tcMar>
              <w:top w:type="dxa" w:w="60"/>
              <w:left w:type="dxa" w:w="100"/>
              <w:bottom w:type="dxa" w:w="60"/>
              <w:right w:type="dxa" w:w="100"/>
            </w:tcMar>
          </w:tcPr>
          <w:p>
            <w:pPr>
              <w:spacing w:after="0"/>
            </w:pPr>
            <w:r>
              <w:rPr>
                <w:rFonts w:ascii="Calibri" w:cs="Calibri" w:eastAsia="Calibri" w:hAnsi="Calibri"/>
                <w:sz w:val="18"/>
                <w:szCs w:val="18"/>
              </w:rPr>
              <w:t xml:space="preserve">Systems thinking: components, interfaces, feedback loops</w:t>
            </w:r>
          </w:p>
        </w:tc>
        <w:tc>
          <w:tcPr>
            <w:tcW w:type="dxa" w:w="2560"/>
            <w:tcMar>
              <w:top w:type="dxa" w:w="60"/>
              <w:left w:type="dxa" w:w="100"/>
              <w:bottom w:type="dxa" w:w="60"/>
              <w:right w:type="dxa" w:w="100"/>
            </w:tcMar>
          </w:tcPr>
          <w:p>
            <w:pPr>
              <w:spacing w:after="0"/>
            </w:pPr>
            <w:r>
              <w:rPr>
                <w:rFonts w:ascii="Calibri" w:cs="Calibri" w:eastAsia="Calibri" w:hAnsi="Calibri"/>
                <w:sz w:val="18"/>
                <w:szCs w:val="18"/>
              </w:rPr>
              <w:t xml:space="preserve">INCOSE (2023), systems concepts; Meadows (2008), selections. Case: a failure whose components and feedback loops can be modeled.</w:t>
            </w:r>
          </w:p>
        </w:tc>
        <w:tc>
          <w:tcPr>
            <w:tcW w:type="dxa" w:w="2400"/>
            <w:tcMar>
              <w:top w:type="dxa" w:w="60"/>
              <w:left w:type="dxa" w:w="100"/>
              <w:bottom w:type="dxa" w:w="60"/>
              <w:right w:type="dxa" w:w="100"/>
            </w:tcMar>
          </w:tcPr>
          <w:p>
            <w:pPr>
              <w:spacing w:after="0"/>
            </w:pPr>
            <w:r>
              <w:rPr>
                <w:rFonts w:ascii="Calibri" w:cs="Calibri" w:eastAsia="Calibri" w:hAnsi="Calibri"/>
                <w:sz w:val="18"/>
                <w:szCs w:val="18"/>
              </w:rPr>
              <w:t xml:space="preserve">Craig et al. (2023), Proceedings of the Human Factors and Ergonomics Society</w:t>
            </w:r>
          </w:p>
        </w:tc>
        <w:tc>
          <w:tcPr>
            <w:tcW w:type="dxa" w:w="1440"/>
            <w:tcMar>
              <w:top w:type="dxa" w:w="60"/>
              <w:left w:type="dxa" w:w="100"/>
              <w:bottom w:type="dxa" w:w="60"/>
              <w:right w:type="dxa" w:w="100"/>
            </w:tcMar>
          </w:tcPr>
          <w:p>
            <w:pPr>
              <w:spacing w:after="0"/>
            </w:pPr>
            <w:r>
              <w:rPr>
                <w:rFonts w:ascii="Calibri" w:cs="Calibri" w:eastAsia="Calibri" w:hAnsi="Calibri"/>
                <w:sz w:val="18"/>
                <w:szCs w:val="18"/>
              </w:rPr>
              <w:t xml:space="preserve">Modeling lab: diagram a learning environment and its host system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Week 6</w:t>
            </w:r>
          </w:p>
        </w:tc>
        <w:tc>
          <w:tcPr>
            <w:tcW w:type="dxa" w:w="1560"/>
            <w:tcMar>
              <w:top w:type="dxa" w:w="60"/>
              <w:left w:type="dxa" w:w="100"/>
              <w:bottom w:type="dxa" w:w="60"/>
              <w:right w:type="dxa" w:w="100"/>
            </w:tcMar>
          </w:tcPr>
          <w:p>
            <w:pPr>
              <w:spacing w:after="0"/>
            </w:pPr>
            <w:r>
              <w:rPr>
                <w:rFonts w:ascii="Calibri" w:cs="Calibri" w:eastAsia="Calibri" w:hAnsi="Calibri"/>
                <w:sz w:val="18"/>
                <w:szCs w:val="18"/>
              </w:rPr>
              <w:t xml:space="preserve">The systems lifecycle: where capability lives, and why training arrives last</w:t>
            </w:r>
          </w:p>
        </w:tc>
        <w:tc>
          <w:tcPr>
            <w:tcW w:type="dxa" w:w="2560"/>
            <w:tcMar>
              <w:top w:type="dxa" w:w="60"/>
              <w:left w:type="dxa" w:w="100"/>
              <w:bottom w:type="dxa" w:w="60"/>
              <w:right w:type="dxa" w:w="100"/>
            </w:tcMar>
          </w:tcPr>
          <w:p>
            <w:pPr>
              <w:spacing w:after="0"/>
            </w:pPr>
            <w:r>
              <w:rPr>
                <w:rFonts w:ascii="Calibri" w:cs="Calibri" w:eastAsia="Calibri" w:hAnsi="Calibri"/>
                <w:sz w:val="18"/>
                <w:szCs w:val="18"/>
              </w:rPr>
              <w:t xml:space="preserve">INCOSE (2023), lifecycle models; U.S. DoD (2024), HSI Guidebook, selections. Case: a capability decision made at a lifecycle transition.</w:t>
            </w:r>
          </w:p>
        </w:tc>
        <w:tc>
          <w:tcPr>
            <w:tcW w:type="dxa" w:w="2400"/>
            <w:tcMar>
              <w:top w:type="dxa" w:w="60"/>
              <w:left w:type="dxa" w:w="100"/>
              <w:bottom w:type="dxa" w:w="60"/>
              <w:right w:type="dxa" w:w="100"/>
            </w:tcMar>
          </w:tcPr>
          <w:p>
            <w:pPr>
              <w:spacing w:after="0"/>
            </w:pPr>
            <w:r>
              <w:rPr>
                <w:rFonts w:ascii="Calibri" w:cs="Calibri" w:eastAsia="Calibri" w:hAnsi="Calibri"/>
                <w:sz w:val="18"/>
                <w:szCs w:val="18"/>
              </w:rPr>
              <w:t xml:space="preserve">Blake-Plock et al. (2024), I/ITSEC</w:t>
            </w:r>
          </w:p>
        </w:tc>
        <w:tc>
          <w:tcPr>
            <w:tcW w:type="dxa" w:w="1440"/>
            <w:tcMar>
              <w:top w:type="dxa" w:w="60"/>
              <w:left w:type="dxa" w:w="100"/>
              <w:bottom w:type="dxa" w:w="60"/>
              <w:right w:type="dxa" w:w="100"/>
            </w:tcMar>
          </w:tcPr>
          <w:p>
            <w:pPr>
              <w:spacing w:after="0"/>
            </w:pPr>
            <w:r>
              <w:rPr>
                <w:rFonts w:ascii="Calibri" w:cs="Calibri" w:eastAsia="Calibri" w:hAnsi="Calibri"/>
                <w:sz w:val="18"/>
                <w:szCs w:val="18"/>
              </w:rPr>
              <w:t xml:space="preserve">Exercise: place three capability decisions on a lifecycle model</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Week 7</w:t>
            </w:r>
          </w:p>
        </w:tc>
        <w:tc>
          <w:tcPr>
            <w:tcW w:type="dxa" w:w="1560"/>
            <w:tcMar>
              <w:top w:type="dxa" w:w="60"/>
              <w:left w:type="dxa" w:w="100"/>
              <w:bottom w:type="dxa" w:w="60"/>
              <w:right w:type="dxa" w:w="100"/>
            </w:tcMar>
          </w:tcPr>
          <w:p>
            <w:pPr>
              <w:spacing w:after="0"/>
            </w:pPr>
            <w:r>
              <w:rPr>
                <w:rFonts w:ascii="Calibri" w:cs="Calibri" w:eastAsia="Calibri" w:hAnsi="Calibri"/>
                <w:sz w:val="18"/>
                <w:szCs w:val="18"/>
              </w:rPr>
              <w:t xml:space="preserve">Human systems integration as design discipline, not checklist</w:t>
            </w:r>
          </w:p>
        </w:tc>
        <w:tc>
          <w:tcPr>
            <w:tcW w:type="dxa" w:w="2560"/>
            <w:tcMar>
              <w:top w:type="dxa" w:w="60"/>
              <w:left w:type="dxa" w:w="100"/>
              <w:bottom w:type="dxa" w:w="60"/>
              <w:right w:type="dxa" w:w="100"/>
            </w:tcMar>
          </w:tcPr>
          <w:p>
            <w:pPr>
              <w:spacing w:after="0"/>
            </w:pPr>
            <w:r>
              <w:rPr>
                <w:rFonts w:ascii="Calibri" w:cs="Calibri" w:eastAsia="Calibri" w:hAnsi="Calibri"/>
                <w:sz w:val="18"/>
                <w:szCs w:val="18"/>
              </w:rPr>
              <w:t xml:space="preserve">Boy &amp; Kennedy (2023), selections; Goodell &amp; Kolodner (2023), ch. 3, for contrast. Case: HSI treated as a requirement rather than a checklist.</w:t>
            </w:r>
          </w:p>
        </w:tc>
        <w:tc>
          <w:tcPr>
            <w:tcW w:type="dxa" w:w="2400"/>
            <w:tcMar>
              <w:top w:type="dxa" w:w="60"/>
              <w:left w:type="dxa" w:w="100"/>
              <w:bottom w:type="dxa" w:w="60"/>
              <w:right w:type="dxa" w:w="100"/>
            </w:tcMar>
          </w:tcPr>
          <w:p>
            <w:pPr>
              <w:spacing w:after="0"/>
            </w:pPr>
            <w:r>
              <w:rPr>
                <w:rFonts w:ascii="Calibri" w:cs="Calibri" w:eastAsia="Calibri" w:hAnsi="Calibri"/>
                <w:sz w:val="18"/>
                <w:szCs w:val="18"/>
              </w:rPr>
              <w:t xml:space="preserve">Kurzweil &amp; Marcellas (2020), Journal of Applied Instructional Design</w:t>
            </w:r>
          </w:p>
        </w:tc>
        <w:tc>
          <w:tcPr>
            <w:tcW w:type="dxa" w:w="1440"/>
            <w:tcMar>
              <w:top w:type="dxa" w:w="60"/>
              <w:left w:type="dxa" w:w="100"/>
              <w:bottom w:type="dxa" w:w="60"/>
              <w:right w:type="dxa" w:w="100"/>
            </w:tcMar>
          </w:tcPr>
          <w:p>
            <w:pPr>
              <w:spacing w:after="0"/>
            </w:pPr>
            <w:r>
              <w:rPr>
                <w:rFonts w:ascii="Calibri" w:cs="Calibri" w:eastAsia="Calibri" w:hAnsi="Calibri"/>
                <w:sz w:val="18"/>
                <w:szCs w:val="18"/>
              </w:rPr>
              <w:t xml:space="preserve">Assignment 1 due: Capability Analysis</w:t>
            </w:r>
          </w:p>
        </w:tc>
      </w:tr>
      <w:tr>
        <w:tc>
          <w:tcPr>
            <w:tcW w:type="dxa" w:w="1400"/>
            <w:tcMar>
              <w:top w:type="dxa" w:w="60"/>
              <w:left w:type="dxa" w:w="100"/>
              <w:bottom w:type="dxa" w:w="60"/>
              <w:right w:type="dxa" w:w="100"/>
            </w:tcMar>
          </w:tcPr>
          <w:p>
            <w:pPr>
              <w:spacing w:after="0"/>
            </w:pPr>
            <w:r>
              <w:rPr>
                <w:rFonts w:ascii="Calibri" w:cs="Calibri" w:eastAsia="Calibri" w:hAnsi="Calibri"/>
                <w:b/>
                <w:bCs/>
                <w:sz w:val="18"/>
                <w:szCs w:val="18"/>
              </w:rPr>
              <w:t xml:space="preserve">MODULE 4 — The Engineering Cycle</w:t>
            </w:r>
          </w:p>
          <w:p>
            <w:pPr>
              <w:spacing w:after="0"/>
            </w:pPr>
            <w:r>
              <w:rPr>
                <w:rFonts w:ascii="Calibri" w:cs="Calibri" w:eastAsia="Calibri" w:hAnsi="Calibri"/>
                <w:b/>
                <w:bCs/>
                <w:sz w:val="18"/>
                <w:szCs w:val="18"/>
              </w:rPr>
              <w:t xml:space="preserve">Weeks 8–10</w:t>
            </w:r>
          </w:p>
          <w:p>
            <w:pPr>
              <w:spacing w:after="0"/>
            </w:pPr>
            <w:r>
              <w:rPr>
                <w:rFonts w:ascii="Calibri" w:cs="Calibri" w:eastAsia="Calibri" w:hAnsi="Calibri"/>
                <w:b/>
                <w:bCs/>
                <w:sz w:val="18"/>
                <w:szCs w:val="18"/>
              </w:rPr>
              <w:t xml:space="preserve">CLO 5; CLO 1</w:t>
            </w:r>
          </w:p>
        </w:tc>
        <w:tc>
          <w:tcPr>
            <w:tcW w:type="dxa" w:w="1560"/>
            <w:tcMar>
              <w:top w:type="dxa" w:w="60"/>
              <w:left w:type="dxa" w:w="100"/>
              <w:bottom w:type="dxa" w:w="60"/>
              <w:right w:type="dxa" w:w="100"/>
            </w:tcMar>
          </w:tcPr>
          <w:p>
            <w:pPr>
              <w:spacing w:after="0"/>
            </w:pPr>
            <w:r>
              <w:rPr>
                <w:rFonts w:ascii="Calibri" w:cs="Calibri" w:eastAsia="Calibri" w:hAnsi="Calibri"/>
                <w:sz w:val="18"/>
                <w:szCs w:val="18"/>
              </w:rPr>
              <w:t xml:space="preserve">The iterative engineering cycle: design, instrument, evaluate, refine</w:t>
            </w:r>
          </w:p>
        </w:tc>
        <w:tc>
          <w:tcPr>
            <w:tcW w:type="dxa" w:w="2560"/>
            <w:tcMar>
              <w:top w:type="dxa" w:w="60"/>
              <w:left w:type="dxa" w:w="100"/>
              <w:bottom w:type="dxa" w:w="60"/>
              <w:right w:type="dxa" w:w="100"/>
            </w:tcMar>
          </w:tcPr>
          <w:p>
            <w:pPr>
              <w:spacing w:after="0"/>
            </w:pPr>
            <w:r>
              <w:rPr>
                <w:rFonts w:ascii="Calibri" w:cs="Calibri" w:eastAsia="Calibri" w:hAnsi="Calibri"/>
                <w:sz w:val="18"/>
                <w:szCs w:val="18"/>
              </w:rPr>
              <w:t xml:space="preserve">Goodell &amp; Kolodner (2023), ch. 11, ch. 12; revisit ch. 1. Case: a documented iteration cycle in an operational setting.</w:t>
            </w:r>
          </w:p>
        </w:tc>
        <w:tc>
          <w:tcPr>
            <w:tcW w:type="dxa" w:w="2400"/>
            <w:tcMar>
              <w:top w:type="dxa" w:w="60"/>
              <w:left w:type="dxa" w:w="100"/>
              <w:bottom w:type="dxa" w:w="60"/>
              <w:right w:type="dxa" w:w="100"/>
            </w:tcMar>
          </w:tcPr>
          <w:p>
            <w:pPr>
              <w:spacing w:after="0"/>
            </w:pPr>
            <w:r>
              <w:rPr>
                <w:rFonts w:ascii="Calibri" w:cs="Calibri" w:eastAsia="Calibri" w:hAnsi="Calibri"/>
                <w:sz w:val="18"/>
                <w:szCs w:val="18"/>
              </w:rPr>
              <w:t xml:space="preserve">Brown (1992), Journal of the Learning Sciences</w:t>
            </w:r>
          </w:p>
        </w:tc>
        <w:tc>
          <w:tcPr>
            <w:tcW w:type="dxa" w:w="1440"/>
            <w:tcMar>
              <w:top w:type="dxa" w:w="60"/>
              <w:left w:type="dxa" w:w="100"/>
              <w:bottom w:type="dxa" w:w="60"/>
              <w:right w:type="dxa" w:w="100"/>
            </w:tcMar>
          </w:tcPr>
          <w:p>
            <w:pPr>
              <w:spacing w:after="0"/>
            </w:pPr>
            <w:r>
              <w:rPr>
                <w:rFonts w:ascii="Calibri" w:cs="Calibri" w:eastAsia="Calibri" w:hAnsi="Calibri"/>
                <w:sz w:val="18"/>
                <w:szCs w:val="18"/>
              </w:rPr>
              <w:t xml:space="preserve">Begin iteration project: frame a bounded problem; plan instrumentation</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Week 9</w:t>
            </w:r>
          </w:p>
        </w:tc>
        <w:tc>
          <w:tcPr>
            <w:tcW w:type="dxa" w:w="1560"/>
            <w:tcMar>
              <w:top w:type="dxa" w:w="60"/>
              <w:left w:type="dxa" w:w="100"/>
              <w:bottom w:type="dxa" w:w="60"/>
              <w:right w:type="dxa" w:w="100"/>
            </w:tcMar>
          </w:tcPr>
          <w:p>
            <w:pPr>
              <w:spacing w:after="0"/>
            </w:pPr>
            <w:r>
              <w:rPr>
                <w:rFonts w:ascii="Calibri" w:cs="Calibri" w:eastAsia="Calibri" w:hAnsi="Calibri"/>
                <w:sz w:val="18"/>
                <w:szCs w:val="18"/>
              </w:rPr>
              <w:t xml:space="preserve">The evidence-capability-performance flywheel; speed and scale</w:t>
            </w:r>
          </w:p>
        </w:tc>
        <w:tc>
          <w:tcPr>
            <w:tcW w:type="dxa" w:w="2560"/>
            <w:tcMar>
              <w:top w:type="dxa" w:w="60"/>
              <w:left w:type="dxa" w:w="100"/>
              <w:bottom w:type="dxa" w:w="60"/>
              <w:right w:type="dxa" w:w="100"/>
            </w:tcMar>
          </w:tcPr>
          <w:p>
            <w:pPr>
              <w:spacing w:after="0"/>
            </w:pPr>
            <w:r>
              <w:rPr>
                <w:rFonts w:ascii="Calibri" w:cs="Calibri" w:eastAsia="Calibri" w:hAnsi="Calibri"/>
                <w:sz w:val="18"/>
                <w:szCs w:val="18"/>
              </w:rPr>
              <w:t xml:space="preserve">Course note on the flywheel; Wagner (2024), New Learning Frontier. Case: capability development sustained at operational tempo.</w:t>
            </w:r>
          </w:p>
        </w:tc>
        <w:tc>
          <w:tcPr>
            <w:tcW w:type="dxa" w:w="2400"/>
            <w:tcMar>
              <w:top w:type="dxa" w:w="60"/>
              <w:left w:type="dxa" w:w="100"/>
              <w:bottom w:type="dxa" w:w="60"/>
              <w:right w:type="dxa" w:w="100"/>
            </w:tcMar>
          </w:tcPr>
          <w:p>
            <w:pPr>
              <w:spacing w:after="0"/>
            </w:pPr>
            <w:r>
              <w:rPr>
                <w:rFonts w:ascii="Calibri" w:cs="Calibri" w:eastAsia="Calibri" w:hAnsi="Calibri"/>
                <w:sz w:val="18"/>
                <w:szCs w:val="18"/>
              </w:rPr>
              <w:t xml:space="preserve">Van Campenhout et al. (2023), ICLS</w:t>
            </w:r>
          </w:p>
        </w:tc>
        <w:tc>
          <w:tcPr>
            <w:tcW w:type="dxa" w:w="1440"/>
            <w:tcMar>
              <w:top w:type="dxa" w:w="60"/>
              <w:left w:type="dxa" w:w="100"/>
              <w:bottom w:type="dxa" w:w="60"/>
              <w:right w:type="dxa" w:w="100"/>
            </w:tcMar>
          </w:tcPr>
          <w:p>
            <w:pPr>
              <w:spacing w:after="0"/>
            </w:pPr>
            <w:r>
              <w:rPr>
                <w:rFonts w:ascii="Calibri" w:cs="Calibri" w:eastAsia="Calibri" w:hAnsi="Calibri"/>
                <w:sz w:val="18"/>
                <w:szCs w:val="18"/>
              </w:rPr>
              <w:t xml:space="preserve">Iteration project: collect first evidence</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Week 10</w:t>
            </w:r>
          </w:p>
        </w:tc>
        <w:tc>
          <w:tcPr>
            <w:tcW w:type="dxa" w:w="1560"/>
            <w:tcMar>
              <w:top w:type="dxa" w:w="60"/>
              <w:left w:type="dxa" w:w="100"/>
              <w:bottom w:type="dxa" w:w="60"/>
              <w:right w:type="dxa" w:w="100"/>
            </w:tcMar>
          </w:tcPr>
          <w:p>
            <w:pPr>
              <w:spacing w:after="0"/>
            </w:pPr>
            <w:r>
              <w:rPr>
                <w:rFonts w:ascii="Calibri" w:cs="Calibri" w:eastAsia="Calibri" w:hAnsi="Calibri"/>
                <w:sz w:val="18"/>
                <w:szCs w:val="18"/>
              </w:rPr>
              <w:t xml:space="preserve">Measurable capability requirements: writing requirements that can be tested</w:t>
            </w:r>
          </w:p>
        </w:tc>
        <w:tc>
          <w:tcPr>
            <w:tcW w:type="dxa" w:w="2560"/>
            <w:tcMar>
              <w:top w:type="dxa" w:w="60"/>
              <w:left w:type="dxa" w:w="100"/>
              <w:bottom w:type="dxa" w:w="60"/>
              <w:right w:type="dxa" w:w="100"/>
            </w:tcMar>
          </w:tcPr>
          <w:p>
            <w:pPr>
              <w:spacing w:after="0"/>
            </w:pPr>
            <w:r>
              <w:rPr>
                <w:rFonts w:ascii="Calibri" w:cs="Calibri" w:eastAsia="Calibri" w:hAnsi="Calibri"/>
                <w:sz w:val="18"/>
                <w:szCs w:val="18"/>
              </w:rPr>
              <w:t xml:space="preserve">Rummler &amp; Brache (1990), selections; Gilbert (1978), selections. Case: requirements written so they could be tested.</w:t>
            </w:r>
          </w:p>
        </w:tc>
        <w:tc>
          <w:tcPr>
            <w:tcW w:type="dxa" w:w="2400"/>
            <w:tcMar>
              <w:top w:type="dxa" w:w="60"/>
              <w:left w:type="dxa" w:w="100"/>
              <w:bottom w:type="dxa" w:w="60"/>
              <w:right w:type="dxa" w:w="100"/>
            </w:tcMar>
          </w:tcPr>
          <w:p>
            <w:pPr>
              <w:spacing w:after="0"/>
            </w:pPr>
            <w:r>
              <w:rPr>
                <w:rFonts w:ascii="Calibri" w:cs="Calibri" w:eastAsia="Calibri" w:hAnsi="Calibri"/>
                <w:sz w:val="18"/>
                <w:szCs w:val="18"/>
              </w:rPr>
              <w:t xml:space="preserve">Mislevy et al. (2003), ETS Research Report Series</w:t>
            </w:r>
          </w:p>
        </w:tc>
        <w:tc>
          <w:tcPr>
            <w:tcW w:type="dxa" w:w="1440"/>
            <w:tcMar>
              <w:top w:type="dxa" w:w="60"/>
              <w:left w:type="dxa" w:w="100"/>
              <w:bottom w:type="dxa" w:w="60"/>
              <w:right w:type="dxa" w:w="100"/>
            </w:tcMar>
          </w:tcPr>
          <w:p>
            <w:pPr>
              <w:spacing w:after="0"/>
            </w:pPr>
            <w:r>
              <w:rPr>
                <w:rFonts w:ascii="Calibri" w:cs="Calibri" w:eastAsia="Calibri" w:hAnsi="Calibri"/>
                <w:sz w:val="18"/>
                <w:szCs w:val="18"/>
              </w:rPr>
              <w:t xml:space="preserve">Requirements writing workshop</w:t>
            </w:r>
          </w:p>
        </w:tc>
      </w:tr>
      <w:tr>
        <w:tc>
          <w:tcPr>
            <w:tcW w:type="dxa" w:w="1400"/>
            <w:tcMar>
              <w:top w:type="dxa" w:w="60"/>
              <w:left w:type="dxa" w:w="100"/>
              <w:bottom w:type="dxa" w:w="60"/>
              <w:right w:type="dxa" w:w="100"/>
            </w:tcMar>
          </w:tcPr>
          <w:p>
            <w:pPr>
              <w:spacing w:after="0"/>
            </w:pPr>
            <w:r>
              <w:rPr>
                <w:rFonts w:ascii="Calibri" w:cs="Calibri" w:eastAsia="Calibri" w:hAnsi="Calibri"/>
                <w:b/>
                <w:bCs/>
                <w:sz w:val="18"/>
                <w:szCs w:val="18"/>
              </w:rPr>
              <w:t xml:space="preserve">MODULE 5 — Coupling, Ethics, and Domains</w:t>
            </w:r>
          </w:p>
          <w:p>
            <w:pPr>
              <w:spacing w:after="0"/>
            </w:pPr>
            <w:r>
              <w:rPr>
                <w:rFonts w:ascii="Calibri" w:cs="Calibri" w:eastAsia="Calibri" w:hAnsi="Calibri"/>
                <w:b/>
                <w:bCs/>
                <w:sz w:val="18"/>
                <w:szCs w:val="18"/>
              </w:rPr>
              <w:t xml:space="preserve">Weeks 11–13</w:t>
            </w:r>
          </w:p>
          <w:p>
            <w:pPr>
              <w:spacing w:after="0"/>
            </w:pPr>
            <w:r>
              <w:rPr>
                <w:rFonts w:ascii="Calibri" w:cs="Calibri" w:eastAsia="Calibri" w:hAnsi="Calibri"/>
                <w:b/>
                <w:bCs/>
                <w:sz w:val="18"/>
                <w:szCs w:val="18"/>
              </w:rPr>
              <w:t xml:space="preserve">CLO 6; CLO 7</w:t>
            </w:r>
          </w:p>
        </w:tc>
        <w:tc>
          <w:tcPr>
            <w:tcW w:type="dxa" w:w="1560"/>
            <w:tcMar>
              <w:top w:type="dxa" w:w="60"/>
              <w:left w:type="dxa" w:w="100"/>
              <w:bottom w:type="dxa" w:w="60"/>
              <w:right w:type="dxa" w:w="100"/>
            </w:tcMar>
          </w:tcPr>
          <w:p>
            <w:pPr>
              <w:spacing w:after="0"/>
            </w:pPr>
            <w:r>
              <w:rPr>
                <w:rFonts w:ascii="Calibri" w:cs="Calibri" w:eastAsia="Calibri" w:hAnsi="Calibri"/>
                <w:sz w:val="18"/>
                <w:szCs w:val="18"/>
              </w:rPr>
              <w:t xml:space="preserve">Coupling failures and the methods for analyzing them</w:t>
            </w:r>
          </w:p>
        </w:tc>
        <w:tc>
          <w:tcPr>
            <w:tcW w:type="dxa" w:w="2560"/>
            <w:tcMar>
              <w:top w:type="dxa" w:w="60"/>
              <w:left w:type="dxa" w:w="100"/>
              <w:bottom w:type="dxa" w:w="60"/>
              <w:right w:type="dxa" w:w="100"/>
            </w:tcMar>
          </w:tcPr>
          <w:p>
            <w:pPr>
              <w:spacing w:after="0"/>
            </w:pPr>
            <w:r>
              <w:rPr>
                <w:rFonts w:ascii="Calibri" w:cs="Calibri" w:eastAsia="Calibri" w:hAnsi="Calibri"/>
                <w:sz w:val="18"/>
                <w:szCs w:val="18"/>
              </w:rPr>
              <w:t xml:space="preserve">Reason (2000), BMJ; Hollnagel (2014), Safety-I and Safety-II, selections; selected post-mortems. Case: a validated system that was discontinued.</w:t>
            </w:r>
          </w:p>
        </w:tc>
        <w:tc>
          <w:tcPr>
            <w:tcW w:type="dxa" w:w="2400"/>
            <w:tcMar>
              <w:top w:type="dxa" w:w="60"/>
              <w:left w:type="dxa" w:w="100"/>
              <w:bottom w:type="dxa" w:w="60"/>
              <w:right w:type="dxa" w:w="100"/>
            </w:tcMar>
          </w:tcPr>
          <w:p>
            <w:pPr>
              <w:spacing w:after="0"/>
            </w:pPr>
            <w:r>
              <w:rPr>
                <w:rFonts w:ascii="Calibri" w:cs="Calibri" w:eastAsia="Calibri" w:hAnsi="Calibri"/>
                <w:sz w:val="18"/>
                <w:szCs w:val="18"/>
              </w:rPr>
              <w:t xml:space="preserve">Leveson (2004), Safety Science</w:t>
            </w:r>
          </w:p>
        </w:tc>
        <w:tc>
          <w:tcPr>
            <w:tcW w:type="dxa" w:w="1440"/>
            <w:tcMar>
              <w:top w:type="dxa" w:w="60"/>
              <w:left w:type="dxa" w:w="100"/>
              <w:bottom w:type="dxa" w:w="60"/>
              <w:right w:type="dxa" w:w="100"/>
            </w:tcMar>
          </w:tcPr>
          <w:p>
            <w:pPr>
              <w:spacing w:after="0"/>
            </w:pPr>
            <w:r>
              <w:rPr>
                <w:rFonts w:ascii="Calibri" w:cs="Calibri" w:eastAsia="Calibri" w:hAnsi="Calibri"/>
                <w:sz w:val="18"/>
                <w:szCs w:val="18"/>
              </w:rPr>
              <w:t xml:space="preserve">Case memo 1; case analysis coded with a named failure analysis method</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Week 12</w:t>
            </w:r>
          </w:p>
        </w:tc>
        <w:tc>
          <w:tcPr>
            <w:tcW w:type="dxa" w:w="1560"/>
            <w:tcMar>
              <w:top w:type="dxa" w:w="60"/>
              <w:left w:type="dxa" w:w="100"/>
              <w:bottom w:type="dxa" w:w="60"/>
              <w:right w:type="dxa" w:w="100"/>
            </w:tcMar>
          </w:tcPr>
          <w:p>
            <w:pPr>
              <w:spacing w:after="0"/>
            </w:pPr>
            <w:r>
              <w:rPr>
                <w:rFonts w:ascii="Calibri" w:cs="Calibri" w:eastAsia="Calibri" w:hAnsi="Calibri"/>
                <w:sz w:val="18"/>
                <w:szCs w:val="18"/>
              </w:rPr>
              <w:t xml:space="preserve">Ethics of intervention, operator agency, and the governance-objection diagnostic</w:t>
            </w:r>
          </w:p>
        </w:tc>
        <w:tc>
          <w:tcPr>
            <w:tcW w:type="dxa" w:w="2560"/>
            <w:tcMar>
              <w:top w:type="dxa" w:w="60"/>
              <w:left w:type="dxa" w:w="100"/>
              <w:bottom w:type="dxa" w:w="60"/>
              <w:right w:type="dxa" w:w="100"/>
            </w:tcMar>
          </w:tcPr>
          <w:p>
            <w:pPr>
              <w:spacing w:after="0"/>
            </w:pPr>
            <w:r>
              <w:rPr>
                <w:rFonts w:ascii="Calibri" w:cs="Calibri" w:eastAsia="Calibri" w:hAnsi="Calibri"/>
                <w:sz w:val="18"/>
                <w:szCs w:val="18"/>
              </w:rPr>
              <w:t xml:space="preserve">Goodell &amp; Kolodner (2023), ch. 7, ch. 17; Watters (2021), selections; SOE critical perspectives selections. Case: a system withdrawn under governance objection.</w:t>
            </w:r>
          </w:p>
        </w:tc>
        <w:tc>
          <w:tcPr>
            <w:tcW w:type="dxa" w:w="2400"/>
            <w:tcMar>
              <w:top w:type="dxa" w:w="60"/>
              <w:left w:type="dxa" w:w="100"/>
              <w:bottom w:type="dxa" w:w="60"/>
              <w:right w:type="dxa" w:w="100"/>
            </w:tcMar>
          </w:tcPr>
          <w:p>
            <w:pPr>
              <w:spacing w:after="0"/>
            </w:pPr>
            <w:r>
              <w:rPr>
                <w:rFonts w:ascii="Calibri" w:cs="Calibri" w:eastAsia="Calibri" w:hAnsi="Calibri"/>
                <w:sz w:val="18"/>
                <w:szCs w:val="18"/>
              </w:rPr>
              <w:t xml:space="preserve">Van Campenhout (2021), Adaptive Instructional Systems, LNCS 12792</w:t>
            </w:r>
          </w:p>
        </w:tc>
        <w:tc>
          <w:tcPr>
            <w:tcW w:type="dxa" w:w="1440"/>
            <w:tcMar>
              <w:top w:type="dxa" w:w="60"/>
              <w:left w:type="dxa" w:w="100"/>
              <w:bottom w:type="dxa" w:w="60"/>
              <w:right w:type="dxa" w:w="100"/>
            </w:tcMar>
          </w:tcPr>
          <w:p>
            <w:pPr>
              <w:spacing w:after="0"/>
            </w:pPr>
            <w:r>
              <w:rPr>
                <w:rFonts w:ascii="Calibri" w:cs="Calibri" w:eastAsia="Calibri" w:hAnsi="Calibri"/>
                <w:sz w:val="18"/>
                <w:szCs w:val="18"/>
              </w:rPr>
              <w:t xml:space="preserve">Case memo 2; position memo: an agency-preserving constraint</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Week 13</w:t>
            </w:r>
          </w:p>
        </w:tc>
        <w:tc>
          <w:tcPr>
            <w:tcW w:type="dxa" w:w="1560"/>
            <w:tcMar>
              <w:top w:type="dxa" w:w="60"/>
              <w:left w:type="dxa" w:w="100"/>
              <w:bottom w:type="dxa" w:w="60"/>
              <w:right w:type="dxa" w:w="100"/>
            </w:tcMar>
          </w:tcPr>
          <w:p>
            <w:pPr>
              <w:spacing w:after="0"/>
            </w:pPr>
            <w:r>
              <w:rPr>
                <w:rFonts w:ascii="Calibri" w:cs="Calibri" w:eastAsia="Calibri" w:hAnsi="Calibri"/>
                <w:sz w:val="18"/>
                <w:szCs w:val="18"/>
              </w:rPr>
              <w:t xml:space="preserve">High-consequence domains: what they share and where they diverge</w:t>
            </w:r>
          </w:p>
        </w:tc>
        <w:tc>
          <w:tcPr>
            <w:tcW w:type="dxa" w:w="2560"/>
            <w:tcMar>
              <w:top w:type="dxa" w:w="60"/>
              <w:left w:type="dxa" w:w="100"/>
              <w:bottom w:type="dxa" w:w="60"/>
              <w:right w:type="dxa" w:w="100"/>
            </w:tcMar>
          </w:tcPr>
          <w:p>
            <w:pPr>
              <w:spacing w:after="0"/>
            </w:pPr>
            <w:r>
              <w:rPr>
                <w:rFonts w:ascii="Calibri" w:cs="Calibri" w:eastAsia="Calibri" w:hAnsi="Calibri"/>
                <w:sz w:val="18"/>
                <w:szCs w:val="18"/>
              </w:rPr>
              <w:t xml:space="preserve">Asynchronous practitioner engagements with three high-consequence domains (rotating; see Course Notes). Cases: one per engaged domain. At least one carries a conflict-of-interest disclosure and at least one a non-peer-reviewed evidence tier; both are read as part of the case.</w:t>
            </w:r>
          </w:p>
        </w:tc>
        <w:tc>
          <w:tcPr>
            <w:tcW w:type="dxa" w:w="2400"/>
            <w:tcMar>
              <w:top w:type="dxa" w:w="60"/>
              <w:left w:type="dxa" w:w="100"/>
              <w:bottom w:type="dxa" w:w="60"/>
              <w:right w:type="dxa" w:w="100"/>
            </w:tcMar>
          </w:tcPr>
          <w:p>
            <w:pPr>
              <w:spacing w:after="0"/>
            </w:pPr>
            <w:r>
              <w:rPr>
                <w:rFonts w:ascii="Calibri" w:cs="Calibri" w:eastAsia="Calibri" w:hAnsi="Calibri"/>
                <w:sz w:val="18"/>
                <w:szCs w:val="18"/>
              </w:rPr>
              <w:t xml:space="preserve">Schatz et al. (2023), Journal of Military Learning</w:t>
            </w:r>
          </w:p>
        </w:tc>
        <w:tc>
          <w:tcPr>
            <w:tcW w:type="dxa" w:w="1440"/>
            <w:tcMar>
              <w:top w:type="dxa" w:w="60"/>
              <w:left w:type="dxa" w:w="100"/>
              <w:bottom w:type="dxa" w:w="60"/>
              <w:right w:type="dxa" w:w="100"/>
            </w:tcMar>
          </w:tcPr>
          <w:p>
            <w:pPr>
              <w:spacing w:after="0"/>
            </w:pPr>
            <w:r>
              <w:rPr>
                <w:rFonts w:ascii="Calibri" w:cs="Calibri" w:eastAsia="Calibri" w:hAnsi="Calibri"/>
                <w:sz w:val="18"/>
                <w:szCs w:val="18"/>
              </w:rPr>
              <w:t xml:space="preserve">Case memo 3; Assignment 2 due: Iteration Cycle Report</w:t>
            </w:r>
          </w:p>
        </w:tc>
      </w:tr>
      <w:tr>
        <w:tc>
          <w:tcPr>
            <w:tcW w:type="dxa" w:w="1400"/>
            <w:tcMar>
              <w:top w:type="dxa" w:w="60"/>
              <w:left w:type="dxa" w:w="100"/>
              <w:bottom w:type="dxa" w:w="60"/>
              <w:right w:type="dxa" w:w="100"/>
            </w:tcMar>
          </w:tcPr>
          <w:p>
            <w:pPr>
              <w:spacing w:after="0"/>
            </w:pPr>
            <w:r>
              <w:rPr>
                <w:rFonts w:ascii="Calibri" w:cs="Calibri" w:eastAsia="Calibri" w:hAnsi="Calibri"/>
                <w:b/>
                <w:bCs/>
                <w:sz w:val="18"/>
                <w:szCs w:val="18"/>
              </w:rPr>
              <w:t xml:space="preserve">MODULE 6 — Communication and Synthesis</w:t>
            </w:r>
          </w:p>
          <w:p>
            <w:pPr>
              <w:spacing w:after="0"/>
            </w:pPr>
            <w:r>
              <w:rPr>
                <w:rFonts w:ascii="Calibri" w:cs="Calibri" w:eastAsia="Calibri" w:hAnsi="Calibri"/>
                <w:b/>
                <w:bCs/>
                <w:sz w:val="18"/>
                <w:szCs w:val="18"/>
              </w:rPr>
              <w:t xml:space="preserve">Weeks 14–15</w:t>
            </w:r>
          </w:p>
          <w:p>
            <w:pPr>
              <w:spacing w:after="0"/>
            </w:pPr>
            <w:r>
              <w:rPr>
                <w:rFonts w:ascii="Calibri" w:cs="Calibri" w:eastAsia="Calibri" w:hAnsi="Calibri"/>
                <w:b/>
                <w:bCs/>
                <w:sz w:val="18"/>
                <w:szCs w:val="18"/>
              </w:rPr>
              <w:t xml:space="preserve">CLO 6</w:t>
            </w:r>
          </w:p>
        </w:tc>
        <w:tc>
          <w:tcPr>
            <w:tcW w:type="dxa" w:w="1560"/>
            <w:tcMar>
              <w:top w:type="dxa" w:w="60"/>
              <w:left w:type="dxa" w:w="100"/>
              <w:bottom w:type="dxa" w:w="60"/>
              <w:right w:type="dxa" w:w="100"/>
            </w:tcMar>
          </w:tcPr>
          <w:p>
            <w:pPr>
              <w:spacing w:after="0"/>
            </w:pPr>
            <w:r>
              <w:rPr>
                <w:rFonts w:ascii="Calibri" w:cs="Calibri" w:eastAsia="Calibri" w:hAnsi="Calibri"/>
                <w:sz w:val="18"/>
                <w:szCs w:val="18"/>
              </w:rPr>
              <w:t xml:space="preserve">Communicating capability analyses across audiences</w:t>
            </w:r>
          </w:p>
        </w:tc>
        <w:tc>
          <w:tcPr>
            <w:tcW w:type="dxa" w:w="2560"/>
            <w:tcMar>
              <w:top w:type="dxa" w:w="60"/>
              <w:left w:type="dxa" w:w="100"/>
              <w:bottom w:type="dxa" w:w="60"/>
              <w:right w:type="dxa" w:w="100"/>
            </w:tcMar>
          </w:tcPr>
          <w:p>
            <w:pPr>
              <w:spacing w:after="0"/>
            </w:pPr>
            <w:r>
              <w:rPr>
                <w:rFonts w:ascii="Calibri" w:cs="Calibri" w:eastAsia="Calibri" w:hAnsi="Calibri"/>
                <w:sz w:val="18"/>
                <w:szCs w:val="18"/>
              </w:rPr>
              <w:t xml:space="preserve">Communication selections; exemplar briefings. Case: an initiative whose design argument was communicated and oversold.</w:t>
            </w:r>
          </w:p>
        </w:tc>
        <w:tc>
          <w:tcPr>
            <w:tcW w:type="dxa" w:w="2400"/>
            <w:tcMar>
              <w:top w:type="dxa" w:w="60"/>
              <w:left w:type="dxa" w:w="100"/>
              <w:bottom w:type="dxa" w:w="60"/>
              <w:right w:type="dxa" w:w="100"/>
            </w:tcMar>
          </w:tcPr>
          <w:p>
            <w:pPr>
              <w:spacing w:after="0"/>
            </w:pPr>
            <w:r>
              <w:rPr>
                <w:rFonts w:ascii="Calibri" w:cs="Calibri" w:eastAsia="Calibri" w:hAnsi="Calibri"/>
                <w:sz w:val="18"/>
                <w:szCs w:val="18"/>
              </w:rPr>
              <w:t xml:space="preserve">Totino &amp; Kessler (2025), TechTrends</w:t>
            </w:r>
          </w:p>
        </w:tc>
        <w:tc>
          <w:tcPr>
            <w:tcW w:type="dxa" w:w="1440"/>
            <w:tcMar>
              <w:top w:type="dxa" w:w="60"/>
              <w:left w:type="dxa" w:w="100"/>
              <w:bottom w:type="dxa" w:w="60"/>
              <w:right w:type="dxa" w:w="100"/>
            </w:tcMar>
          </w:tcPr>
          <w:p>
            <w:pPr>
              <w:spacing w:after="0"/>
            </w:pPr>
            <w:r>
              <w:rPr>
                <w:rFonts w:ascii="Calibri" w:cs="Calibri" w:eastAsia="Calibri" w:hAnsi="Calibri"/>
                <w:sz w:val="18"/>
                <w:szCs w:val="18"/>
              </w:rPr>
              <w:t xml:space="preserve">Draft final briefing; structured peer review across domain groups</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Week 15</w:t>
            </w:r>
          </w:p>
        </w:tc>
        <w:tc>
          <w:tcPr>
            <w:tcW w:type="dxa" w:w="1560"/>
            <w:tcMar>
              <w:top w:type="dxa" w:w="60"/>
              <w:left w:type="dxa" w:w="100"/>
              <w:bottom w:type="dxa" w:w="60"/>
              <w:right w:type="dxa" w:w="100"/>
            </w:tcMar>
          </w:tcPr>
          <w:p>
            <w:pPr>
              <w:spacing w:after="0"/>
            </w:pPr>
            <w:r>
              <w:rPr>
                <w:rFonts w:ascii="Calibri" w:cs="Calibri" w:eastAsia="Calibri" w:hAnsi="Calibri"/>
                <w:sz w:val="18"/>
                <w:szCs w:val="18"/>
              </w:rPr>
              <w:t xml:space="preserve">Synthesis: the six canonical LENS problem types; the field ahead</w:t>
            </w:r>
          </w:p>
        </w:tc>
        <w:tc>
          <w:tcPr>
            <w:tcW w:type="dxa" w:w="2560"/>
            <w:tcMar>
              <w:top w:type="dxa" w:w="60"/>
              <w:left w:type="dxa" w:w="100"/>
              <w:bottom w:type="dxa" w:w="60"/>
              <w:right w:type="dxa" w:w="100"/>
            </w:tcMar>
          </w:tcPr>
          <w:p>
            <w:pPr>
              <w:spacing w:after="0"/>
            </w:pPr>
            <w:r>
              <w:rPr>
                <w:rFonts w:ascii="Calibri" w:cs="Calibri" w:eastAsia="Calibri" w:hAnsi="Calibri"/>
                <w:sz w:val="18"/>
                <w:szCs w:val="18"/>
              </w:rPr>
              <w:t xml:space="preserve">Goodell &amp; Kolodner (2023), ch. 19; program problem-type framework. Case: a closing case spanning all three domains.</w:t>
            </w:r>
          </w:p>
        </w:tc>
        <w:tc>
          <w:tcPr>
            <w:tcW w:type="dxa" w:w="2400"/>
            <w:tcMar>
              <w:top w:type="dxa" w:w="60"/>
              <w:left w:type="dxa" w:w="100"/>
              <w:bottom w:type="dxa" w:w="60"/>
              <w:right w:type="dxa" w:w="100"/>
            </w:tcMar>
          </w:tcPr>
          <w:p>
            <w:pPr>
              <w:spacing w:after="0"/>
            </w:pPr>
            <w:r>
              <w:rPr>
                <w:rFonts w:ascii="Calibri" w:cs="Calibri" w:eastAsia="Calibri" w:hAnsi="Calibri"/>
                <w:sz w:val="18"/>
                <w:szCs w:val="18"/>
              </w:rPr>
              <w:t xml:space="preserve">Baker et al. (2021), Technology, Mind, and Behavior</w:t>
            </w:r>
          </w:p>
        </w:tc>
        <w:tc>
          <w:tcPr>
            <w:tcW w:type="dxa" w:w="1440"/>
            <w:tcMar>
              <w:top w:type="dxa" w:w="60"/>
              <w:left w:type="dxa" w:w="100"/>
              <w:bottom w:type="dxa" w:w="60"/>
              <w:right w:type="dxa" w:w="100"/>
            </w:tcMar>
          </w:tcPr>
          <w:p>
            <w:pPr>
              <w:spacing w:after="0"/>
            </w:pPr>
            <w:r>
              <w:rPr>
                <w:rFonts w:ascii="Calibri" w:cs="Calibri" w:eastAsia="Calibri" w:hAnsi="Calibri"/>
                <w:sz w:val="18"/>
                <w:szCs w:val="18"/>
              </w:rPr>
              <w:t xml:space="preserve">Final due: Integrated Analysis and Briefing; Dispositions Portfolio</w:t>
            </w:r>
          </w:p>
        </w:tc>
      </w:tr>
    </w:tbl>
    <w:p>
      <w:pPr>
        <w:spacing w:after="120" w:before="0"/>
      </w:pPr>
      <w:r>
        <w:rPr>
          <w:rFonts w:ascii="Calibri" w:cs="Calibri" w:eastAsia="Calibri" w:hAnsi="Calibri"/>
          <w:i/>
          <w:iCs/>
          <w:sz w:val="18"/>
          <w:szCs w:val="18"/>
        </w:rPr>
        <w:t xml:space="preserve">A case is assigned every week, described here by what it must teach; specific cases are selected before the LMS build (see Course Notes). Additional Reading is one peer-reviewed paper per week, optional unless an assignment specifies otherwise, linked in Canvas, and cited in full in the Supplemental Reading List.</w:t>
      </w:r>
    </w:p>
    <w:p>
      <w:pPr>
        <w:pStyle w:val="Heading1"/>
        <w:spacing w:after="120" w:before="260"/>
      </w:pPr>
      <w:r>
        <w:rPr>
          <w:rFonts w:ascii="Calibri" w:cs="Calibri" w:eastAsia="Calibri" w:hAnsi="Calibri"/>
          <w:b/>
          <w:bCs/>
          <w:color w:val="000000"/>
          <w:sz w:val="26"/>
          <w:szCs w:val="26"/>
        </w:rPr>
        <w:t xml:space="preserve">Course Notes</w:t>
      </w:r>
    </w:p>
    <w:p>
      <w:pPr>
        <w:spacing w:after="100" w:before="0"/>
      </w:pPr>
      <w:r>
        <w:rPr>
          <w:rFonts w:ascii="Calibri" w:cs="Calibri" w:eastAsia="Calibri" w:hAnsi="Calibri"/>
          <w:sz w:val="20"/>
          <w:szCs w:val="20"/>
        </w:rPr>
        <w:t xml:space="preserve">A case is assigned every week. The Course Outline describes each week's case by what it must teach; specific cases are selected from the Capability Matters Casebook and inserted, with their identifiers, before the LMS build. Cases carry two coordinates: a failure-mode code and LEO competency tags. Both are read with the case. Module 5 teaches failure analysis as a set of established methods rather than a single scheme: students select a method, justify it against the case, and are assessed on the justification as much as the coding. The casebook's six-mode code is one such scheme and is read as an instance, not as the standard. Where a case carries a conflict-of-interest disclosure or an evidence-tier flag, the disclosure is part of the assigned reading and is discussed as such.</w:t>
      </w:r>
    </w:p>
    <w:p>
      <w:pPr>
        <w:spacing w:after="100" w:before="0"/>
      </w:pPr>
      <w:r>
        <w:rPr>
          <w:rFonts w:ascii="Calibri" w:cs="Calibri" w:eastAsia="Calibri" w:hAnsi="Calibri"/>
          <w:sz w:val="20"/>
          <w:szCs w:val="20"/>
        </w:rPr>
        <w:t xml:space="preserve">Toolkit chapters not read in this course are read elsewhere in the concentration. Chapters 5, 6, 13, and 18 (instrumentation and analytics) are LEN 4. Chapter 14 (standards as tools) is LEN 3. Chapters 10 and 16 (teaming and implementation) are LEN 6 and LEN 3, with deeper treatment in LEN 8. Chapter 17 is revisited in LEN 7.</w:t>
      </w:r>
    </w:p>
    <w:p>
      <w:pPr>
        <w:spacing w:after="100" w:before="0"/>
      </w:pPr>
      <w:r>
        <w:rPr>
          <w:rFonts w:ascii="Calibri" w:cs="Calibri" w:eastAsia="Calibri" w:hAnsi="Calibri"/>
          <w:sz w:val="20"/>
          <w:szCs w:val="20"/>
        </w:rPr>
        <w:t xml:space="preserve">LENS works in high-consequence domains: those in which the cost of a capability gap is paid by people who did not choose the risk, and is not fully recoverable. A representative list of seven, following the structure of the Capability Matters Casebook: healthcare and patient safety; education, training, and the learning workforce; aviation and aerospace; defense and national security; industry, energy, and enterprise systems; disaster prevention and recovery; algorithms, governance, and public systems. The list is representative, not exhaustive; the criterion is what defines the category. Week 13 engages three, rotating by term and by the domain composition of the enrolled cohort. Engagements are asynchronous and led by practitioners from the domain.</w:t>
      </w:r>
    </w:p>
    <w:p>
      <w:pPr>
        <w:spacing w:after="100" w:before="0"/>
      </w:pPr>
      <w:r>
        <w:rPr>
          <w:rFonts w:ascii="Calibri" w:cs="Calibri" w:eastAsia="Calibri" w:hAnsi="Calibri"/>
          <w:sz w:val="20"/>
          <w:szCs w:val="20"/>
        </w:rPr>
        <w:t xml:space="preserve">Additional Reading is one peer-reviewed paper per week. Four weeks are served by sources below the standard the column sets, and are flagged here rather than presented as equivalent: Week 6 (recent, little citation record), Week 10 (a heavily cited technical report rather than a journal article), Week 12 (adjacent to the week's topic rather than on it), and Week 13 (a professional journal). Week 4 draws on Barnett and Ceci (2002), which sits outside the learning engineering literature. Replacements are welcome; see the course record document.</w:t>
      </w:r>
    </w:p>
    <w:p>
      <w:pPr>
        <w:pStyle w:val="Heading1"/>
        <w:spacing w:after="120" w:before="260"/>
      </w:pPr>
      <w:r>
        <w:rPr>
          <w:rFonts w:ascii="Calibri" w:cs="Calibri" w:eastAsia="Calibri" w:hAnsi="Calibri"/>
          <w:b/>
          <w:bCs/>
          <w:color w:val="000000"/>
          <w:sz w:val="26"/>
          <w:szCs w:val="26"/>
        </w:rPr>
        <w:t xml:space="preserve">Getting Help</w:t>
      </w:r>
    </w:p>
    <w:p>
      <w:pPr>
        <w:spacing w:after="100" w:before="0"/>
      </w:pPr>
      <w:r>
        <w:rPr>
          <w:rFonts w:ascii="Calibri" w:cs="Calibri" w:eastAsia="Calibri" w:hAnsi="Calibri"/>
          <w:sz w:val="22"/>
          <w:szCs w:val="22"/>
        </w:rPr>
        <w:t xml:space="preserve">You have a variety of methods to get help in Canvas. Please see the resources noted in the course site.</w:t>
      </w:r>
    </w:p>
    <w:p>
      <w:pPr>
        <w:pStyle w:val="Heading1"/>
        <w:spacing w:after="120" w:before="260"/>
      </w:pPr>
      <w:r>
        <w:rPr>
          <w:rFonts w:ascii="Calibri" w:cs="Calibri" w:eastAsia="Calibri" w:hAnsi="Calibri"/>
          <w:b/>
          <w:bCs/>
          <w:color w:val="000000"/>
          <w:sz w:val="26"/>
          <w:szCs w:val="26"/>
        </w:rPr>
        <w:t xml:space="preserve">Policy Statements (populated in HelioCampus)</w:t>
      </w:r>
    </w:p>
    <w:p>
      <w:pPr>
        <w:spacing w:after="100" w:before="0"/>
      </w:pPr>
      <w:r>
        <w:rPr>
          <w:rFonts w:ascii="Calibri" w:cs="Calibri" w:eastAsia="Calibri" w:hAnsi="Calibri"/>
          <w:sz w:val="22"/>
          <w:szCs w:val="22"/>
        </w:rPr>
        <w:t xml:space="preserve"/>
      </w:r>
    </w:p>
    <w:p>
      <w:pPr>
        <w:pStyle w:val="Heading1"/>
        <w:spacing w:after="120" w:before="260"/>
      </w:pPr>
      <w:r>
        <w:rPr>
          <w:rFonts w:ascii="Calibri" w:cs="Calibri" w:eastAsia="Calibri" w:hAnsi="Calibri"/>
          <w:b/>
          <w:bCs/>
          <w:color w:val="000000"/>
          <w:sz w:val="26"/>
          <w:szCs w:val="26"/>
        </w:rPr>
        <w:t xml:space="preserve">Bibliography (Required)</w:t>
      </w:r>
    </w:p>
    <w:p>
      <w:pPr>
        <w:pStyle w:val="ListParagraph"/>
        <w:numPr>
          <w:ilvl w:val="0"/>
          <w:numId w:val="1"/>
        </w:numPr>
        <w:spacing w:after="60"/>
      </w:pPr>
      <w:r>
        <w:rPr>
          <w:rFonts w:ascii="Calibri" w:cs="Calibri" w:eastAsia="Calibri" w:hAnsi="Calibri"/>
          <w:sz w:val="22"/>
          <w:szCs w:val="22"/>
        </w:rPr>
        <w:t xml:space="preserve">Boy, G. A., &amp; Kennedy, J. (Eds.). (2023). Human systems integration primer, volume one. International Council on Systems Engineering.</w:t>
      </w:r>
    </w:p>
    <w:p>
      <w:pPr>
        <w:pStyle w:val="ListParagraph"/>
        <w:numPr>
          <w:ilvl w:val="0"/>
          <w:numId w:val="1"/>
        </w:numPr>
        <w:spacing w:after="60"/>
      </w:pPr>
      <w:r>
        <w:rPr>
          <w:rFonts w:ascii="Calibri" w:cs="Calibri" w:eastAsia="Calibri" w:hAnsi="Calibri"/>
          <w:sz w:val="22"/>
          <w:szCs w:val="22"/>
        </w:rPr>
        <w:t xml:space="preserve">Gilbert, T. F. (1978). Human competence: Engineering worthy performance. McGraw-Hill.</w:t>
      </w:r>
    </w:p>
    <w:p>
      <w:pPr>
        <w:pStyle w:val="ListParagraph"/>
        <w:numPr>
          <w:ilvl w:val="0"/>
          <w:numId w:val="1"/>
        </w:numPr>
        <w:spacing w:after="60"/>
      </w:pPr>
      <w:r>
        <w:rPr>
          <w:rFonts w:ascii="Calibri" w:cs="Calibri" w:eastAsia="Calibri" w:hAnsi="Calibri"/>
          <w:sz w:val="22"/>
          <w:szCs w:val="22"/>
        </w:rPr>
        <w:t xml:space="preserve">Hollnagel, E. (2014). Safety-I and Safety-II: The past and future of safety management. Ashgate. (Selections)</w:t>
      </w:r>
    </w:p>
    <w:p>
      <w:pPr>
        <w:pStyle w:val="ListParagraph"/>
        <w:numPr>
          <w:ilvl w:val="0"/>
          <w:numId w:val="1"/>
        </w:numPr>
        <w:spacing w:after="60"/>
      </w:pPr>
      <w:r>
        <w:rPr>
          <w:rFonts w:ascii="Calibri" w:cs="Calibri" w:eastAsia="Calibri" w:hAnsi="Calibri"/>
          <w:sz w:val="22"/>
          <w:szCs w:val="22"/>
        </w:rPr>
        <w:t xml:space="preserve">Goodell, J., &amp; Kolodner, J. (Eds.). (2023). Learning engineering toolkit: Evidence-based practices from the learning sciences, instructional design, and beyond. Routledge.</w:t>
      </w:r>
    </w:p>
    <w:p>
      <w:pPr>
        <w:pStyle w:val="ListParagraph"/>
        <w:numPr>
          <w:ilvl w:val="0"/>
          <w:numId w:val="1"/>
        </w:numPr>
        <w:spacing w:after="60"/>
      </w:pPr>
      <w:r>
        <w:rPr>
          <w:rFonts w:ascii="Calibri" w:cs="Calibri" w:eastAsia="Calibri" w:hAnsi="Calibri"/>
          <w:sz w:val="22"/>
          <w:szCs w:val="22"/>
        </w:rPr>
        <w:t xml:space="preserve">International Council on Systems Engineering. (2023). Systems engineering handbook: A guide for system life cycle processes and activities (5th ed.). Wiley.</w:t>
      </w:r>
    </w:p>
    <w:p>
      <w:pPr>
        <w:pStyle w:val="ListParagraph"/>
        <w:numPr>
          <w:ilvl w:val="0"/>
          <w:numId w:val="1"/>
        </w:numPr>
        <w:spacing w:after="60"/>
      </w:pPr>
      <w:r>
        <w:rPr>
          <w:rFonts w:ascii="Calibri" w:cs="Calibri" w:eastAsia="Calibri" w:hAnsi="Calibri"/>
          <w:sz w:val="22"/>
          <w:szCs w:val="22"/>
        </w:rPr>
        <w:t xml:space="preserve">Meadows, D. H. (2008). Thinking in systems: A primer. Chelsea Green. (Selections)</w:t>
      </w:r>
    </w:p>
    <w:p>
      <w:pPr>
        <w:pStyle w:val="ListParagraph"/>
        <w:numPr>
          <w:ilvl w:val="0"/>
          <w:numId w:val="1"/>
        </w:numPr>
        <w:spacing w:after="60"/>
      </w:pPr>
      <w:r>
        <w:rPr>
          <w:rFonts w:ascii="Calibri" w:cs="Calibri" w:eastAsia="Calibri" w:hAnsi="Calibri"/>
          <w:sz w:val="22"/>
          <w:szCs w:val="22"/>
        </w:rPr>
        <w:t xml:space="preserve">Reason, J. (2000). Human error: Models and management. BMJ, 320(7237), 768-770.</w:t>
      </w:r>
    </w:p>
    <w:p>
      <w:pPr>
        <w:pStyle w:val="ListParagraph"/>
        <w:numPr>
          <w:ilvl w:val="0"/>
          <w:numId w:val="1"/>
        </w:numPr>
        <w:spacing w:after="60"/>
      </w:pPr>
      <w:r>
        <w:rPr>
          <w:rFonts w:ascii="Calibri" w:cs="Calibri" w:eastAsia="Calibri" w:hAnsi="Calibri"/>
          <w:sz w:val="22"/>
          <w:szCs w:val="22"/>
        </w:rPr>
        <w:t xml:space="preserve">Rummler, G. A., &amp; Brache, A. P. (1990). Improving performance: How to manage the white space on the organization chart. Jossey-Bass. (Selections)</w:t>
      </w:r>
    </w:p>
    <w:p>
      <w:pPr>
        <w:pStyle w:val="ListParagraph"/>
        <w:numPr>
          <w:ilvl w:val="0"/>
          <w:numId w:val="1"/>
        </w:numPr>
        <w:spacing w:after="60"/>
      </w:pPr>
      <w:r>
        <w:rPr>
          <w:rFonts w:ascii="Calibri" w:cs="Calibri" w:eastAsia="Calibri" w:hAnsi="Calibri"/>
          <w:sz w:val="22"/>
          <w:szCs w:val="22"/>
        </w:rPr>
        <w:t xml:space="preserve">Sawyer, R. K. (Ed.). (2022). The Cambridge handbook of the learning sciences (3rd ed.). Cambridge University Press. (Selections)</w:t>
      </w:r>
    </w:p>
    <w:p>
      <w:pPr>
        <w:pStyle w:val="ListParagraph"/>
        <w:numPr>
          <w:ilvl w:val="0"/>
          <w:numId w:val="1"/>
        </w:numPr>
        <w:spacing w:after="60"/>
      </w:pPr>
      <w:r>
        <w:rPr>
          <w:rFonts w:ascii="Calibri" w:cs="Calibri" w:eastAsia="Calibri" w:hAnsi="Calibri"/>
          <w:sz w:val="22"/>
          <w:szCs w:val="22"/>
        </w:rPr>
        <w:t xml:space="preserve">Sweller, J., Ayres, P., &amp; Kalyuga, S. (2011). Cognitive load theory. Springer. (Selections)</w:t>
      </w:r>
    </w:p>
    <w:p>
      <w:pPr>
        <w:pStyle w:val="ListParagraph"/>
        <w:numPr>
          <w:ilvl w:val="0"/>
          <w:numId w:val="1"/>
        </w:numPr>
        <w:spacing w:after="60"/>
      </w:pPr>
      <w:r>
        <w:rPr>
          <w:rFonts w:ascii="Calibri" w:cs="Calibri" w:eastAsia="Calibri" w:hAnsi="Calibri"/>
          <w:sz w:val="22"/>
          <w:szCs w:val="22"/>
        </w:rPr>
        <w:t xml:space="preserve">U.S. Department of Defense. (2024). Department of Defense human systems integration guidebook. Office of the Under Secretary of Defense for Research and Engineering. (Selections)</w:t>
      </w:r>
    </w:p>
    <w:p>
      <w:pPr>
        <w:pStyle w:val="ListParagraph"/>
        <w:numPr>
          <w:ilvl w:val="0"/>
          <w:numId w:val="1"/>
        </w:numPr>
        <w:spacing w:after="60"/>
      </w:pPr>
      <w:r>
        <w:rPr>
          <w:rFonts w:ascii="Calibri" w:cs="Calibri" w:eastAsia="Calibri" w:hAnsi="Calibri"/>
          <w:sz w:val="22"/>
          <w:szCs w:val="22"/>
        </w:rPr>
        <w:t xml:space="preserve">Wagner, E. (2024). Learning engineering enlightenment: Think like an engineer. New Learning Frontier. https://newlearningfrontier.com/learning-engineering-enlightenment-think-like-an-engineer/</w:t>
      </w:r>
    </w:p>
    <w:p>
      <w:pPr>
        <w:pStyle w:val="ListParagraph"/>
        <w:numPr>
          <w:ilvl w:val="0"/>
          <w:numId w:val="1"/>
        </w:numPr>
        <w:spacing w:after="60"/>
      </w:pPr>
      <w:r>
        <w:rPr>
          <w:rFonts w:ascii="Calibri" w:cs="Calibri" w:eastAsia="Calibri" w:hAnsi="Calibri"/>
          <w:sz w:val="22"/>
          <w:szCs w:val="22"/>
        </w:rPr>
        <w:t xml:space="preserve">Watters, A. (2021). Teaching machines: The history of personalized learning. MIT Press. (Selections)</w:t>
      </w:r>
    </w:p>
    <w:p>
      <w:pPr>
        <w:pStyle w:val="Heading1"/>
        <w:spacing w:after="120" w:before="260"/>
      </w:pPr>
      <w:r>
        <w:rPr>
          <w:rFonts w:ascii="Calibri" w:cs="Calibri" w:eastAsia="Calibri" w:hAnsi="Calibri"/>
          <w:b/>
          <w:bCs/>
          <w:color w:val="000000"/>
          <w:sz w:val="26"/>
          <w:szCs w:val="26"/>
        </w:rPr>
        <w:t xml:space="preserve">Supplemental Reading List</w:t>
      </w:r>
    </w:p>
    <w:p>
      <w:pPr>
        <w:spacing w:after="100" w:before="0"/>
      </w:pPr>
      <w:r>
        <w:rPr>
          <w:rFonts w:ascii="Calibri" w:cs="Calibri" w:eastAsia="Calibri" w:hAnsi="Calibri"/>
          <w:sz w:val="20"/>
          <w:szCs w:val="20"/>
        </w:rPr>
        <w:t xml:space="preserve">One peer-reviewed paper per week, listed in the Course Outline as Additional Reading, plus supporting texts. Learning engineering sources are indexed at the Learning Engineering Commons (lecommons.org), which the course uses as its field-literature reference.</w:t>
      </w:r>
    </w:p>
    <w:p>
      <w:pPr>
        <w:pStyle w:val="ListParagraph"/>
        <w:numPr>
          <w:ilvl w:val="0"/>
          <w:numId w:val="1"/>
        </w:numPr>
        <w:spacing w:after="60"/>
      </w:pPr>
      <w:r>
        <w:rPr>
          <w:rFonts w:ascii="Calibri" w:cs="Calibri" w:eastAsia="Calibri" w:hAnsi="Calibri"/>
          <w:sz w:val="22"/>
          <w:szCs w:val="22"/>
        </w:rPr>
        <w:t xml:space="preserve">Baker, R. S., Boser, U., &amp; Snow, E. L. (2021). Learning engineering: A view on where the field is at, where it is going, and the research needed. Technology, Mind, and Behavior. https://tmb.apaopen.org/pub/5ib9cpqa/release/1</w:t>
      </w:r>
    </w:p>
    <w:p>
      <w:pPr>
        <w:pStyle w:val="ListParagraph"/>
        <w:numPr>
          <w:ilvl w:val="0"/>
          <w:numId w:val="1"/>
        </w:numPr>
        <w:spacing w:after="60"/>
      </w:pPr>
      <w:r>
        <w:rPr>
          <w:rFonts w:ascii="Calibri" w:cs="Calibri" w:eastAsia="Calibri" w:hAnsi="Calibri"/>
          <w:sz w:val="22"/>
          <w:szCs w:val="22"/>
        </w:rPr>
        <w:t xml:space="preserve">Barnett, S. M., &amp; Ceci, S. J. (2002). When and where do we apply what we learn? A taxonomy for far transfer. Psychological Bulletin, 128(4), 612-637.</w:t>
      </w:r>
    </w:p>
    <w:p>
      <w:pPr>
        <w:pStyle w:val="ListParagraph"/>
        <w:numPr>
          <w:ilvl w:val="0"/>
          <w:numId w:val="1"/>
        </w:numPr>
        <w:spacing w:after="60"/>
      </w:pPr>
      <w:r>
        <w:rPr>
          <w:rFonts w:ascii="Calibri" w:cs="Calibri" w:eastAsia="Calibri" w:hAnsi="Calibri"/>
          <w:sz w:val="22"/>
          <w:szCs w:val="22"/>
        </w:rPr>
        <w:t xml:space="preserve">Blake-Plock, S., Craig, S. D., Czerwinski, E., Goodell, J., Lis, J., McEldoon, K., Owens, K., Stodd, J., Schatz, S., &amp; Walsh, W. (2024). Generalizable learning engineering adoption maturity model. Interservice/Industry Training, Simulation, and Education Conference (I/ITSEC).</w:t>
      </w:r>
    </w:p>
    <w:p>
      <w:pPr>
        <w:pStyle w:val="ListParagraph"/>
        <w:numPr>
          <w:ilvl w:val="0"/>
          <w:numId w:val="1"/>
        </w:numPr>
        <w:spacing w:after="60"/>
      </w:pPr>
      <w:r>
        <w:rPr>
          <w:rFonts w:ascii="Calibri" w:cs="Calibri" w:eastAsia="Calibri" w:hAnsi="Calibri"/>
          <w:sz w:val="22"/>
          <w:szCs w:val="22"/>
        </w:rPr>
        <w:t xml:space="preserve">Leveson, N. (2004). A new accident model for engineering safer systems. Safety Science, 42(4), 237-270.</w:t>
      </w:r>
    </w:p>
    <w:p>
      <w:pPr>
        <w:pStyle w:val="ListParagraph"/>
        <w:numPr>
          <w:ilvl w:val="0"/>
          <w:numId w:val="1"/>
        </w:numPr>
        <w:spacing w:after="60"/>
      </w:pPr>
      <w:r>
        <w:rPr>
          <w:rFonts w:ascii="Calibri" w:cs="Calibri" w:eastAsia="Calibri" w:hAnsi="Calibri"/>
          <w:sz w:val="22"/>
          <w:szCs w:val="22"/>
        </w:rPr>
        <w:t xml:space="preserve">Brown, A. L. (1992). Design experiments: Theoretical and methodological challenges in creating complex interventions in classroom settings. Journal of the Learning Sciences, 2(2), 141-178.</w:t>
      </w:r>
    </w:p>
    <w:p>
      <w:pPr>
        <w:pStyle w:val="ListParagraph"/>
        <w:numPr>
          <w:ilvl w:val="0"/>
          <w:numId w:val="1"/>
        </w:numPr>
        <w:spacing w:after="60"/>
      </w:pPr>
      <w:r>
        <w:rPr>
          <w:rFonts w:ascii="Calibri" w:cs="Calibri" w:eastAsia="Calibri" w:hAnsi="Calibri"/>
          <w:sz w:val="22"/>
          <w:szCs w:val="22"/>
        </w:rPr>
        <w:t xml:space="preserve">Craig, S. D., Goodell, J., Roscoe, R., Czerwinski, E., &amp; Lis, J. (2023). Learning engineering perspectives for supporting educational systems. Proceedings of the Human Factors and Ergonomics Society Annual Meeting. https://doi.org/10.1177/21695067231192886</w:t>
      </w:r>
    </w:p>
    <w:p>
      <w:pPr>
        <w:pStyle w:val="ListParagraph"/>
        <w:numPr>
          <w:ilvl w:val="0"/>
          <w:numId w:val="1"/>
        </w:numPr>
        <w:spacing w:after="60"/>
      </w:pPr>
      <w:r>
        <w:rPr>
          <w:rFonts w:ascii="Calibri" w:cs="Calibri" w:eastAsia="Calibri" w:hAnsi="Calibri"/>
          <w:sz w:val="22"/>
          <w:szCs w:val="22"/>
        </w:rPr>
        <w:t xml:space="preserve">Kolodner, J. L. (2023). Learning engineering: What it is, why I am involved, and why I think more of you should be. Journal of the Learning Sciences, 32(1). https://doi.org/10.1080/10508406.2023.2190717</w:t>
      </w:r>
    </w:p>
    <w:p>
      <w:pPr>
        <w:pStyle w:val="ListParagraph"/>
        <w:numPr>
          <w:ilvl w:val="0"/>
          <w:numId w:val="1"/>
        </w:numPr>
        <w:spacing w:after="60"/>
      </w:pPr>
      <w:r>
        <w:rPr>
          <w:rFonts w:ascii="Calibri" w:cs="Calibri" w:eastAsia="Calibri" w:hAnsi="Calibri"/>
          <w:sz w:val="22"/>
          <w:szCs w:val="22"/>
        </w:rPr>
        <w:t xml:space="preserve">Kurzweil, D., &amp; Marcellas, K. B. (2020). Teaming up to improve medical and healthcare education: Instructional design and learning engineering. Journal of Applied Instructional Design.</w:t>
      </w:r>
    </w:p>
    <w:p>
      <w:pPr>
        <w:pStyle w:val="ListParagraph"/>
        <w:numPr>
          <w:ilvl w:val="0"/>
          <w:numId w:val="1"/>
        </w:numPr>
        <w:spacing w:after="60"/>
      </w:pPr>
      <w:r>
        <w:rPr>
          <w:rFonts w:ascii="Calibri" w:cs="Calibri" w:eastAsia="Calibri" w:hAnsi="Calibri"/>
          <w:sz w:val="22"/>
          <w:szCs w:val="22"/>
        </w:rPr>
        <w:t xml:space="preserve">Lee, V. R. (2023). Learning sciences and learning engineering: A natural or artificial distinction? Journal of the Learning Sciences, 32(1). https://doi.org/10.1080/10508406.2022.2100705</w:t>
      </w:r>
    </w:p>
    <w:p>
      <w:pPr>
        <w:pStyle w:val="ListParagraph"/>
        <w:numPr>
          <w:ilvl w:val="0"/>
          <w:numId w:val="1"/>
        </w:numPr>
        <w:spacing w:after="60"/>
      </w:pPr>
      <w:r>
        <w:rPr>
          <w:rFonts w:ascii="Calibri" w:cs="Calibri" w:eastAsia="Calibri" w:hAnsi="Calibri"/>
          <w:sz w:val="22"/>
          <w:szCs w:val="22"/>
        </w:rPr>
        <w:t xml:space="preserve">Mislevy, R. J., Steinberg, L. S., &amp; Almond, R. G. (2003). A brief introduction to evidence-centered design. ETS Research Report Series.</w:t>
      </w:r>
    </w:p>
    <w:p>
      <w:pPr>
        <w:pStyle w:val="ListParagraph"/>
        <w:numPr>
          <w:ilvl w:val="0"/>
          <w:numId w:val="1"/>
        </w:numPr>
        <w:spacing w:after="60"/>
      </w:pPr>
      <w:r>
        <w:rPr>
          <w:rFonts w:ascii="Calibri" w:cs="Calibri" w:eastAsia="Calibri" w:hAnsi="Calibri"/>
          <w:sz w:val="22"/>
          <w:szCs w:val="22"/>
        </w:rPr>
        <w:t xml:space="preserve">Schatz, S., Goodell, J., &amp; Kessler, A. (2023). Learning engineering at a glance. Journal of Military Learning.</w:t>
      </w:r>
    </w:p>
    <w:p>
      <w:pPr>
        <w:pStyle w:val="ListParagraph"/>
        <w:numPr>
          <w:ilvl w:val="0"/>
          <w:numId w:val="1"/>
        </w:numPr>
        <w:spacing w:after="60"/>
      </w:pPr>
      <w:r>
        <w:rPr>
          <w:rFonts w:ascii="Calibri" w:cs="Calibri" w:eastAsia="Calibri" w:hAnsi="Calibri"/>
          <w:sz w:val="22"/>
          <w:szCs w:val="22"/>
        </w:rPr>
        <w:t xml:space="preserve">Totino, L., &amp; Kessler, A. (2025). Exploring learning engineering design decision tracking: Emergent themes from practitioners' work. TechTrends. https://doi.org/10.1007/s11528-025-01076-y</w:t>
      </w:r>
    </w:p>
    <w:p>
      <w:pPr>
        <w:pStyle w:val="ListParagraph"/>
        <w:numPr>
          <w:ilvl w:val="0"/>
          <w:numId w:val="1"/>
        </w:numPr>
        <w:spacing w:after="60"/>
      </w:pPr>
      <w:r>
        <w:rPr>
          <w:rFonts w:ascii="Calibri" w:cs="Calibri" w:eastAsia="Calibri" w:hAnsi="Calibri"/>
          <w:sz w:val="22"/>
          <w:szCs w:val="22"/>
        </w:rPr>
        <w:t xml:space="preserve">Uncapher, M. R. (2018). From the science of learning (and development) to learning engineering. Applied Developmental Science. https://doi.org/10.1080/10888691.2017.1421437</w:t>
      </w:r>
    </w:p>
    <w:p>
      <w:pPr>
        <w:pStyle w:val="ListParagraph"/>
        <w:numPr>
          <w:ilvl w:val="0"/>
          <w:numId w:val="1"/>
        </w:numPr>
        <w:spacing w:after="60"/>
      </w:pPr>
      <w:r>
        <w:rPr>
          <w:rFonts w:ascii="Calibri" w:cs="Calibri" w:eastAsia="Calibri" w:hAnsi="Calibri"/>
          <w:sz w:val="22"/>
          <w:szCs w:val="22"/>
        </w:rPr>
        <w:t xml:space="preserve">Van Campenhout, R. (2021). Learning engineering as an ethical framework. In Adaptive instructional systems (HCII 2021), Lecture Notes in Computer Science 12792. https://doi.org/10.1007/978-3-030-77857-6_7</w:t>
      </w:r>
    </w:p>
    <w:p>
      <w:pPr>
        <w:pStyle w:val="ListParagraph"/>
        <w:numPr>
          <w:ilvl w:val="0"/>
          <w:numId w:val="1"/>
        </w:numPr>
        <w:spacing w:after="60"/>
      </w:pPr>
      <w:r>
        <w:rPr>
          <w:rFonts w:ascii="Calibri" w:cs="Calibri" w:eastAsia="Calibri" w:hAnsi="Calibri"/>
          <w:sz w:val="22"/>
          <w:szCs w:val="22"/>
        </w:rPr>
        <w:t xml:space="preserve">Van Campenhout, R., Selinger, M., &amp; Jerome, B. (2023). Designing a student progress panel for formative practice: A learning engineering process. Proceedings of the International Conference of the Learning Sciences (ICLS 2023), 2193-2196.</w:t>
      </w:r>
    </w:p>
    <w:p>
      <w:pPr>
        <w:spacing w:after="100" w:before="100"/>
      </w:pPr>
      <w:r>
        <w:rPr>
          <w:rFonts w:ascii="Calibri" w:cs="Calibri" w:eastAsia="Calibri" w:hAnsi="Calibri"/>
          <w:b/>
          <w:bCs/>
          <w:sz w:val="20"/>
          <w:szCs w:val="20"/>
        </w:rPr>
        <w:t xml:space="preserve">Supporting texts</w:t>
      </w:r>
    </w:p>
    <w:p>
      <w:pPr>
        <w:pStyle w:val="ListParagraph"/>
        <w:numPr>
          <w:ilvl w:val="0"/>
          <w:numId w:val="1"/>
        </w:numPr>
        <w:spacing w:after="60"/>
      </w:pPr>
      <w:r>
        <w:rPr>
          <w:rFonts w:ascii="Calibri" w:cs="Calibri" w:eastAsia="Calibri" w:hAnsi="Calibri"/>
          <w:sz w:val="22"/>
          <w:szCs w:val="22"/>
        </w:rPr>
        <w:t xml:space="preserve">Ericsson, K. A., &amp; Pool, R. (2016). Peak: Secrets from the new science of expertise. Houghton Mifflin Harcourt.</w:t>
      </w:r>
    </w:p>
    <w:p>
      <w:pPr>
        <w:pStyle w:val="ListParagraph"/>
        <w:numPr>
          <w:ilvl w:val="0"/>
          <w:numId w:val="1"/>
        </w:numPr>
        <w:spacing w:after="60"/>
      </w:pPr>
      <w:r>
        <w:rPr>
          <w:rFonts w:ascii="Calibri" w:cs="Calibri" w:eastAsia="Calibri" w:hAnsi="Calibri"/>
          <w:sz w:val="22"/>
          <w:szCs w:val="22"/>
        </w:rPr>
        <w:t xml:space="preserve">Woods, D. D., &amp; Hollnagel, E. (2006). Joint cognitive systems: Patterns in cognitive systems engineering. CRC Press.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700bd5bda8713549e292966379b91bfc228d5d6.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2026-07-17T18:13:21.850Z</dcterms:created>
  <dcterms:modified xsi:type="dcterms:W3CDTF">2026-07-17T18:13:21.863Z</dcterms:modified>
</cp:coreProperties>
</file>

<file path=docProps/custom.xml><?xml version="1.0" encoding="utf-8"?>
<Properties xmlns="http://schemas.openxmlformats.org/officeDocument/2006/custom-properties" xmlns:vt="http://schemas.openxmlformats.org/officeDocument/2006/docPropsVTypes"/>
</file>