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color w:val="555555"/>
          <w:sz w:val="20"/>
          <w:szCs w:val="20"/>
        </w:rPr>
        <w:t xml:space="preserve">LENS • Learning Engineering for Next-Generation Systems</w:t>
      </w:r>
    </w:p>
    <w:p>
      <w:pPr>
        <w:spacing w:after="40"/>
      </w:pPr>
      <w:r>
        <w:rPr>
          <w:b/>
          <w:bCs/>
          <w:color w:val="0D1B3E"/>
          <w:sz w:val="34"/>
          <w:szCs w:val="34"/>
        </w:rPr>
        <w:t xml:space="preserve">The Five LENS Competencies</w:t>
      </w:r>
    </w:p>
    <w:p>
      <w:pPr>
        <w:spacing w:after="100"/>
      </w:pPr>
      <w:r>
        <w:rPr>
          <w:color w:val="0E7C7B"/>
          <w:sz w:val="24"/>
          <w:szCs w:val="24"/>
        </w:rPr>
        <w:t xml:space="preserve">Formal names, taglines, main objectives, and subobjectives for case studies, recruiting, and curriculum</w:t>
      </w:r>
    </w:p>
    <w:p>
      <w:pPr>
        <w:shd w:fill="0E7C7B" w:val="clear"/>
        <w:spacing w:after="240"/>
      </w:pPr>
      <w:r>
        <w:rPr>
          <w:b/>
          <w:bCs/>
          <w:color w:val="FFFFFF"/>
          <w:sz w:val="19"/>
          <w:szCs w:val="19"/>
        </w:rPr>
        <w:t xml:space="preserve">  Organizing layer over the formal CLOs. Formal names carry program documentation; taglines carry recruiting and the site. Subobjective numbers (1.1, 3.2, …) are stable tags for case studies, course modules, and capstone rubrics. The CLO language in the program documentation remains the language of record.  </w:t>
      </w:r>
    </w:p>
    <w:p>
      <w:pPr>
        <w:shd w:fill="0E7C7B" w:val="clear"/>
        <w:spacing w:after="60" w:before="260"/>
      </w:pPr>
      <w:r>
        <w:rPr>
          <w:b/>
          <w:bCs/>
          <w:color w:val="FFFFFF"/>
          <w:sz w:val="26"/>
          <w:szCs w:val="26"/>
        </w:rPr>
        <w:t xml:space="preserve">  1. Systems Analysis</w:t>
      </w:r>
      <w:r>
        <w:rPr>
          <w:i/>
          <w:iCs/>
          <w:color w:val="FFFFFF"/>
          <w:sz w:val="22"/>
          <w:szCs w:val="22"/>
        </w:rPr>
        <w:t xml:space="preserve">  •  see the whole system  </w:t>
      </w:r>
    </w:p>
    <w:p>
      <w:pPr>
        <w:spacing w:after="90"/>
      </w:pPr>
      <w:r>
        <w:rPr>
          <w:i/>
          <w:iCs/>
          <w:color w:val="555555"/>
          <w:sz w:val="19"/>
          <w:szCs w:val="19"/>
        </w:rPr>
        <w:t xml:space="preserve">Formal domain: Systems Thinking and Analysis (CLO-1)</w:t>
      </w:r>
    </w:p>
    <w:p>
      <w:pPr>
        <w:spacing w:after="100"/>
      </w:pPr>
      <w:r>
        <w:rPr>
          <w:b/>
          <w:bCs/>
          <w:color w:val="0D1B3E"/>
          <w:sz w:val="21"/>
          <w:szCs w:val="21"/>
        </w:rPr>
        <w:t xml:space="preserve">Main objective. </w:t>
      </w:r>
      <w:r>
        <w:rPr>
          <w:sz w:val="21"/>
          <w:szCs w:val="21"/>
        </w:rPr>
        <w:t xml:space="preserve">Trace how human capability and system performance depend on each other, so interventions target the real problem.</w:t>
      </w:r>
    </w:p>
    <w:p>
      <w:pPr>
        <w:spacing w:after="70"/>
        <w:ind w:left="360"/>
      </w:pPr>
      <w:r>
        <w:rPr>
          <w:b/>
          <w:bCs/>
          <w:color w:val="0E7C7B"/>
          <w:sz w:val="21"/>
          <w:szCs w:val="21"/>
        </w:rPr>
        <w:t xml:space="preserve">1.1  </w:t>
      </w:r>
      <w:r>
        <w:rPr>
          <w:sz w:val="21"/>
          <w:szCs w:val="21"/>
        </w:rPr>
        <w:t xml:space="preserve">Decompose system performance requirements into measurable human capability requirements: define what the system demands of its operators and the impact it must deliver.</w:t>
      </w:r>
    </w:p>
    <w:p>
      <w:pPr>
        <w:spacing w:after="70"/>
        <w:ind w:left="360"/>
      </w:pPr>
      <w:r>
        <w:rPr>
          <w:b/>
          <w:bCs/>
          <w:color w:val="0E7C7B"/>
          <w:sz w:val="21"/>
          <w:szCs w:val="21"/>
        </w:rPr>
        <w:t xml:space="preserve">1.2  </w:t>
      </w:r>
      <w:r>
        <w:rPr>
          <w:sz w:val="21"/>
          <w:szCs w:val="21"/>
        </w:rPr>
        <w:t xml:space="preserve">Model learning environments and their host operational systems as interacting systems, with defined components, interfaces, and feedback loops.</w:t>
      </w:r>
    </w:p>
    <w:p>
      <w:pPr>
        <w:spacing w:after="70"/>
        <w:ind w:left="360"/>
      </w:pPr>
      <w:r>
        <w:rPr>
          <w:b/>
          <w:bCs/>
          <w:color w:val="0E7C7B"/>
          <w:sz w:val="21"/>
          <w:szCs w:val="21"/>
        </w:rPr>
        <w:t xml:space="preserve">1.3  </w:t>
      </w:r>
      <w:r>
        <w:rPr>
          <w:sz w:val="21"/>
          <w:szCs w:val="21"/>
        </w:rPr>
        <w:t xml:space="preserve">Apply systems engineering lifecycle models to scope, sequence, and evaluate capability interventions within and across disparate systems.</w:t>
      </w:r>
    </w:p>
    <w:p>
      <w:pPr>
        <w:spacing w:after="70"/>
        <w:ind w:left="360"/>
      </w:pPr>
      <w:r>
        <w:rPr>
          <w:b/>
          <w:bCs/>
          <w:color w:val="0E7C7B"/>
          <w:sz w:val="21"/>
          <w:szCs w:val="21"/>
        </w:rPr>
        <w:t xml:space="preserve">1.4  </w:t>
      </w:r>
      <w:r>
        <w:rPr>
          <w:sz w:val="21"/>
          <w:szCs w:val="21"/>
        </w:rPr>
        <w:t xml:space="preserve">Analyze and communicate human-system interdependencies to identify capability gaps and predict operational impact at scale.</w:t>
      </w:r>
    </w:p>
    <w:p>
      <w:pPr>
        <w:shd w:fill="0E7C7B" w:val="clear"/>
        <w:spacing w:after="60" w:before="260"/>
      </w:pPr>
      <w:r>
        <w:rPr>
          <w:b/>
          <w:bCs/>
          <w:color w:val="FFFFFF"/>
          <w:sz w:val="26"/>
          <w:szCs w:val="26"/>
        </w:rPr>
        <w:t xml:space="preserve">  2. Iterative Development</w:t>
      </w:r>
      <w:r>
        <w:rPr>
          <w:i/>
          <w:iCs/>
          <w:color w:val="FFFFFF"/>
          <w:sz w:val="22"/>
          <w:szCs w:val="22"/>
        </w:rPr>
        <w:t xml:space="preserve">  •  build, test, refine  </w:t>
      </w:r>
    </w:p>
    <w:p>
      <w:pPr>
        <w:spacing w:after="90"/>
      </w:pPr>
      <w:r>
        <w:rPr>
          <w:i/>
          <w:iCs/>
          <w:color w:val="555555"/>
          <w:sz w:val="19"/>
          <w:szCs w:val="19"/>
        </w:rPr>
        <w:t xml:space="preserve">Formal domain: Learning Engineering Design and Implementation (CLO-2)</w:t>
      </w:r>
    </w:p>
    <w:p>
      <w:pPr>
        <w:spacing w:after="100"/>
      </w:pPr>
      <w:r>
        <w:rPr>
          <w:b/>
          <w:bCs/>
          <w:color w:val="0D1B3E"/>
          <w:sz w:val="21"/>
          <w:szCs w:val="21"/>
        </w:rPr>
        <w:t xml:space="preserve">Main objective. </w:t>
      </w:r>
      <w:r>
        <w:rPr>
          <w:sz w:val="21"/>
          <w:szCs w:val="21"/>
        </w:rPr>
        <w:t xml:space="preserve">Design capability interventions through iterative engineering cycles that survive contact with real operational environments.</w:t>
      </w:r>
    </w:p>
    <w:p>
      <w:pPr>
        <w:spacing w:after="70"/>
        <w:ind w:left="360"/>
      </w:pPr>
      <w:r>
        <w:rPr>
          <w:b/>
          <w:bCs/>
          <w:color w:val="0E7C7B"/>
          <w:sz w:val="21"/>
          <w:szCs w:val="21"/>
        </w:rPr>
        <w:t xml:space="preserve">2.1  </w:t>
      </w:r>
      <w:r>
        <w:rPr>
          <w:sz w:val="21"/>
          <w:szCs w:val="21"/>
        </w:rPr>
        <w:t xml:space="preserve">Design interventions that integrate learning sciences principles with measurable outcomes and system design constraints.</w:t>
      </w:r>
    </w:p>
    <w:p>
      <w:pPr>
        <w:spacing w:after="70"/>
        <w:ind w:left="360"/>
      </w:pPr>
      <w:r>
        <w:rPr>
          <w:b/>
          <w:bCs/>
          <w:color w:val="0E7C7B"/>
          <w:sz w:val="21"/>
          <w:szCs w:val="21"/>
        </w:rPr>
        <w:t xml:space="preserve">2.2  </w:t>
      </w:r>
      <w:r>
        <w:rPr>
          <w:sz w:val="21"/>
          <w:szCs w:val="21"/>
        </w:rPr>
        <w:t xml:space="preserve">Run the iteration cycle: design, instrument, evaluate, refine, and revise the problem framing as evidence accumulates.</w:t>
      </w:r>
    </w:p>
    <w:p>
      <w:pPr>
        <w:spacing w:after="70"/>
        <w:ind w:left="360"/>
      </w:pPr>
      <w:r>
        <w:rPr>
          <w:b/>
          <w:bCs/>
          <w:color w:val="0E7C7B"/>
          <w:sz w:val="21"/>
          <w:szCs w:val="21"/>
        </w:rPr>
        <w:t xml:space="preserve">2.3  </w:t>
      </w:r>
      <w:r>
        <w:rPr>
          <w:sz w:val="21"/>
          <w:szCs w:val="21"/>
        </w:rPr>
        <w:t xml:space="preserve">Evaluate evidence-based design strategies for transfer to high-consequence settings at operational speed and scale.</w:t>
      </w:r>
    </w:p>
    <w:p>
      <w:pPr>
        <w:spacing w:after="70"/>
        <w:ind w:left="360"/>
      </w:pPr>
      <w:r>
        <w:rPr>
          <w:b/>
          <w:bCs/>
          <w:color w:val="0E7C7B"/>
          <w:sz w:val="21"/>
          <w:szCs w:val="21"/>
        </w:rPr>
        <w:t xml:space="preserve">2.4  </w:t>
      </w:r>
      <w:r>
        <w:rPr>
          <w:sz w:val="21"/>
          <w:szCs w:val="21"/>
        </w:rPr>
        <w:t xml:space="preserve">Construct implementation plans that address adoption, sustainment, and lifecycle integration across organizational and system boundaries.</w:t>
      </w:r>
    </w:p>
    <w:p>
      <w:pPr>
        <w:shd w:fill="0E7C7B" w:val="clear"/>
        <w:spacing w:after="60" w:before="260"/>
      </w:pPr>
      <w:r>
        <w:rPr>
          <w:b/>
          <w:bCs/>
          <w:color w:val="FFFFFF"/>
          <w:sz w:val="26"/>
          <w:szCs w:val="26"/>
        </w:rPr>
        <w:t xml:space="preserve">  3. Test and Evaluation</w:t>
      </w:r>
      <w:r>
        <w:rPr>
          <w:i/>
          <w:iCs/>
          <w:color w:val="FFFFFF"/>
          <w:sz w:val="22"/>
          <w:szCs w:val="22"/>
        </w:rPr>
        <w:t xml:space="preserve">  •  show what works  </w:t>
      </w:r>
    </w:p>
    <w:p>
      <w:pPr>
        <w:spacing w:after="90"/>
      </w:pPr>
      <w:r>
        <w:rPr>
          <w:i/>
          <w:iCs/>
          <w:color w:val="555555"/>
          <w:sz w:val="19"/>
          <w:szCs w:val="19"/>
        </w:rPr>
        <w:t xml:space="preserve">Formal domain: Data, Measurement, and Evaluation (CLO-3)</w:t>
      </w:r>
    </w:p>
    <w:p>
      <w:pPr>
        <w:spacing w:after="100"/>
      </w:pPr>
      <w:r>
        <w:rPr>
          <w:b/>
          <w:bCs/>
          <w:color w:val="0D1B3E"/>
          <w:sz w:val="21"/>
          <w:szCs w:val="21"/>
        </w:rPr>
        <w:t xml:space="preserve">Main objective. </w:t>
      </w:r>
      <w:r>
        <w:rPr>
          <w:sz w:val="21"/>
          <w:szCs w:val="21"/>
        </w:rPr>
        <w:t xml:space="preserve">Produce decision-grade evidence linking learning to operational impact, and tell a learning gap from a system gap.</w:t>
      </w:r>
    </w:p>
    <w:p>
      <w:pPr>
        <w:spacing w:after="70"/>
        <w:ind w:left="360"/>
      </w:pPr>
      <w:r>
        <w:rPr>
          <w:b/>
          <w:bCs/>
          <w:color w:val="0E7C7B"/>
          <w:sz w:val="21"/>
          <w:szCs w:val="21"/>
        </w:rPr>
        <w:t xml:space="preserve">3.1  </w:t>
      </w:r>
      <w:r>
        <w:rPr>
          <w:sz w:val="21"/>
          <w:szCs w:val="21"/>
        </w:rPr>
        <w:t xml:space="preserve">Design ethical instrumentation strategies that measure capability at the speed and scale operations require.</w:t>
      </w:r>
    </w:p>
    <w:p>
      <w:pPr>
        <w:spacing w:after="70"/>
        <w:ind w:left="360"/>
      </w:pPr>
      <w:r>
        <w:rPr>
          <w:b/>
          <w:bCs/>
          <w:color w:val="0E7C7B"/>
          <w:sz w:val="21"/>
          <w:szCs w:val="21"/>
        </w:rPr>
        <w:t xml:space="preserve">3.2  </w:t>
      </w:r>
      <w:r>
        <w:rPr>
          <w:sz w:val="21"/>
          <w:szCs w:val="21"/>
        </w:rPr>
        <w:t xml:space="preserve">Diagnose the gap: differentiate capability shortfalls rooted in human development from those rooted in system design or organizational performance.</w:t>
      </w:r>
    </w:p>
    <w:p>
      <w:pPr>
        <w:spacing w:after="70"/>
        <w:ind w:left="360"/>
      </w:pPr>
      <w:r>
        <w:rPr>
          <w:b/>
          <w:bCs/>
          <w:color w:val="0E7C7B"/>
          <w:sz w:val="21"/>
          <w:szCs w:val="21"/>
        </w:rPr>
        <w:t xml:space="preserve">3.3  </w:t>
      </w:r>
      <w:r>
        <w:rPr>
          <w:sz w:val="21"/>
          <w:szCs w:val="21"/>
        </w:rPr>
        <w:t xml:space="preserve">Construct decision-grade evidence artifacts (dashboards, reproducible reports, governance documentation) that link learning outcomes to operational impact and feed the next design iteration.</w:t>
      </w:r>
    </w:p>
    <w:p>
      <w:pPr>
        <w:spacing w:after="70"/>
        <w:ind w:left="360"/>
      </w:pPr>
      <w:r>
        <w:rPr>
          <w:b/>
          <w:bCs/>
          <w:color w:val="0E7C7B"/>
          <w:sz w:val="21"/>
          <w:szCs w:val="21"/>
        </w:rPr>
        <w:t xml:space="preserve">3.4  </w:t>
      </w:r>
      <w:r>
        <w:rPr>
          <w:sz w:val="21"/>
          <w:szCs w:val="21"/>
        </w:rPr>
        <w:t xml:space="preserve">Communicate evidence honestly to technical and non-technical stakeholders, including uncertainty and limits of inference.</w:t>
      </w:r>
    </w:p>
    <w:p>
      <w:pPr>
        <w:shd w:fill="0E7C7B" w:val="clear"/>
        <w:spacing w:after="60" w:before="260"/>
      </w:pPr>
      <w:r>
        <w:rPr>
          <w:b/>
          <w:bCs/>
          <w:color w:val="FFFFFF"/>
          <w:sz w:val="26"/>
          <w:szCs w:val="26"/>
        </w:rPr>
        <w:t xml:space="preserve">  4. Navigating Sociotechnical Constraints</w:t>
      </w:r>
      <w:r>
        <w:rPr>
          <w:i/>
          <w:iCs/>
          <w:color w:val="FFFFFF"/>
          <w:sz w:val="22"/>
          <w:szCs w:val="22"/>
        </w:rPr>
        <w:t xml:space="preserve">  •  make it work in the real world  </w:t>
      </w:r>
    </w:p>
    <w:p>
      <w:pPr>
        <w:spacing w:after="90"/>
      </w:pPr>
      <w:r>
        <w:rPr>
          <w:i/>
          <w:iCs/>
          <w:color w:val="555555"/>
          <w:sz w:val="19"/>
          <w:szCs w:val="19"/>
        </w:rPr>
        <w:t xml:space="preserve">Formal domain: Context and Domain Fluency (CLO-4)</w:t>
      </w:r>
    </w:p>
    <w:p>
      <w:pPr>
        <w:spacing w:after="100"/>
      </w:pPr>
      <w:r>
        <w:rPr>
          <w:b/>
          <w:bCs/>
          <w:color w:val="0D1B3E"/>
          <w:sz w:val="21"/>
          <w:szCs w:val="21"/>
        </w:rPr>
        <w:t xml:space="preserve">Main objective. </w:t>
      </w:r>
      <w:r>
        <w:rPr>
          <w:sz w:val="21"/>
          <w:szCs w:val="21"/>
        </w:rPr>
        <w:t xml:space="preserve">Integrate capability interventions into the sociotechnical systems they must live in: the regulatory, organizational, cultural, and technical realities that determine whether good designs survive.</w:t>
      </w:r>
    </w:p>
    <w:p>
      <w:pPr>
        <w:spacing w:after="70"/>
        <w:ind w:left="360"/>
      </w:pPr>
      <w:r>
        <w:rPr>
          <w:b/>
          <w:bCs/>
          <w:color w:val="0E7C7B"/>
          <w:sz w:val="21"/>
          <w:szCs w:val="21"/>
        </w:rPr>
        <w:t xml:space="preserve">4.1  </w:t>
      </w:r>
      <w:r>
        <w:rPr>
          <w:sz w:val="21"/>
          <w:szCs w:val="21"/>
        </w:rPr>
        <w:t xml:space="preserve">Analyze the regulatory, organizational, cultural, and technical constraints that shape what can be built, deployed, and sustained in a given context.</w:t>
      </w:r>
    </w:p>
    <w:p>
      <w:pPr>
        <w:spacing w:after="70"/>
        <w:ind w:left="360"/>
      </w:pPr>
      <w:r>
        <w:rPr>
          <w:b/>
          <w:bCs/>
          <w:color w:val="0E7C7B"/>
          <w:sz w:val="21"/>
          <w:szCs w:val="21"/>
        </w:rPr>
        <w:t xml:space="preserve">4.2  </w:t>
      </w:r>
      <w:r>
        <w:rPr>
          <w:sz w:val="21"/>
          <w:szCs w:val="21"/>
        </w:rPr>
        <w:t xml:space="preserve">Apply human systems integration frameworks to fit capability interventions to operational environments.</w:t>
      </w:r>
    </w:p>
    <w:p>
      <w:pPr>
        <w:spacing w:after="70"/>
        <w:ind w:left="360"/>
      </w:pPr>
      <w:r>
        <w:rPr>
          <w:b/>
          <w:bCs/>
          <w:color w:val="0E7C7B"/>
          <w:sz w:val="21"/>
          <w:szCs w:val="21"/>
        </w:rPr>
        <w:t xml:space="preserve">4.3  </w:t>
      </w:r>
      <w:r>
        <w:rPr>
          <w:sz w:val="21"/>
          <w:szCs w:val="21"/>
        </w:rPr>
        <w:t xml:space="preserve">Leverage prior domain expertise, and respect for others', to elicit and validate specialist knowledge that surfaces constraints early.</w:t>
      </w:r>
    </w:p>
    <w:p>
      <w:pPr>
        <w:spacing w:after="70"/>
        <w:ind w:left="360"/>
      </w:pPr>
      <w:r>
        <w:rPr>
          <w:b/>
          <w:bCs/>
          <w:color w:val="0E7C7B"/>
          <w:sz w:val="21"/>
          <w:szCs w:val="21"/>
        </w:rPr>
        <w:t xml:space="preserve">4.4  </w:t>
      </w:r>
      <w:r>
        <w:rPr>
          <w:sz w:val="21"/>
          <w:szCs w:val="21"/>
        </w:rPr>
        <w:t xml:space="preserve">Translate constraints and stakeholder requirements across disciplinary and institutional boundaries into coherent design specifications.</w:t>
      </w:r>
    </w:p>
    <w:p>
      <w:pPr>
        <w:spacing w:after="70"/>
        <w:ind w:left="360"/>
      </w:pPr>
      <w:r>
        <w:rPr>
          <w:b/>
          <w:bCs/>
          <w:color w:val="0E7C7B"/>
          <w:sz w:val="21"/>
          <w:szCs w:val="21"/>
        </w:rPr>
        <w:t xml:space="preserve">4.5  </w:t>
      </w:r>
      <w:r>
        <w:rPr>
          <w:sz w:val="21"/>
          <w:szCs w:val="21"/>
        </w:rPr>
        <w:t xml:space="preserve">Anticipate adoption and sustainment barriers, and design interventions that survive them.</w:t>
      </w:r>
    </w:p>
    <w:p>
      <w:pPr>
        <w:shd w:fill="0E7C7B" w:val="clear"/>
        <w:spacing w:after="60" w:before="260"/>
      </w:pPr>
      <w:r>
        <w:rPr>
          <w:b/>
          <w:bCs/>
          <w:color w:val="FFFFFF"/>
          <w:sz w:val="26"/>
          <w:szCs w:val="26"/>
        </w:rPr>
        <w:t xml:space="preserve">  5. Machine Teaming and Adaptation</w:t>
      </w:r>
      <w:r>
        <w:rPr>
          <w:i/>
          <w:iCs/>
          <w:color w:val="FFFFFF"/>
          <w:sz w:val="22"/>
          <w:szCs w:val="22"/>
        </w:rPr>
        <w:t xml:space="preserve">  •  team with the machine  </w:t>
      </w:r>
    </w:p>
    <w:p>
      <w:pPr>
        <w:spacing w:after="90"/>
      </w:pPr>
      <w:r>
        <w:rPr>
          <w:i/>
          <w:iCs/>
          <w:color w:val="555555"/>
          <w:sz w:val="19"/>
          <w:szCs w:val="19"/>
        </w:rPr>
        <w:t xml:space="preserve">Formal domain: Human-AI Teaming and Adaptive Systems (CLO-5)</w:t>
      </w:r>
    </w:p>
    <w:p>
      <w:pPr>
        <w:spacing w:after="100"/>
      </w:pPr>
      <w:r>
        <w:rPr>
          <w:b/>
          <w:bCs/>
          <w:color w:val="0D1B3E"/>
          <w:sz w:val="21"/>
          <w:szCs w:val="21"/>
        </w:rPr>
        <w:t xml:space="preserve">Main objective. </w:t>
      </w:r>
      <w:r>
        <w:rPr>
          <w:sz w:val="21"/>
          <w:szCs w:val="21"/>
        </w:rPr>
        <w:t xml:space="preserve">Design human-AI partnerships that make people more capable, not less.</w:t>
      </w:r>
    </w:p>
    <w:p>
      <w:pPr>
        <w:spacing w:after="70"/>
        <w:ind w:left="360"/>
      </w:pPr>
      <w:r>
        <w:rPr>
          <w:b/>
          <w:bCs/>
          <w:color w:val="0E7C7B"/>
          <w:sz w:val="21"/>
          <w:szCs w:val="21"/>
        </w:rPr>
        <w:t xml:space="preserve">5.1  </w:t>
      </w:r>
      <w:r>
        <w:rPr>
          <w:sz w:val="21"/>
          <w:szCs w:val="21"/>
        </w:rPr>
        <w:t xml:space="preserve">Design human-AI teaming configurations that use AI as a creative partner while preserving and developing human agency.</w:t>
      </w:r>
    </w:p>
    <w:p>
      <w:pPr>
        <w:spacing w:after="70"/>
        <w:ind w:left="360"/>
      </w:pPr>
      <w:r>
        <w:rPr>
          <w:b/>
          <w:bCs/>
          <w:color w:val="0E7C7B"/>
          <w:sz w:val="21"/>
          <w:szCs w:val="21"/>
        </w:rPr>
        <w:t xml:space="preserve">5.2  </w:t>
      </w:r>
      <w:r>
        <w:rPr>
          <w:sz w:val="21"/>
          <w:szCs w:val="21"/>
        </w:rPr>
        <w:t xml:space="preserve">Evaluate the measured impact of AI-mediated learning on human performance: the gains AI enables and the risks it introduces, including automation bias and cognitive offloading.</w:t>
      </w:r>
    </w:p>
    <w:p>
      <w:pPr>
        <w:spacing w:after="70"/>
        <w:ind w:left="360"/>
      </w:pPr>
      <w:r>
        <w:rPr>
          <w:b/>
          <w:bCs/>
          <w:color w:val="0E7C7B"/>
          <w:sz w:val="21"/>
          <w:szCs w:val="21"/>
        </w:rPr>
        <w:t xml:space="preserve">5.3  </w:t>
      </w:r>
      <w:r>
        <w:rPr>
          <w:sz w:val="21"/>
          <w:szCs w:val="21"/>
        </w:rPr>
        <w:t xml:space="preserve">Recommend, with evidence, when AI augmentation improves versus degrades capability outcomes and operator agency.</w:t>
      </w:r>
    </w:p>
    <w:p>
      <w:pPr>
        <w:spacing w:after="70"/>
        <w:ind w:left="360"/>
      </w:pPr>
      <w:r>
        <w:rPr>
          <w:b/>
          <w:bCs/>
          <w:color w:val="0E7C7B"/>
          <w:sz w:val="21"/>
          <w:szCs w:val="21"/>
        </w:rPr>
        <w:t xml:space="preserve">5.4  </w:t>
      </w:r>
      <w:r>
        <w:rPr>
          <w:sz w:val="21"/>
          <w:szCs w:val="21"/>
        </w:rPr>
        <w:t xml:space="preserve">Specify learning and capability requirements for systems not yet fielded, working from design artifacts rather than operational experience.</w:t>
      </w:r>
    </w:p>
    <w:p>
      <w:pPr>
        <w:pStyle w:val="Heading1"/>
        <w:spacing w:after="120" w:before="280"/>
      </w:pPr>
      <w:r>
        <w:rPr>
          <w:b/>
          <w:bCs/>
          <w:color w:val="0D1B3E"/>
          <w:sz w:val="27"/>
          <w:szCs w:val="27"/>
        </w:rPr>
        <w:t xml:space="preserve">Crosswalk to Formal CLOs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400"/>
        <w:gridCol w:w="1200"/>
        <w:gridCol w:w="2660"/>
      </w:tblGrid>
      <w:tr>
        <w:trPr>
          <w:tblHeader/>
        </w:trPr>
        <w:tc>
          <w:tcPr>
            <w:tcW w:type="dxa" w:w="31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r>
              <w:rPr>
                <w:b/>
                <w:bCs/>
                <w:color w:val="FFFFFF"/>
                <w:sz w:val="19"/>
                <w:szCs w:val="19"/>
              </w:rPr>
              <w:t xml:space="preserve">Competency</w:t>
            </w:r>
          </w:p>
        </w:tc>
        <w:tc>
          <w:tcPr>
            <w:tcW w:type="dxa" w:w="24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r>
              <w:rPr>
                <w:b/>
                <w:bCs/>
                <w:color w:val="FFFFFF"/>
                <w:sz w:val="19"/>
                <w:szCs w:val="19"/>
              </w:rPr>
              <w:t xml:space="preserve">Tagline</w:t>
            </w:r>
          </w:p>
        </w:tc>
        <w:tc>
          <w:tcPr>
            <w:tcW w:type="dxa" w:w="12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r>
              <w:rPr>
                <w:b/>
                <w:bCs/>
                <w:color w:val="FFFFFF"/>
                <w:sz w:val="19"/>
                <w:szCs w:val="19"/>
              </w:rPr>
              <w:t xml:space="preserve">CLO</w:t>
            </w:r>
          </w:p>
        </w:tc>
        <w:tc>
          <w:tcPr>
            <w:tcW w:type="dxa" w:w="26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r>
              <w:rPr>
                <w:b/>
                <w:bCs/>
                <w:color w:val="FFFFFF"/>
                <w:sz w:val="19"/>
                <w:szCs w:val="19"/>
              </w:rPr>
              <w:t xml:space="preserve">Formal domain (program docs)</w:t>
            </w:r>
          </w:p>
        </w:tc>
      </w:tr>
      <w:tr>
        <w:tc>
          <w:tcPr>
            <w:tcW w:type="dxa" w:w="3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1. Systems Analysis</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i/>
                <w:iCs/>
                <w:sz w:val="19"/>
                <w:szCs w:val="19"/>
              </w:rPr>
              <w:t xml:space="preserve">see the whole system</w:t>
            </w:r>
          </w:p>
        </w:tc>
        <w:tc>
          <w:tcPr>
            <w:tcW w:type="dxa" w:w="1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CLO-1</w:t>
            </w:r>
          </w:p>
        </w:tc>
        <w:tc>
          <w:tcPr>
            <w:tcW w:type="dxa" w:w="26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Systems Thinking and Analysis</w:t>
            </w:r>
          </w:p>
        </w:tc>
      </w:tr>
      <w:tr>
        <w:tc>
          <w:tcPr>
            <w:tcW w:type="dxa" w:w="31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2. Iterative Development</w:t>
            </w:r>
          </w:p>
        </w:tc>
        <w:tc>
          <w:tcPr>
            <w:tcW w:type="dxa" w:w="24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i/>
                <w:iCs/>
                <w:sz w:val="19"/>
                <w:szCs w:val="19"/>
              </w:rPr>
              <w:t xml:space="preserve">build, test, refine</w:t>
            </w:r>
          </w:p>
        </w:tc>
        <w:tc>
          <w:tcPr>
            <w:tcW w:type="dxa" w:w="12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CLO-2</w:t>
            </w:r>
          </w:p>
        </w:tc>
        <w:tc>
          <w:tcPr>
            <w:tcW w:type="dxa" w:w="26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Learning Engineering Design and Implementation</w:t>
            </w:r>
          </w:p>
        </w:tc>
      </w:tr>
      <w:tr>
        <w:tc>
          <w:tcPr>
            <w:tcW w:type="dxa" w:w="3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3. Test and Evaluation</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i/>
                <w:iCs/>
                <w:sz w:val="19"/>
                <w:szCs w:val="19"/>
              </w:rPr>
              <w:t xml:space="preserve">show what works</w:t>
            </w:r>
          </w:p>
        </w:tc>
        <w:tc>
          <w:tcPr>
            <w:tcW w:type="dxa" w:w="1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CLO-3</w:t>
            </w:r>
          </w:p>
        </w:tc>
        <w:tc>
          <w:tcPr>
            <w:tcW w:type="dxa" w:w="26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Data, Measurement, and Evaluation</w:t>
            </w:r>
          </w:p>
        </w:tc>
      </w:tr>
      <w:tr>
        <w:tc>
          <w:tcPr>
            <w:tcW w:type="dxa" w:w="31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4. Navigating Sociotechnical Constraints</w:t>
            </w:r>
          </w:p>
        </w:tc>
        <w:tc>
          <w:tcPr>
            <w:tcW w:type="dxa" w:w="24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i/>
                <w:iCs/>
                <w:sz w:val="19"/>
                <w:szCs w:val="19"/>
              </w:rPr>
              <w:t xml:space="preserve">make it work in the real world</w:t>
            </w:r>
          </w:p>
        </w:tc>
        <w:tc>
          <w:tcPr>
            <w:tcW w:type="dxa" w:w="12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CLO-4</w:t>
            </w:r>
          </w:p>
        </w:tc>
        <w:tc>
          <w:tcPr>
            <w:tcW w:type="dxa" w:w="26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Context and Domain Fluency</w:t>
            </w:r>
          </w:p>
        </w:tc>
      </w:tr>
      <w:tr>
        <w:tc>
          <w:tcPr>
            <w:tcW w:type="dxa" w:w="31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5. Machine Teaming and Adaptation</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i/>
                <w:iCs/>
                <w:sz w:val="19"/>
                <w:szCs w:val="19"/>
              </w:rPr>
              <w:t xml:space="preserve">team with the machine</w:t>
            </w:r>
          </w:p>
        </w:tc>
        <w:tc>
          <w:tcPr>
            <w:tcW w:type="dxa" w:w="1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CLO-5</w:t>
            </w:r>
          </w:p>
        </w:tc>
        <w:tc>
          <w:tcPr>
            <w:tcW w:type="dxa" w:w="26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Human-AI Teaming and Adaptive Systems</w:t>
            </w:r>
          </w:p>
        </w:tc>
      </w:tr>
    </w:tbl>
    <w:p>
      <w:pPr>
        <w:spacing w:after="120"/>
      </w:pPr>
    </w:p>
    <w:p>
      <w:pPr>
        <w:spacing w:after="140"/>
      </w:pPr>
      <w:r>
        <w:rPr>
          <w:sz w:val="21"/>
          <w:szCs w:val="21"/>
        </w:rPr>
        <w:t xml:space="preserve">Every subobjective unbundles a sentence of the corresponding CLO, with two flagged additions: 3.4 (communicating uncertainty) makes explicit what the CLO language implies, and 5.4 (not-yet-fielded systems) elevates a positioning clause into an assessable subobjective. Competency 4's subobjectives are reordered from the CLO so that sociotechnical integration leads and domain expertise serves it; the CLO sentences are all still represented. If any addition creates friction with the documentation of record, drop the number and fold the language back; the scheme renumbers cleanly.</w:t>
      </w:r>
    </w:p>
    <w:p>
      <w:pPr>
        <w:pStyle w:val="Heading1"/>
        <w:spacing w:after="120" w:before="280"/>
      </w:pPr>
      <w:r>
        <w:rPr>
          <w:b/>
          <w:bCs/>
          <w:color w:val="0D1B3E"/>
          <w:sz w:val="27"/>
          <w:szCs w:val="27"/>
        </w:rPr>
        <w:t xml:space="preserve">Using the Tags</w:t>
      </w:r>
    </w:p>
    <w:p>
      <w:pPr>
        <w:spacing w:after="100"/>
      </w:pPr>
      <w:r>
        <w:rPr>
          <w:sz w:val="21"/>
          <w:szCs w:val="21"/>
        </w:rPr>
        <w:t xml:space="preserve">Each subobjective number is a stable tag. Three uses, immediately:</w:t>
      </w:r>
    </w:p>
    <w:p>
      <w:pPr>
        <w:pStyle w:val="ListParagraph"/>
        <w:numPr>
          <w:ilvl w:val="0"/>
          <w:numId w:val="2"/>
        </w:numPr>
        <w:spacing w:after="70"/>
      </w:pPr>
      <w:r>
        <w:rPr>
          <w:b/>
          <w:bCs/>
          <w:sz w:val="21"/>
          <w:szCs w:val="21"/>
        </w:rPr>
        <w:t xml:space="preserve">Case studies. </w:t>
      </w:r>
      <w:r>
        <w:rPr>
          <w:sz w:val="21"/>
          <w:szCs w:val="21"/>
        </w:rPr>
        <w:t xml:space="preserve">Each case in the book carries two coordinates: failure code(s) from the six-code taxonomy (what went wrong) and competency tags (what the case teaches). The pairing turns the case book into a searchable curriculum asset: every course module can pull the cases tagged to its subobjectives.</w:t>
      </w:r>
    </w:p>
    <w:p>
      <w:pPr>
        <w:pStyle w:val="ListParagraph"/>
        <w:numPr>
          <w:ilvl w:val="0"/>
          <w:numId w:val="2"/>
        </w:numPr>
        <w:spacing w:after="70"/>
      </w:pPr>
      <w:r>
        <w:rPr>
          <w:b/>
          <w:bCs/>
          <w:sz w:val="21"/>
          <w:szCs w:val="21"/>
        </w:rPr>
        <w:t xml:space="preserve">Capstone rubrics. </w:t>
      </w:r>
      <w:r>
        <w:rPr>
          <w:sz w:val="21"/>
          <w:szCs w:val="21"/>
        </w:rPr>
        <w:t xml:space="preserve">Rubric lines reference tags directly (the gap-attribution rubric line assesses 3.2), giving the attainment profile its evidence trail.</w:t>
      </w:r>
    </w:p>
    <w:p>
      <w:pPr>
        <w:pStyle w:val="ListParagraph"/>
        <w:numPr>
          <w:ilvl w:val="0"/>
          <w:numId w:val="2"/>
        </w:numPr>
        <w:spacing w:after="70"/>
      </w:pPr>
      <w:r>
        <w:rPr>
          <w:b/>
          <w:bCs/>
          <w:sz w:val="21"/>
          <w:szCs w:val="21"/>
        </w:rPr>
        <w:t xml:space="preserve">Recruiting and the site. </w:t>
      </w:r>
      <w:r>
        <w:rPr>
          <w:sz w:val="21"/>
          <w:szCs w:val="21"/>
        </w:rPr>
        <w:t xml:space="preserve">Taglines and main objectives are the public-facing layer for capabilitymatters.org and program one-pagers; formal names carry course documentation; the CLO table stays in the documentation of record.</w:t>
      </w:r>
    </w:p>
    <w:p>
      <w:pPr>
        <w:spacing w:after="100"/>
      </w:pPr>
      <w:r>
        <w:rPr>
          <w:sz w:val="21"/>
          <w:szCs w:val="21"/>
        </w:rPr>
        <w:t xml:space="preserve">Tagging pattern, illustrated: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760"/>
      </w:tblGrid>
      <w:tr>
        <w:trPr>
          <w:tblHeader/>
        </w:trPr>
        <w:tc>
          <w:tcPr>
            <w:tcW w:type="dxa" w:w="42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r>
              <w:rPr>
                <w:b/>
                <w:bCs/>
                <w:color w:val="FFFFFF"/>
                <w:sz w:val="19"/>
                <w:szCs w:val="19"/>
              </w:rPr>
              <w:t xml:space="preserve">Case study (illustrative)</w:t>
            </w:r>
          </w:p>
        </w:tc>
        <w:tc>
          <w:tcPr>
            <w:tcW w:type="dxa" w:w="240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r>
              <w:rPr>
                <w:b/>
                <w:bCs/>
                <w:color w:val="FFFFFF"/>
                <w:sz w:val="19"/>
                <w:szCs w:val="19"/>
              </w:rPr>
              <w:t xml:space="preserve">Failure code(s)</w:t>
            </w:r>
          </w:p>
        </w:tc>
        <w:tc>
          <w:tcPr>
            <w:tcW w:type="dxa" w:w="2760"/>
            <w:tcBorders>
              <w:top w:val="single" w:color="BBBBBB" w:sz="1"/>
              <w:left w:val="single" w:color="BBBBBB" w:sz="1"/>
              <w:bottom w:val="single" w:color="BBBBBB" w:sz="1"/>
              <w:right w:val="single" w:color="BBBBBB" w:sz="1"/>
            </w:tcBorders>
            <w:shd w:fill="0D1B3E" w:val="clear"/>
            <w:tcMar>
              <w:top w:type="dxa" w:w="70"/>
              <w:left w:type="dxa" w:w="110"/>
              <w:bottom w:type="dxa" w:w="70"/>
              <w:right w:type="dxa" w:w="110"/>
            </w:tcMar>
            <w:vAlign w:val="center"/>
          </w:tcPr>
          <w:p>
            <w:r>
              <w:rPr>
                <w:b/>
                <w:bCs/>
                <w:color w:val="FFFFFF"/>
                <w:sz w:val="19"/>
                <w:szCs w:val="19"/>
              </w:rPr>
              <w:t xml:space="preserve">Competency tags</w:t>
            </w:r>
          </w:p>
        </w:tc>
      </w:tr>
      <w:tr>
        <w:tc>
          <w:tcPr>
            <w:tcW w:type="dxa" w:w="4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Maintenance knowledge lost when expert technicians rotate out before successors are trained</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K (knowledge transfer)</w:t>
            </w:r>
          </w:p>
        </w:tc>
        <w:tc>
          <w:tcPr>
            <w:tcW w:type="dxa" w:w="2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1.1, 3.2, 4.3</w:t>
            </w:r>
          </w:p>
        </w:tc>
      </w:tr>
      <w:tr>
        <w:tc>
          <w:tcPr>
            <w:tcW w:type="dxa" w:w="42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Adaptive tutor optimizes time-on-task; field performance unchanged</w:t>
            </w:r>
          </w:p>
        </w:tc>
        <w:tc>
          <w:tcPr>
            <w:tcW w:type="dxa" w:w="24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D (design), G (gap)</w:t>
            </w:r>
          </w:p>
        </w:tc>
        <w:tc>
          <w:tcPr>
            <w:tcW w:type="dxa" w:w="27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3.1, 3.2, 2.3</w:t>
            </w:r>
          </w:p>
        </w:tc>
      </w:tr>
      <w:tr>
        <w:tc>
          <w:tcPr>
            <w:tcW w:type="dxa" w:w="4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Hospital deploys clinical decision support; nurses defer to it even when it is wrong</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H (human-AI), T (trust)</w:t>
            </w:r>
          </w:p>
        </w:tc>
        <w:tc>
          <w:tcPr>
            <w:tcW w:type="dxa" w:w="27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vAlign w:val="center"/>
          </w:tcPr>
          <w:p>
            <w:pPr>
              <w:jc w:val="left"/>
            </w:pPr>
            <w:r>
              <w:rPr>
                <w:sz w:val="19"/>
                <w:szCs w:val="19"/>
              </w:rPr>
              <w:t xml:space="preserve">5.2, 5.3, 1.2</w:t>
            </w:r>
          </w:p>
        </w:tc>
      </w:tr>
      <w:tr>
        <w:tc>
          <w:tcPr>
            <w:tcW w:type="dxa" w:w="42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Validated training system discontinued after sponsor reorganization; no sustainment owner</w:t>
            </w:r>
          </w:p>
        </w:tc>
        <w:tc>
          <w:tcPr>
            <w:tcW w:type="dxa" w:w="240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G (governance)</w:t>
            </w:r>
          </w:p>
        </w:tc>
        <w:tc>
          <w:tcPr>
            <w:tcW w:type="dxa" w:w="2760"/>
            <w:tcBorders>
              <w:top w:val="single" w:color="BBBBBB" w:sz="1"/>
              <w:left w:val="single" w:color="BBBBBB" w:sz="1"/>
              <w:bottom w:val="single" w:color="BBBBBB" w:sz="1"/>
              <w:right w:val="single" w:color="BBBBBB" w:sz="1"/>
            </w:tcBorders>
            <w:shd w:fill="F2F5F7" w:val="clear"/>
            <w:tcMar>
              <w:top w:type="dxa" w:w="70"/>
              <w:left w:type="dxa" w:w="110"/>
              <w:bottom w:type="dxa" w:w="70"/>
              <w:right w:type="dxa" w:w="110"/>
            </w:tcMar>
            <w:vAlign w:val="center"/>
          </w:tcPr>
          <w:p>
            <w:pPr>
              <w:jc w:val="left"/>
            </w:pPr>
            <w:r>
              <w:rPr>
                <w:sz w:val="19"/>
                <w:szCs w:val="19"/>
              </w:rPr>
              <w:t xml:space="preserve">4.1, 4.5, 2.4</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8922A" w:sz="12"/>
              <w:left w:val="single" w:color="C8922A" w:sz="12"/>
              <w:bottom w:val="single" w:color="C8922A" w:sz="12"/>
              <w:right w:val="single" w:color="C8922A" w:sz="12"/>
            </w:tcBorders>
            <w:shd w:fill="FDF8EF" w:val="clear"/>
            <w:tcMar>
              <w:top w:type="dxa" w:w="140"/>
              <w:left w:type="dxa" w:w="180"/>
              <w:bottom w:type="dxa" w:w="140"/>
              <w:right w:type="dxa" w:w="180"/>
            </w:tcMar>
          </w:tcPr>
          <w:p>
            <w:pPr>
              <w:spacing w:after="60"/>
            </w:pPr>
            <w:r>
              <w:rPr>
                <w:b/>
                <w:bCs/>
                <w:color w:val="0D1B3E"/>
                <w:sz w:val="21"/>
                <w:szCs w:val="21"/>
              </w:rPr>
              <w:t xml:space="preserve">The five, in one breath</w:t>
            </w:r>
          </w:p>
          <w:p>
            <w:r>
              <w:rPr>
                <w:i/>
                <w:iCs/>
                <w:sz w:val="22"/>
                <w:szCs w:val="22"/>
              </w:rPr>
              <w:t xml:space="preserve">See the whole system. Build, test, refine. Show what works. Make it work in the real world. Team with the machine.</w:t>
            </w:r>
          </w:p>
        </w:tc>
      </w:tr>
    </w:tbl>
    <w:sectPr>
      <w:pgSz w:w="12240" w:h="15840" w:orient="portrait"/>
      <w:pgMar w:top="1260" w:right="1350" w:bottom="126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0D1B3E"/>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2026-06-10T23:02:55.502Z</dcterms:created>
  <dcterms:modified xsi:type="dcterms:W3CDTF">2026-06-10T23:02:55.517Z</dcterms:modified>
</cp:coreProperties>
</file>

<file path=docProps/custom.xml><?xml version="1.0" encoding="utf-8"?>
<Properties xmlns="http://schemas.openxmlformats.org/officeDocument/2006/custom-properties" xmlns:vt="http://schemas.openxmlformats.org/officeDocument/2006/docPropsVTypes"/>
</file>