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color w:val="555555"/>
          <w:sz w:val="20"/>
          <w:szCs w:val="20"/>
        </w:rPr>
        <w:t xml:space="preserve">Learning Design and Technology — M.Ed. • Johns Hopkins School of Education</w:t>
      </w:r>
    </w:p>
    <w:p>
      <w:pPr>
        <w:spacing w:after="40"/>
      </w:pPr>
      <w:r>
        <w:rPr>
          <w:b/>
          <w:bCs/>
          <w:color w:val="0D1B3E"/>
          <w:sz w:val="34"/>
          <w:szCs w:val="34"/>
        </w:rPr>
        <w:t xml:space="preserve">LENS: Learning Engineering for Next-Generation Systems</w:t>
      </w:r>
    </w:p>
    <w:p>
      <w:pPr>
        <w:spacing w:after="100"/>
      </w:pPr>
      <w:r>
        <w:rPr>
          <w:color w:val="0E7C7B"/>
          <w:sz w:val="25"/>
          <w:szCs w:val="25"/>
        </w:rPr>
        <w:t xml:space="preserve">Learning Objectives and Course Mapping</w:t>
      </w:r>
    </w:p>
    <w:p>
      <w:pPr>
        <w:shd w:fill="0E7C7B" w:val="clear"/>
        <w:spacing w:after="240"/>
      </w:pPr>
      <w:r>
        <w:rPr>
          <w:b/>
          <w:bCs/>
          <w:color w:val="FFFFFF"/>
          <w:sz w:val="19"/>
          <w:szCs w:val="19"/>
        </w:rPr>
        <w:t xml:space="preserve">  Draft for discussion — Revised June 2026. Maps LDT program and LENS concentration learning objectives to the approved 10-course, 30-credit structure. PLO language is from the approved program documentation and should be verified against the MHEC filing (PP24181). Revision notes at end.  </w:t>
      </w:r>
    </w:p>
    <w:p>
      <w:pPr>
        <w:pStyle w:val="Heading1"/>
        <w:spacing w:after="120" w:before="280"/>
      </w:pPr>
      <w:r>
        <w:rPr>
          <w:b/>
          <w:bCs/>
          <w:color w:val="0D1B3E"/>
          <w:sz w:val="27"/>
          <w:szCs w:val="27"/>
        </w:rPr>
        <w:t xml:space="preserve">1. Program Context</w:t>
      </w:r>
    </w:p>
    <w:p>
      <w:pPr>
        <w:spacing w:after="140"/>
      </w:pPr>
      <w:r>
        <w:rPr>
          <w:sz w:val="21"/>
          <w:szCs w:val="21"/>
        </w:rPr>
        <w:t xml:space="preserve">The LDT M.Ed. is a 10-course, 30-credit, online/asynchronous master's degree in the School of Education. The program currently enrolls 28 students, primarily from K–12 education and adult education (training, instructional design). LDT comprises three concentrations: Learning Experience Design (LXD, currently operating), AI Leadership in Education (AILE, launching August 2026), and Learning Engineering (LENS, launching August 2026).</w:t>
      </w:r>
    </w:p>
    <w:p>
      <w:pPr>
        <w:spacing w:after="140"/>
      </w:pPr>
      <w:r>
        <w:rPr>
          <w:sz w:val="21"/>
          <w:szCs w:val="21"/>
        </w:rP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spacing w:after="140"/>
      </w:pPr>
      <w:r>
        <w:rPr>
          <w:b/>
          <w:bCs/>
          <w:sz w:val="21"/>
          <w:szCs w:val="21"/>
        </w:rPr>
        <w:t xml:space="preserve">Central concept: capability. </w:t>
      </w:r>
      <w:r>
        <w:rPr>
          <w:sz w:val="21"/>
          <w:szCs w:val="21"/>
        </w:rPr>
        <w:t xml:space="preserve">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spacing w:after="140"/>
      </w:pPr>
      <w:r>
        <w:rPr>
          <w:b/>
          <w:bCs/>
          <w:sz w:val="21"/>
          <w:szCs w:val="21"/>
        </w:rPr>
        <w:t xml:space="preserve">Students as domain experts. </w:t>
      </w:r>
      <w:r>
        <w:rPr>
          <w:sz w:val="21"/>
          <w:szCs w:val="21"/>
        </w:rPr>
        <w:t xml:space="preserve">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p>
      <w:pPr>
        <w:pStyle w:val="Heading1"/>
        <w:spacing w:after="120" w:before="280"/>
      </w:pPr>
      <w:r>
        <w:rPr>
          <w:b/>
          <w:bCs/>
          <w:color w:val="0D1B3E"/>
          <w:sz w:val="27"/>
          <w:szCs w:val="27"/>
        </w:rPr>
        <w:t xml:space="preserve">2. Program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1500"/>
        <w:gridCol w:w="1760"/>
      </w:tblGrid>
      <w:tr>
        <w:trPr>
          <w:tblHeader/>
        </w:trPr>
        <w:tc>
          <w:tcPr>
            <w:tcW w:type="dxa" w:w="37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Block</w:t>
            </w:r>
          </w:p>
        </w:tc>
        <w:tc>
          <w:tcPr>
            <w:tcW w:type="dxa" w:w="24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Courses</w:t>
            </w:r>
          </w:p>
        </w:tc>
        <w:tc>
          <w:tcPr>
            <w:tcW w:type="dxa" w:w="15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Credits</w:t>
            </w:r>
          </w:p>
        </w:tc>
        <w:tc>
          <w:tcPr>
            <w:tcW w:type="dxa" w:w="17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Slots</w:t>
            </w:r>
          </w:p>
        </w:tc>
      </w:tr>
      <w:tr>
        <w:tc>
          <w:tcPr>
            <w:tcW w:type="dxa" w:w="37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Foundations (shared LDT)</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F1, F2</w:t>
            </w:r>
          </w:p>
        </w:tc>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6</w:t>
            </w:r>
          </w:p>
        </w:tc>
        <w:tc>
          <w:tcPr>
            <w:tcW w:type="dxa" w:w="1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2</w:t>
            </w:r>
          </w:p>
        </w:tc>
      </w:tr>
      <w:tr>
        <w:tc>
          <w:tcPr>
            <w:tcW w:type="dxa" w:w="37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Concentration (LENS, sequential)</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LEN 1, 2, 3</w:t>
            </w:r>
          </w:p>
        </w:tc>
        <w:tc>
          <w:tcPr>
            <w:tcW w:type="dxa" w:w="15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9</w:t>
            </w:r>
          </w:p>
        </w:tc>
        <w:tc>
          <w:tcPr>
            <w:tcW w:type="dxa" w:w="1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3</w:t>
            </w:r>
          </w:p>
        </w:tc>
      </w:tr>
      <w:tr>
        <w:tc>
          <w:tcPr>
            <w:tcW w:type="dxa" w:w="37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Methods (LENS-specific)</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LEN 4, 6</w:t>
            </w:r>
          </w:p>
        </w:tc>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6</w:t>
            </w:r>
          </w:p>
        </w:tc>
        <w:tc>
          <w:tcPr>
            <w:tcW w:type="dxa" w:w="1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2</w:t>
            </w:r>
          </w:p>
        </w:tc>
      </w:tr>
      <w:tr>
        <w:tc>
          <w:tcPr>
            <w:tcW w:type="dxa" w:w="37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Capstone</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LEN 10</w:t>
            </w:r>
          </w:p>
        </w:tc>
        <w:tc>
          <w:tcPr>
            <w:tcW w:type="dxa" w:w="15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3</w:t>
            </w:r>
          </w:p>
        </w:tc>
        <w:tc>
          <w:tcPr>
            <w:tcW w:type="dxa" w:w="1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1</w:t>
            </w:r>
          </w:p>
        </w:tc>
      </w:tr>
      <w:tr>
        <w:tc>
          <w:tcPr>
            <w:tcW w:type="dxa" w:w="37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Electives (university-wide, with advisor)</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Any 2</w:t>
            </w:r>
          </w:p>
        </w:tc>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6</w:t>
            </w:r>
          </w:p>
        </w:tc>
        <w:tc>
          <w:tcPr>
            <w:tcW w:type="dxa" w:w="1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2</w:t>
            </w:r>
          </w:p>
        </w:tc>
      </w:tr>
      <w:tr>
        <w:tc>
          <w:tcPr>
            <w:tcW w:type="dxa" w:w="37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b/>
                <w:bCs/>
                <w:sz w:val="19"/>
                <w:szCs w:val="19"/>
              </w:rPr>
              <w:t xml:space="preserve">Total</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b/>
                <w:bCs/>
                <w:sz w:val="19"/>
                <w:szCs w:val="19"/>
              </w:rPr>
              <w:t xml:space="preserve">30</w:t>
            </w:r>
          </w:p>
        </w:tc>
        <w:tc>
          <w:tcPr>
            <w:tcW w:type="dxa" w:w="1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b/>
                <w:bCs/>
                <w:sz w:val="19"/>
                <w:szCs w:val="19"/>
              </w:rPr>
              <w:t xml:space="preserve">10</w:t>
            </w:r>
          </w:p>
        </w:tc>
      </w:tr>
    </w:tbl>
    <w:p>
      <w:pPr>
        <w:spacing w:after="120"/>
      </w:pPr>
      <w:r>
        <w:rPr>
          <w:b/>
          <w:bCs/>
          <w:sz w:val="21"/>
          <w:szCs w:val="21"/>
        </w:rPr>
        <w:t xml:space="preserve">LENS-designed courses: </w:t>
      </w:r>
      <w:r>
        <w:rPr>
          <w:sz w:val="21"/>
          <w:szCs w:val="21"/>
        </w:rPr>
        <w:t xml:space="preserve">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spacing w:after="120"/>
      </w:pPr>
      <w:r>
        <w:rPr>
          <w:b/>
          <w:bCs/>
          <w:sz w:val="21"/>
          <w:szCs w:val="21"/>
        </w:rPr>
        <w:t xml:space="preserve">Methods: </w:t>
      </w:r>
      <w:r>
        <w:rPr>
          <w:sz w:val="21"/>
          <w:szCs w:val="21"/>
        </w:rPr>
        <w:t xml:space="preserve">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spacing w:after="140"/>
      </w:pPr>
      <w:r>
        <w:rPr>
          <w:b/>
          <w:bCs/>
          <w:sz w:val="21"/>
          <w:szCs w:val="21"/>
        </w:rPr>
        <w:t xml:space="preserve">Sequencing: </w:t>
      </w:r>
      <w:r>
        <w:rPr>
          <w:sz w:val="21"/>
          <w:szCs w:val="21"/>
        </w:rPr>
        <w:t xml:space="preserve">LEN 1 → LEN 2 → LEN 3 must be taken in order. LEN 6 requires the concentration courses or concurrent enrollment. LEN 10 (capstone) is the culminating course.</w:t>
      </w:r>
    </w:p>
    <w:p>
      <w:pPr>
        <w:pStyle w:val="Heading1"/>
        <w:spacing w:after="120" w:before="280"/>
      </w:pPr>
      <w:r>
        <w:rPr>
          <w:b/>
          <w:bCs/>
          <w:color w:val="0D1B3E"/>
          <w:sz w:val="27"/>
          <w:szCs w:val="27"/>
        </w:rPr>
        <w:t xml:space="preserve">3. LDT Program Learning Objectives</w:t>
      </w:r>
    </w:p>
    <w:p>
      <w:pPr>
        <w:spacing w:after="120"/>
      </w:pPr>
      <w:r>
        <w:rPr>
          <w:sz w:val="21"/>
          <w:szCs w:val="21"/>
        </w:rPr>
        <w:t xml:space="preserve">The following program-level objectives apply across all LDT concentrations (LXD, LENS, AILE). Every required LENS course addresses at least one 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360"/>
      </w:tblGrid>
      <w:tr>
        <w:trPr>
          <w:tblHeader/>
        </w:trPr>
        <w:tc>
          <w:tcPr>
            <w:tcW w:type="dxa" w:w="9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ID</w:t>
            </w:r>
          </w:p>
        </w:tc>
        <w:tc>
          <w:tcPr>
            <w:tcW w:type="dxa" w:w="21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Domain</w:t>
            </w:r>
          </w:p>
        </w:tc>
        <w:tc>
          <w:tcPr>
            <w:tcW w:type="dxa" w:w="63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Objective</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Theory and Evidence</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Integration of theoretical and empirical evidence from the learning sciences, media, and technology to design effective digital learning experiences and solutions. Includes: differentiating theories from the learning sciences; using digital technologies to develop learning experiences; analyzing and evaluating design options; justifying decisions based on theory, models, or evidence; designing and deploying solutions grounded in learning sciences.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PLO-2</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Ethical and Human-Centered Solutions</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Creation of learning solutions that are ethical, inclusive, and focused on the diverse needs of learners, adhering to best practices and industry standards. Includes: identifying diverse learner needs; applying systematic models and systems thinking; evaluating solutions for equity and inclusivity; designing accessible, inclusive, and flexible technology-supported experiences.</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PLO-3</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Collaboration and Leadership</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Effective collaboration with stakeholders and leadership in the design, implementation, and evaluation of educational technology solutions. Includes: collaborating constructively with involved parties; communicating shared visions; leading quality assurance efforts; leading ongoing evaluation; developing evidence-based solutions using appropriate technologies.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PLO-4</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Communication Competence</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Communicating design and pedagogical decisions effectively using various media and tailored to diverse audiences. Includes: crafting effective messages in written, verbal, and visual modalities; articulating and justifying pedagogical, design, and development decisions; communicating with invested parties to facilitate design and development.</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PLO-5</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Sociocultural Aspects</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Analysis of sociocultural factors, including power dynamics and privilege, and developing solutions to mitigate inequities in educational technology. Includes: analyzing how socioeconomic systems influence technology adoption; evaluating power dynamics and privilege; developing solutions to address injustices; designing equitable, inclusive, and accessible systems.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PLO-6</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Data-Informed Design</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Using data to inform the design, development, and evaluation of learning experiences and technology-supported solutions. Includes: collecting data using evaluation and research methods; using data to revise designs for continuous improvement; analyzing educational data using qualitative, quantitative, and mixed methods; designing comprehensive data collection and analysis efforts.</w:t>
            </w:r>
          </w:p>
        </w:tc>
      </w:tr>
    </w:tbl>
    <w:p>
      <w:pPr>
        <w:pStyle w:val="Heading1"/>
        <w:spacing w:after="120" w:before="280"/>
      </w:pPr>
      <w:r>
        <w:rPr>
          <w:b/>
          <w:bCs/>
          <w:color w:val="0D1B3E"/>
          <w:sz w:val="27"/>
          <w:szCs w:val="27"/>
        </w:rPr>
        <w:t xml:space="preserve">4. LENS Concentration Learning Objectives</w:t>
      </w:r>
    </w:p>
    <w:p>
      <w:pPr>
        <w:spacing w:after="120"/>
      </w:pPr>
      <w:r>
        <w:rPr>
          <w:sz w:val="21"/>
          <w:szCs w:val="21"/>
        </w:rPr>
        <w:t xml:space="preserve">LENS graduates demonstrate competency across five domains. Each concentration-level objective (CLO) is written at the Analyze, Evaluate, or Create level of Bloom's taxonomy and is structured for direct assessment. Four threads are woven across all CLOs: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CLO.</w:t>
      </w:r>
    </w:p>
    <w:p>
      <w:pPr>
        <w:spacing w:after="120"/>
      </w:pPr>
      <w:r>
        <w:rPr>
          <w:i/>
          <w:iCs/>
          <w:sz w:val="21"/>
          <w:szCs w:val="21"/>
        </w:rPr>
        <w:t xml:space="preserve">The five domains align with the learning engineering competency framework under development with the IEEE ICICLE community. Elements not yet field consensus (gap attribution in CLO-3; sociotechnical integration in CLO-4; human-AI teaming in CLO-5) are LENS's proposed extensions to that framework, and LENS capstone evidence is offered toward their validation.</w:t>
      </w:r>
    </w:p>
    <w:p>
      <w:pPr>
        <w:spacing w:after="120"/>
      </w:pPr>
      <w:r>
        <w:rPr>
          <w:i/>
          <w:iCs/>
          <w:sz w:val="21"/>
          <w:szCs w:val="21"/>
        </w:rPr>
        <w:t xml:space="preserve">Each CLO carries an accessible competency name and tagline used in recruiting and the casebook: CLO-1 Systems Analysis (see the whole system); CLO-2 Iterative Development (build, test, refine); CLO-3 Test and Evaluation (show what works); CLO-4 Navigating Sociotechnical Constraints (make it work in the real world); CLO-5 Machine Teaming and Adaptation (team with the machine). Each CLO decomposes into numbered subobjectives (e.g., 3.2 gap attribution) that serve as stable tags for case studies, course modules, and capstone rubrics; the subobjective set is maintained in the companion competencies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6360"/>
      </w:tblGrid>
      <w:tr>
        <w:trPr>
          <w:tblHeader/>
        </w:trPr>
        <w:tc>
          <w:tcPr>
            <w:tcW w:type="dxa" w:w="9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ID</w:t>
            </w:r>
          </w:p>
        </w:tc>
        <w:tc>
          <w:tcPr>
            <w:tcW w:type="dxa" w:w="21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Competency Domain</w:t>
            </w:r>
          </w:p>
        </w:tc>
        <w:tc>
          <w:tcPr>
            <w:tcW w:type="dxa" w:w="63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Graduates will be able to…</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Systems Thinking and Analysis</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CLO-2</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Learning Engineering Design and Implementation</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Design capability development interventions through iterative engineering cycles (design, instrument, evaluate, refine)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Data, Measurement, and Evaluation</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Differentiate capability gaps attributable to human development from those attributable to system design or organizational performance, and communicate findings to technical and non-technical stakeholders.</w:t>
            </w:r>
          </w:p>
        </w:tc>
      </w:tr>
      <w:tr>
        <w:tc>
          <w:tcPr>
            <w:tcW w:type="dxa" w:w="9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CLO-4</w:t>
            </w:r>
          </w:p>
        </w:tc>
        <w:tc>
          <w:tcPr>
            <w:tcW w:type="dxa" w:w="2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Navigating Sociotechnical Constraints</w:t>
            </w:r>
          </w:p>
        </w:tc>
        <w:tc>
          <w:tcPr>
            <w:tcW w:type="dxa" w:w="63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healthcare, defense, or education contexts.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p>
        </w:tc>
      </w:tr>
      <w:tr>
        <w:tc>
          <w:tcPr>
            <w:tcW w:type="dxa" w:w="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CLO-5</w:t>
            </w:r>
          </w:p>
        </w:tc>
        <w:tc>
          <w:tcPr>
            <w:tcW w:type="dxa" w:w="2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Human-AI Teaming and Adaptive Systems</w:t>
            </w:r>
          </w:p>
        </w:tc>
        <w:tc>
          <w:tcPr>
            <w:tcW w:type="dxa" w:w="6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Design human-AI teaming configurations that leverage AI as a creative partner in capability development while preserving and developing human agency: the capacity to exercise independent judgment, adapt to novel conditions, and shape the systems operators work within. Evaluate the measurable impact of AI-mediated learning systems on human performance, assessing both the gains AI enables and the risks it introduces, including automation bias and cognitive offloading. Communicate evidence-based recommendations for when AI augmentation improves versus degrades capability development outcomes and operator agency.</w:t>
            </w:r>
          </w:p>
        </w:tc>
      </w:tr>
    </w:tbl>
    <w:p>
      <w:pPr>
        <w:pStyle w:val="Heading1"/>
        <w:spacing w:after="120" w:before="280"/>
      </w:pPr>
      <w:r>
        <w:rPr>
          <w:b/>
          <w:bCs/>
          <w:color w:val="0D1B3E"/>
          <w:sz w:val="27"/>
          <w:szCs w:val="27"/>
        </w:rPr>
        <w:t xml:space="preserve">5. Course Descriptions and Objectives Mapping</w:t>
      </w:r>
    </w:p>
    <w:p>
      <w:pPr>
        <w:pStyle w:val="Heading2"/>
        <w:spacing w:after="100" w:before="220"/>
      </w:pPr>
      <w:r>
        <w:rPr>
          <w:b/>
          <w:bCs/>
          <w:color w:val="0E7C7B"/>
          <w:sz w:val="23"/>
          <w:szCs w:val="23"/>
        </w:rPr>
        <w:t xml:space="preserve">5.1 Foundation Courses (shared LDT, 6 credits)</w:t>
      </w:r>
    </w:p>
    <w:p>
      <w:pPr>
        <w:spacing w:after="30" w:before="180"/>
      </w:pPr>
      <w:r>
        <w:rPr>
          <w:b/>
          <w:bCs/>
          <w:color w:val="0D1B3E"/>
          <w:sz w:val="22"/>
          <w:szCs w:val="22"/>
        </w:rPr>
        <w:t xml:space="preserve">LDT F1: Learning Sciences Studio</w:t>
      </w:r>
    </w:p>
    <w:p>
      <w:pPr>
        <w:spacing w:after="80"/>
      </w:pPr>
      <w:r>
        <w:rPr>
          <w:i/>
          <w:iCs/>
          <w:color w:val="555555"/>
          <w:sz w:val="19"/>
          <w:szCs w:val="19"/>
        </w:rPr>
        <w:t xml:space="preserve">Foundation (Required, Shared) • 3 credits</w:t>
      </w:r>
    </w:p>
    <w:p>
      <w:pPr>
        <w:spacing w:after="100"/>
      </w:pPr>
      <w:r>
        <w:rPr>
          <w:sz w:val="21"/>
          <w:szCs w:val="21"/>
        </w:rP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PLO-2</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CLO-2</w:t>
            </w:r>
          </w:p>
        </w:tc>
      </w:tr>
    </w:tbl>
    <w:p>
      <w:pPr>
        <w:spacing w:after="30" w:before="180"/>
      </w:pPr>
      <w:r>
        <w:rPr>
          <w:b/>
          <w:bCs/>
          <w:color w:val="0D1B3E"/>
          <w:sz w:val="22"/>
          <w:szCs w:val="22"/>
        </w:rPr>
        <w:t xml:space="preserve">LDT F2: Critical Perspectives on Educational Technology</w:t>
      </w:r>
    </w:p>
    <w:p>
      <w:pPr>
        <w:spacing w:after="80"/>
      </w:pPr>
      <w:r>
        <w:rPr>
          <w:i/>
          <w:iCs/>
          <w:color w:val="555555"/>
          <w:sz w:val="19"/>
          <w:szCs w:val="19"/>
        </w:rPr>
        <w:t xml:space="preserve">Foundation (Required, Shared) • 3 credits</w:t>
      </w:r>
    </w:p>
    <w:p>
      <w:pPr>
        <w:spacing w:after="100"/>
      </w:pPr>
      <w:r>
        <w:rPr>
          <w:sz w:val="21"/>
          <w:szCs w:val="21"/>
        </w:rP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CLO-4</w:t>
            </w:r>
          </w:p>
        </w:tc>
      </w:tr>
    </w:tbl>
    <w:p>
      <w:pPr>
        <w:pStyle w:val="Heading2"/>
        <w:spacing w:after="100" w:before="220"/>
      </w:pPr>
      <w:r>
        <w:rPr>
          <w:b/>
          <w:bCs/>
          <w:color w:val="0E7C7B"/>
          <w:sz w:val="23"/>
          <w:szCs w:val="23"/>
        </w:rPr>
        <w:t xml:space="preserve">5.2 Concentration Courses (LENS sequential core, 9 credits)</w:t>
      </w:r>
    </w:p>
    <w:p>
      <w:pPr>
        <w:spacing w:after="30" w:before="180"/>
      </w:pPr>
      <w:r>
        <w:rPr>
          <w:b/>
          <w:bCs/>
          <w:color w:val="0D1B3E"/>
          <w:sz w:val="22"/>
          <w:szCs w:val="22"/>
        </w:rPr>
        <w:t xml:space="preserve">LEN 1: Principles of Learning Engineering for Complex Systems</w:t>
      </w:r>
    </w:p>
    <w:p>
      <w:pPr>
        <w:spacing w:after="80"/>
      </w:pPr>
      <w:r>
        <w:rPr>
          <w:i/>
          <w:iCs/>
          <w:color w:val="555555"/>
          <w:sz w:val="19"/>
          <w:szCs w:val="19"/>
        </w:rPr>
        <w:t xml:space="preserve">Concentration 1 (Required, Sequential) • 3 credits</w:t>
      </w:r>
    </w:p>
    <w:p>
      <w:pPr>
        <w:spacing w:after="100"/>
      </w:pPr>
      <w:r>
        <w:rPr>
          <w:sz w:val="21"/>
          <w:szCs w:val="21"/>
        </w:rP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(design, instrument,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PLO-2, PLO-3</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CLO-2</w:t>
            </w:r>
          </w:p>
        </w:tc>
      </w:tr>
    </w:tbl>
    <w:p>
      <w:pPr>
        <w:spacing w:after="30" w:before="180"/>
      </w:pPr>
      <w:r>
        <w:rPr>
          <w:b/>
          <w:bCs/>
          <w:color w:val="0D1B3E"/>
          <w:sz w:val="22"/>
          <w:szCs w:val="22"/>
        </w:rPr>
        <w:t xml:space="preserve">LEN 2: Human-AI Teaming and Adaptive Learning Systems</w:t>
      </w:r>
    </w:p>
    <w:p>
      <w:pPr>
        <w:spacing w:after="80"/>
      </w:pPr>
      <w:r>
        <w:rPr>
          <w:i/>
          <w:iCs/>
          <w:color w:val="555555"/>
          <w:sz w:val="19"/>
          <w:szCs w:val="19"/>
        </w:rPr>
        <w:t xml:space="preserve">Concentration 2 (Required, Sequential) • 3 credits</w:t>
      </w:r>
    </w:p>
    <w:p>
      <w:pPr>
        <w:spacing w:after="100"/>
      </w:pPr>
      <w:r>
        <w:rPr>
          <w:sz w:val="21"/>
          <w:szCs w:val="21"/>
        </w:rPr>
        <w:t xml:space="preserve">Second course in the LENS concentration sequence. Examines human-AI teaming as a design challenge for capability development. Students explore AI as a creative partner (generating, adapting, and evaluating learning interventions) while assessing the measurable impacts of AI on human performance. Design work proceeds through rapid iteration: students prototype, instrument, and refine AI-mediated learning configurations against measured human performance. Develops evidence-based frameworks for reasoning about AI-mediated learning under uncertainty, with explicit attention to automation bias, cognitive offloading, and the conditions under which AI augmentation helps versus harms. Students communicate AI risk and opportunity assessments to non-technical stakeholders. Builds on the systems principles established in LEN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PLO-2, PLO-4,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CLO-5</w:t>
            </w:r>
          </w:p>
        </w:tc>
      </w:tr>
    </w:tbl>
    <w:p>
      <w:pPr>
        <w:spacing w:after="30" w:before="180"/>
      </w:pPr>
      <w:r>
        <w:rPr>
          <w:b/>
          <w:bCs/>
          <w:color w:val="0D1B3E"/>
          <w:sz w:val="22"/>
          <w:szCs w:val="22"/>
        </w:rPr>
        <w:t xml:space="preserve">LEN 3: Learning Engineering Systems</w:t>
      </w:r>
    </w:p>
    <w:p>
      <w:pPr>
        <w:spacing w:after="80"/>
      </w:pPr>
      <w:r>
        <w:rPr>
          <w:i/>
          <w:iCs/>
          <w:color w:val="555555"/>
          <w:sz w:val="19"/>
          <w:szCs w:val="19"/>
        </w:rPr>
        <w:t xml:space="preserve">Concentration 3 (Required, Sequential) • 3 credits</w:t>
      </w:r>
    </w:p>
    <w:p>
      <w:pPr>
        <w:spacing w:after="100"/>
      </w:pPr>
      <w:r>
        <w:rPr>
          <w:sz w:val="21"/>
          <w:szCs w:val="21"/>
        </w:rPr>
        <w:t xml:space="preserve">Third course in the LENS concentration sequence. Applies human systems integration frameworks, systems engineering principles, and sociotechnical analysis to capability development in high-consequence operational environments. Healthcare, defense, and education are treated as co-equal domains.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analyze the measurable impact of capability interventions on operational outcomes, navigate regulatory, organizational, and cultural contexts, and communicate system-level design decisions and evidence across disciplinary and institutional boundaries. Integrates systems thinking from LEN 1 with the AI teaming frameworks from LEN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PLO-3, PLO-4,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CLO-4</w:t>
            </w:r>
          </w:p>
        </w:tc>
      </w:tr>
    </w:tbl>
    <w:p>
      <w:pPr>
        <w:pStyle w:val="Heading2"/>
        <w:spacing w:after="100" w:before="220"/>
      </w:pPr>
      <w:r>
        <w:rPr>
          <w:b/>
          <w:bCs/>
          <w:color w:val="0E7C7B"/>
          <w:sz w:val="23"/>
          <w:szCs w:val="23"/>
        </w:rPr>
        <w:t xml:space="preserve">5.3 Methods Courses (LENS-specific, 6 credits)</w:t>
      </w:r>
    </w:p>
    <w:p>
      <w:pPr>
        <w:spacing w:after="30" w:before="180"/>
      </w:pPr>
      <w:r>
        <w:rPr>
          <w:b/>
          <w:bCs/>
          <w:color w:val="0D1B3E"/>
          <w:sz w:val="22"/>
          <w:szCs w:val="22"/>
        </w:rPr>
        <w:t xml:space="preserve">LEN 6: Applied Problem Solving in Learning Engineering</w:t>
      </w:r>
    </w:p>
    <w:p>
      <w:pPr>
        <w:spacing w:after="80"/>
      </w:pPr>
      <w:r>
        <w:rPr>
          <w:i/>
          <w:iCs/>
          <w:color w:val="555555"/>
          <w:sz w:val="19"/>
          <w:szCs w:val="19"/>
        </w:rPr>
        <w:t xml:space="preserve">Methods 1 (Required) • 3 credits</w:t>
      </w:r>
    </w:p>
    <w:p>
      <w:pPr>
        <w:spacing w:after="100"/>
      </w:pPr>
      <w:r>
        <w:rPr>
          <w:sz w:val="21"/>
          <w:szCs w:val="21"/>
        </w:rP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healthcare, defense, and education contexts.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PLO-3,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CLO-2, CLO-4</w:t>
            </w:r>
          </w:p>
        </w:tc>
      </w:tr>
    </w:tbl>
    <w:p>
      <w:pPr>
        <w:spacing w:after="30" w:before="180"/>
      </w:pPr>
      <w:r>
        <w:rPr>
          <w:b/>
          <w:bCs/>
          <w:color w:val="0D1B3E"/>
          <w:sz w:val="22"/>
          <w:szCs w:val="22"/>
        </w:rPr>
        <w:t xml:space="preserve">LEN 4: Evidence, Analytics, and Measurement for High-Consequence Domains</w:t>
      </w:r>
    </w:p>
    <w:p>
      <w:pPr>
        <w:spacing w:after="80"/>
      </w:pPr>
      <w:r>
        <w:rPr>
          <w:i/>
          <w:iCs/>
          <w:color w:val="555555"/>
          <w:sz w:val="19"/>
          <w:szCs w:val="19"/>
        </w:rPr>
        <w:t xml:space="preserve">Methods 2 (Required) • 3 credits</w:t>
      </w:r>
    </w:p>
    <w:p>
      <w:pPr>
        <w:spacing w:after="100"/>
      </w:pPr>
      <w:r>
        <w:rPr>
          <w:sz w:val="21"/>
          <w:szCs w:val="21"/>
        </w:rP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gap attribution (distinguishing capability gaps rooted in human development from those rooted in system design or organizational performance); learning analytics pipelines that sustain rapid evidence cycles and close the loop between measurement and design revision; communicating evidence to technical and non-technical decision-makers.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w:t>
            </w:r>
          </w:p>
        </w:tc>
      </w:tr>
    </w:tbl>
    <w:p>
      <w:pPr>
        <w:pStyle w:val="Heading2"/>
        <w:spacing w:after="100" w:before="220"/>
      </w:pPr>
      <w:r>
        <w:rPr>
          <w:b/>
          <w:bCs/>
          <w:color w:val="0E7C7B"/>
          <w:sz w:val="23"/>
          <w:szCs w:val="23"/>
        </w:rPr>
        <w:t xml:space="preserve">5.4 Capstone (3 credits)</w:t>
      </w:r>
    </w:p>
    <w:p>
      <w:pPr>
        <w:spacing w:after="30" w:before="180"/>
      </w:pPr>
      <w:r>
        <w:rPr>
          <w:b/>
          <w:bCs/>
          <w:color w:val="0D1B3E"/>
          <w:sz w:val="22"/>
          <w:szCs w:val="22"/>
        </w:rPr>
        <w:t xml:space="preserve">LEN 10: Learning Engineering Project</w:t>
      </w:r>
    </w:p>
    <w:p>
      <w:pPr>
        <w:spacing w:after="80"/>
      </w:pPr>
      <w:r>
        <w:rPr>
          <w:i/>
          <w:iCs/>
          <w:color w:val="555555"/>
          <w:sz w:val="19"/>
          <w:szCs w:val="19"/>
        </w:rPr>
        <w:t xml:space="preserve">Capstone (Required) • 3 credits</w:t>
      </w:r>
    </w:p>
    <w:p>
      <w:pPr>
        <w:spacing w:after="100"/>
      </w:pPr>
      <w:r>
        <w:rPr>
          <w:sz w:val="21"/>
          <w:szCs w:val="21"/>
        </w:rP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(design, instrument,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Integrates all five competency domains. Signature deliverables communicate findings to multiple audiences: evidence dashboard, reproducible report, and governance/ethics plan. Portfolio-quality standards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PLO-3,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CLO-2, CLO-3, CLO-4, CLO-5</w:t>
            </w:r>
          </w:p>
        </w:tc>
      </w:tr>
    </w:tbl>
    <w:p>
      <w:pPr>
        <w:pStyle w:val="Heading2"/>
        <w:spacing w:after="100" w:before="220"/>
      </w:pPr>
      <w:r>
        <w:rPr>
          <w:b/>
          <w:bCs/>
          <w:color w:val="0E7C7B"/>
          <w:sz w:val="23"/>
          <w:szCs w:val="23"/>
        </w:rPr>
        <w:t xml:space="preserve">5.5 LENS Electives (students choose 2; LEN 5 and LEN 9 recommended)</w:t>
      </w:r>
    </w:p>
    <w:p>
      <w:pPr>
        <w:spacing w:after="30" w:before="180"/>
      </w:pPr>
      <w:r>
        <w:rPr>
          <w:b/>
          <w:bCs/>
          <w:color w:val="0D1B3E"/>
          <w:sz w:val="22"/>
          <w:szCs w:val="22"/>
        </w:rPr>
        <w:t xml:space="preserve">LEN 5: Human Capability Analysis and Requirements</w:t>
      </w:r>
    </w:p>
    <w:p>
      <w:pPr>
        <w:spacing w:after="80"/>
      </w:pPr>
      <w:r>
        <w:rPr>
          <w:i/>
          <w:iCs/>
          <w:color w:val="555555"/>
          <w:sz w:val="19"/>
          <w:szCs w:val="19"/>
        </w:rPr>
        <w:t xml:space="preserve">Elective (Recommended) • 3 credits</w:t>
      </w:r>
    </w:p>
    <w:p>
      <w:pPr>
        <w:spacing w:after="100"/>
      </w:pPr>
      <w:r>
        <w:rPr>
          <w:sz w:val="21"/>
          <w:szCs w:val="21"/>
        </w:rP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 CLO-4</w:t>
            </w:r>
          </w:p>
        </w:tc>
      </w:tr>
    </w:tbl>
    <w:p>
      <w:pPr>
        <w:spacing w:after="30" w:before="180"/>
      </w:pPr>
      <w:r>
        <w:rPr>
          <w:b/>
          <w:bCs/>
          <w:color w:val="0D1B3E"/>
          <w:sz w:val="22"/>
          <w:szCs w:val="22"/>
        </w:rPr>
        <w:t xml:space="preserve">LEN 7: Bias, Risk, and Governance in Learning System Design</w:t>
      </w:r>
    </w:p>
    <w:p>
      <w:pPr>
        <w:spacing w:after="80"/>
      </w:pPr>
      <w:r>
        <w:rPr>
          <w:i/>
          <w:iCs/>
          <w:color w:val="555555"/>
          <w:sz w:val="19"/>
          <w:szCs w:val="19"/>
        </w:rPr>
        <w:t xml:space="preserve">Elective • 3 credits</w:t>
      </w:r>
    </w:p>
    <w:p>
      <w:pPr>
        <w:spacing w:after="100"/>
      </w:pPr>
      <w:r>
        <w:rPr>
          <w:sz w:val="21"/>
          <w:szCs w:val="21"/>
        </w:rPr>
        <w:t xml:space="preserve">Deepens the equity and accountability thread that runs across the curriculum. Examines algorithmic bias, surveillance, institutional accountability, and governance structures for capability development systems in regulated and high-consequence environments. Students design governance plans, conduct measurable risk assessments for learning technology deployments, and evaluate the equity impact of capability development interventions on affected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PLO-2, PLO-5</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CLO-4</w:t>
            </w:r>
          </w:p>
        </w:tc>
      </w:tr>
    </w:tbl>
    <w:p>
      <w:pPr>
        <w:spacing w:after="30" w:before="180"/>
      </w:pPr>
      <w:r>
        <w:rPr>
          <w:b/>
          <w:bCs/>
          <w:color w:val="0D1B3E"/>
          <w:sz w:val="22"/>
          <w:szCs w:val="22"/>
        </w:rPr>
        <w:t xml:space="preserve">LEN 8: Knowledge Transfer and Organizational Learning</w:t>
      </w:r>
    </w:p>
    <w:p>
      <w:pPr>
        <w:spacing w:after="80"/>
      </w:pPr>
      <w:r>
        <w:rPr>
          <w:i/>
          <w:iCs/>
          <w:color w:val="555555"/>
          <w:sz w:val="19"/>
          <w:szCs w:val="19"/>
        </w:rPr>
        <w:t xml:space="preserve">Elective • 3 credits</w:t>
      </w:r>
    </w:p>
    <w:p>
      <w:pPr>
        <w:spacing w:after="100"/>
      </w:pPr>
      <w:r>
        <w:rPr>
          <w:sz w:val="21"/>
          <w:szCs w:val="21"/>
        </w:rPr>
        <w:t xml:space="preserve">Deepens the implementation science thread. Covers knowledge transfer mechanisms, organizational learning theory, adoption and sustainment of capability development interventions, and implementation science frameworks (EPIS, Active Implementation). Students analyze real organizational knowledge transfer problems, design evidence-based sustainment strategies, evaluate the operational impact of implementation approaches, and communicate recommendations to organizational leadership.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PLO-3, PLO-4</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CLO-2, CLO-4</w:t>
            </w:r>
          </w:p>
        </w:tc>
      </w:tr>
    </w:tbl>
    <w:p>
      <w:pPr>
        <w:spacing w:after="30" w:before="180"/>
      </w:pPr>
      <w:r>
        <w:rPr>
          <w:b/>
          <w:bCs/>
          <w:color w:val="0D1B3E"/>
          <w:sz w:val="22"/>
          <w:szCs w:val="22"/>
        </w:rPr>
        <w:t xml:space="preserve">LEN 9: Computational and AI Methods for Learning Engineers</w:t>
      </w:r>
    </w:p>
    <w:p>
      <w:pPr>
        <w:spacing w:after="80"/>
      </w:pPr>
      <w:r>
        <w:rPr>
          <w:i/>
          <w:iCs/>
          <w:color w:val="555555"/>
          <w:sz w:val="19"/>
          <w:szCs w:val="19"/>
        </w:rPr>
        <w:t xml:space="preserve">Elective (Recommended) • 3 credits</w:t>
      </w:r>
    </w:p>
    <w:p>
      <w:pPr>
        <w:spacing w:after="100"/>
      </w:pPr>
      <w:r>
        <w:rPr>
          <w:sz w:val="21"/>
          <w:szCs w:val="21"/>
        </w:rP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Program Objectives (PLO)</w:t>
            </w:r>
          </w:p>
        </w:tc>
        <w:tc>
          <w:tcPr>
            <w:tcW w:type="dxa" w:w="468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Concentration Objectives (CLO)</w:t>
            </w:r>
          </w:p>
        </w:tc>
      </w:tr>
      <w:tr>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PLO-1, PLO-4, PLO-6</w:t>
            </w:r>
          </w:p>
        </w:tc>
        <w:tc>
          <w:tcPr>
            <w:tcW w:type="dxa" w:w="468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 CLO-5</w:t>
            </w:r>
          </w:p>
        </w:tc>
      </w:tr>
    </w:tbl>
    <w:p>
      <w:pPr>
        <w:pStyle w:val="Heading1"/>
        <w:spacing w:after="120" w:before="280"/>
      </w:pPr>
      <w:r>
        <w:rPr>
          <w:b/>
          <w:bCs/>
          <w:color w:val="0D1B3E"/>
          <w:sz w:val="27"/>
          <w:szCs w:val="27"/>
        </w:rPr>
        <w:t xml:space="preserve">6. Coverage Matrix</w:t>
      </w:r>
    </w:p>
    <w:p>
      <w:pPr>
        <w:spacing w:after="120"/>
      </w:pPr>
      <w:r>
        <w:rPr>
          <w:sz w:val="21"/>
          <w:szCs w:val="21"/>
        </w:rPr>
        <w:t xml:space="preserve">Verifies that every PLO and CLO is addressed by required courses (foundations + concentration + methods + capstone = 8 courses). ✘ = required; ○ = elective.</w:t>
      </w:r>
    </w:p>
    <w:p>
      <w:pPr>
        <w:pStyle w:val="Heading2"/>
        <w:spacing w:after="100" w:before="220"/>
      </w:pPr>
      <w:r>
        <w:rPr>
          <w:b/>
          <w:bCs/>
          <w:color w:val="0E7C7B"/>
          <w:sz w:val="23"/>
          <w:szCs w:val="23"/>
        </w:rPr>
        <w:t xml:space="preserve">6.1 Program Learning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60"/>
        <w:gridCol w:w="1260"/>
        <w:gridCol w:w="1260"/>
        <w:gridCol w:w="1260"/>
        <w:gridCol w:w="1260"/>
        <w:gridCol w:w="1260"/>
      </w:tblGrid>
      <w:tr>
        <w:trPr>
          <w:tblHeader/>
        </w:trPr>
        <w:tc>
          <w:tcPr>
            <w:tcW w:type="dxa" w:w="18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Course</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PLO-1</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PLO-2</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PLO-3</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PLO-4</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PLO-5</w:t>
            </w:r>
          </w:p>
        </w:tc>
        <w:tc>
          <w:tcPr>
            <w:tcW w:type="dxa" w:w="12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PLO-6</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LDT F1</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LDT F2</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1</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2</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3</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6</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4</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10</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5</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7</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8</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9</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2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bl>
    <w:p>
      <w:pPr>
        <w:pStyle w:val="Heading2"/>
        <w:spacing w:after="100" w:before="220"/>
      </w:pPr>
      <w:r>
        <w:rPr>
          <w:b/>
          <w:bCs/>
          <w:color w:val="0E7C7B"/>
          <w:sz w:val="23"/>
          <w:szCs w:val="23"/>
        </w:rPr>
        <w:t xml:space="preserve">6.2 Concentration Learning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12"/>
        <w:gridCol w:w="1512"/>
        <w:gridCol w:w="1512"/>
        <w:gridCol w:w="1512"/>
        <w:gridCol w:w="1512"/>
      </w:tblGrid>
      <w:tr>
        <w:trPr>
          <w:tblHeader/>
        </w:trPr>
        <w:tc>
          <w:tcPr>
            <w:tcW w:type="dxa" w:w="18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Course</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CLO-1</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CLO-2</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CLO-3</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CLO-4</w:t>
            </w:r>
          </w:p>
        </w:tc>
        <w:tc>
          <w:tcPr>
            <w:tcW w:type="dxa" w:w="1512"/>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pPr>
              <w:jc w:val="left"/>
            </w:pPr>
            <w:r>
              <w:rPr>
                <w:b/>
                <w:bCs/>
                <w:color w:val="FFFFFF"/>
                <w:sz w:val="19"/>
                <w:szCs w:val="19"/>
              </w:rPr>
              <w:t xml:space="preserve">CLO-5</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LDT F1</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LDT F2</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1</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2</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3</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6</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4</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10</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5</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7</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LEN 8</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center"/>
            </w:pPr>
            <w:r>
              <w:rPr>
                <w:sz w:val="19"/>
                <w:szCs w:val="19"/>
              </w:rPr>
              <w:t xml:space="preserve"/>
            </w:r>
          </w:p>
        </w:tc>
      </w:tr>
      <w:tr>
        <w:tc>
          <w:tcPr>
            <w:tcW w:type="dxa" w:w="18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LEN 9</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
            </w:r>
          </w:p>
        </w:tc>
        <w:tc>
          <w:tcPr>
            <w:tcW w:type="dxa" w:w="1512"/>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center"/>
            </w:pPr>
            <w:r>
              <w:rPr>
                <w:sz w:val="19"/>
                <w:szCs w:val="19"/>
              </w:rPr>
              <w:t xml:space="preserve">○</w:t>
            </w:r>
          </w:p>
        </w:tc>
      </w:tr>
    </w:tbl>
    <w:p>
      <w:pPr>
        <w:pStyle w:val="Heading2"/>
        <w:spacing w:after="100" w:before="220"/>
      </w:pPr>
      <w:r>
        <w:rPr>
          <w:b/>
          <w:bCs/>
          <w:color w:val="0E7C7B"/>
          <w:sz w:val="23"/>
          <w:szCs w:val="23"/>
        </w:rPr>
        <w:t xml:space="preserve">6.3 Coverage Analysis</w:t>
      </w:r>
    </w:p>
    <w:p>
      <w:pPr>
        <w:spacing w:after="140"/>
      </w:pPr>
      <w:r>
        <w:rPr>
          <w:b/>
          <w:bCs/>
          <w:sz w:val="21"/>
          <w:szCs w:val="21"/>
        </w:rPr>
        <w:t xml:space="preserve">PLO coverage: </w:t>
      </w:r>
      <w:r>
        <w:rPr>
          <w:sz w:val="21"/>
          <w:szCs w:val="21"/>
        </w:rPr>
        <w:t xml:space="preserve">All six program objectives are addressed by multiple required courses. PLO-1 (Theory and Evidence): F1, LEN 1, LEN 2, LEN 6. PLO-2 (Ethical and Human-Centered): F1, F2, LEN 1, LEN 2, LEN 3, LEN 4, LEN 10. PLO-3 (Collaboration and Leadership): LEN 1, LEN 3, LEN 6, LEN 10. PLO-4 (Communication Competence): LEN 2, LEN 3, LEN 4, LEN 6, LEN 10; threaded across the concentration, methods, and capstone. PLO-5 (Sociocultural Aspects): F2, LEN 2, LEN 3. PLO-6 (Data-Informed): LEN 4, LEN 6, LEN 10.</w:t>
      </w:r>
    </w:p>
    <w:p>
      <w:pPr>
        <w:spacing w:after="140"/>
      </w:pPr>
      <w:r>
        <w:rPr>
          <w:b/>
          <w:bCs/>
          <w:sz w:val="21"/>
          <w:szCs w:val="21"/>
        </w:rPr>
        <w:t xml:space="preserve">CLO coverage: </w:t>
      </w:r>
      <w:r>
        <w:rPr>
          <w:sz w:val="21"/>
          <w:szCs w:val="21"/>
        </w:rPr>
        <w:t xml:space="preserve">All five competency domains are addressed by required courses. CLO-1 (Systems Thinking and Analysis) is now carried by four required courses (LEN 1, LEN 3, LEN 6, LEN 10), reflecting its weight in the concentration. CLO-3 (Data, Measurement, and Evaluation) is strongly covered through LEN 4 (required methods) and LEN 10 (capstone). CLO-5 (Human-AI Teaming) is owned by LEN 2, with additional depth through LEN 9 (recommended elective).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p>
      <w:pPr>
        <w:pStyle w:val="Heading2"/>
        <w:spacing w:after="100" w:before="220"/>
      </w:pPr>
      <w:r>
        <w:rPr>
          <w:b/>
          <w:bCs/>
          <w:color w:val="0E7C7B"/>
          <w:sz w:val="23"/>
          <w:szCs w:val="23"/>
        </w:rPr>
        <w:t xml:space="preserve">6.4 Cross-Cutting Threads</w:t>
      </w:r>
    </w:p>
    <w:p>
      <w:pPr>
        <w:spacing w:after="100"/>
      </w:pPr>
      <w:r>
        <w:rPr>
          <w:sz w:val="21"/>
          <w:szCs w:val="21"/>
        </w:rPr>
        <w:t xml:space="preserve">Four commitments are threaded across all courses rather than housed in dedicated courses:</w:t>
      </w:r>
    </w:p>
    <w:p>
      <w:pPr>
        <w:pStyle w:val="ListParagraph"/>
        <w:numPr>
          <w:ilvl w:val="0"/>
          <w:numId w:val="2"/>
        </w:numPr>
        <w:spacing w:after="70"/>
      </w:pPr>
      <w:r>
        <w:rPr>
          <w:b/>
          <w:bCs/>
          <w:sz w:val="21"/>
          <w:szCs w:val="21"/>
        </w:rPr>
        <w:t xml:space="preserve">Equity and accountability as design commitments: </w:t>
      </w:r>
      <w:r>
        <w:rPr>
          <w:sz w:val="21"/>
          <w:szCs w:val="21"/>
        </w:rPr>
        <w:t xml:space="preserve">Grounded in F2 (Critical Perspectives on Educational Technology), threaded through all concentration and methods courses. LEN 4 adds ethical instrumentation and data governance. LEN 7 (elective) provides deeper treatment.</w:t>
      </w:r>
    </w:p>
    <w:p>
      <w:pPr>
        <w:pStyle w:val="ListParagraph"/>
        <w:numPr>
          <w:ilvl w:val="0"/>
          <w:numId w:val="2"/>
        </w:numPr>
        <w:spacing w:after="70"/>
      </w:pPr>
      <w:r>
        <w:rPr>
          <w:b/>
          <w:bCs/>
          <w:sz w:val="21"/>
          <w:szCs w:val="21"/>
        </w:rPr>
        <w:t xml:space="preserve">Implementation science (adoption, sustainment, full lifecycle): </w:t>
      </w:r>
      <w:r>
        <w:rPr>
          <w:sz w:val="21"/>
          <w:szCs w:val="21"/>
        </w:rPr>
        <w:t xml:space="preserve">Woven through LEN 3 (Learning Engineering Systems) and LEN 10 (capstone). LEN 8 (elective) provides deeper treatment.</w:t>
      </w:r>
    </w:p>
    <w:p>
      <w:pPr>
        <w:pStyle w:val="ListParagraph"/>
        <w:numPr>
          <w:ilvl w:val="0"/>
          <w:numId w:val="2"/>
        </w:numPr>
        <w:spacing w:after="70"/>
      </w:pPr>
      <w:r>
        <w:rPr>
          <w:b/>
          <w:bCs/>
          <w:sz w:val="21"/>
          <w:szCs w:val="21"/>
        </w:rPr>
        <w:t xml:space="preserve">AI as both creative partner and epistemic risk: </w:t>
      </w:r>
      <w:r>
        <w:rPr>
          <w:sz w:val="21"/>
          <w:szCs w:val="21"/>
        </w:rPr>
        <w:t xml:space="preserve">Addressed explicitly in LEN 2 (required). LEN 9 (recommended elective) provides computational depth. Attention throughout the sequence to guarding against offloading thinking.</w:t>
      </w:r>
    </w:p>
    <w:p>
      <w:pPr>
        <w:pStyle w:val="ListParagraph"/>
        <w:numPr>
          <w:ilvl w:val="0"/>
          <w:numId w:val="2"/>
        </w:numPr>
        <w:spacing w:after="70"/>
      </w:pPr>
      <w:r>
        <w:rPr>
          <w:b/>
          <w:bCs/>
          <w:sz w:val="21"/>
          <w:szCs w:val="21"/>
        </w:rPr>
        <w:t xml:space="preserve">Professional dispositions of the field: </w:t>
      </w:r>
      <w:r>
        <w:rPr>
          <w:sz w:val="21"/>
          <w:szCs w:val="21"/>
        </w:rPr>
        <w:t xml:space="preserve">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p>
      <w:pPr>
        <w:pStyle w:val="Heading2"/>
        <w:spacing w:after="100" w:before="220"/>
      </w:pPr>
      <w:r>
        <w:rPr>
          <w:b/>
          <w:bCs/>
          <w:color w:val="0E7C7B"/>
          <w:sz w:val="23"/>
          <w:szCs w:val="23"/>
        </w:rPr>
        <w:t xml:space="preserve">6.5 Elective Advising Guidance</w:t>
      </w:r>
    </w:p>
    <w:p>
      <w:pPr>
        <w:spacing w:after="100"/>
      </w:pPr>
      <w:r>
        <w:rPr>
          <w:sz w:val="21"/>
          <w:szCs w:val="21"/>
        </w:rP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ListParagraph"/>
        <w:numPr>
          <w:ilvl w:val="0"/>
          <w:numId w:val="2"/>
        </w:numPr>
        <w:spacing w:after="70"/>
      </w:pPr>
      <w:r>
        <w:rPr>
          <w:b/>
          <w:bCs/>
          <w:sz w:val="21"/>
          <w:szCs w:val="21"/>
        </w:rPr>
        <w:t xml:space="preserve">Engineers and technical professionals entering learning design: </w:t>
      </w:r>
      <w:r>
        <w:rPr>
          <w:sz w:val="21"/>
          <w:szCs w:val="21"/>
        </w:rPr>
        <w:t xml:space="preserve">LEN 5 (Human Capability Analysis) + LEN 7 (Bias, Risk, and Governance). Builds analytical depth while strengthening contextual and organizational fluency.</w:t>
      </w:r>
    </w:p>
    <w:p>
      <w:pPr>
        <w:pStyle w:val="ListParagraph"/>
        <w:numPr>
          <w:ilvl w:val="0"/>
          <w:numId w:val="2"/>
        </w:numPr>
        <w:spacing w:after="70"/>
      </w:pPr>
      <w:r>
        <w:rPr>
          <w:b/>
          <w:bCs/>
          <w:sz w:val="21"/>
          <w:szCs w:val="21"/>
        </w:rPr>
        <w:t xml:space="preserve">Education and training professionals moving toward systems practice: </w:t>
      </w:r>
      <w:r>
        <w:rPr>
          <w:sz w:val="21"/>
          <w:szCs w:val="21"/>
        </w:rPr>
        <w:t xml:space="preserve">LEN 5 (Human Capability Analysis) + LEN 9 (Computational and AI Methods). Deepens both the analytical and computational competencies that distinguish LENS graduates.</w:t>
      </w:r>
    </w:p>
    <w:p>
      <w:pPr>
        <w:pStyle w:val="ListParagraph"/>
        <w:numPr>
          <w:ilvl w:val="0"/>
          <w:numId w:val="2"/>
        </w:numPr>
        <w:spacing w:after="70"/>
      </w:pPr>
      <w:r>
        <w:rPr>
          <w:b/>
          <w:bCs/>
          <w:sz w:val="21"/>
          <w:szCs w:val="21"/>
        </w:rPr>
        <w:t xml:space="preserve">Students pursuing computational depth: </w:t>
      </w:r>
      <w:r>
        <w:rPr>
          <w:sz w:val="21"/>
          <w:szCs w:val="21"/>
        </w:rPr>
        <w:t xml:space="preserve">LEN 9 (Computational and AI Methods) + LEN 5 (Human Capability Analysis). A Whiting School data science elective may substitute for one LENS elective with advisor approval.</w:t>
      </w:r>
    </w:p>
    <w:p>
      <w:pPr>
        <w:pStyle w:val="ListParagraph"/>
        <w:numPr>
          <w:ilvl w:val="0"/>
          <w:numId w:val="2"/>
        </w:numPr>
        <w:spacing w:after="70"/>
      </w:pPr>
      <w:r>
        <w:rPr>
          <w:b/>
          <w:bCs/>
          <w:sz w:val="21"/>
          <w:szCs w:val="21"/>
        </w:rPr>
        <w:t xml:space="preserve">Students with strong methods backgrounds: </w:t>
      </w:r>
      <w:r>
        <w:rPr>
          <w:sz w:val="21"/>
          <w:szCs w:val="21"/>
        </w:rPr>
        <w:t xml:space="preserve">LEN 8 (Knowledge Transfer and Organizational Learning) + LEN 7 (Bias, Risk, and Governance). Strengthens implementation and governance competencies for students who already bring analytical methods from prior training.</w:t>
      </w:r>
    </w:p>
    <w:p>
      <w:pPr>
        <w:spacing w:after="140"/>
      </w:pPr>
      <w:r>
        <w:rPr>
          <w:sz w:val="21"/>
          <w:szCs w:val="21"/>
        </w:rPr>
        <w:t xml:space="preserve">These are recommendations, not requirements. Students may select any university electives that serve their professional goals; LENS advisors work with each student to identify the best fit.</w:t>
      </w:r>
    </w:p>
    <w:p>
      <w:pPr>
        <w:pStyle w:val="Heading1"/>
        <w:spacing w:after="120" w:before="280"/>
      </w:pPr>
      <w:r>
        <w:rPr>
          <w:b/>
          <w:bCs/>
          <w:color w:val="0D1B3E"/>
          <w:sz w:val="27"/>
          <w:szCs w:val="27"/>
        </w:rPr>
        <w:t xml:space="preserve">7. Revision Notes (June 2026)</w:t>
      </w:r>
    </w:p>
    <w:p>
      <w:pPr>
        <w:spacing w:after="100"/>
      </w:pPr>
      <w:r>
        <w:rPr>
          <w:sz w:val="21"/>
          <w:szCs w:val="21"/>
        </w:rPr>
        <w:t xml:space="preserve">This revision responds to reviewer feedback on three points, plus alignment with the field competency framework in development with the IEEE ICICLE community.</w:t>
      </w:r>
    </w:p>
    <w:p>
      <w:pPr>
        <w:pStyle w:val="ListParagraph"/>
        <w:numPr>
          <w:ilvl w:val="0"/>
          <w:numId w:val="2"/>
        </w:numPr>
        <w:spacing w:after="70"/>
      </w:pPr>
      <w:r>
        <w:rPr>
          <w:b/>
          <w:bCs/>
          <w:sz w:val="21"/>
          <w:szCs w:val="21"/>
        </w:rPr>
        <w:t xml:space="preserve">Iterative design strengthened. </w:t>
      </w:r>
      <w:r>
        <w:rPr>
          <w:sz w:val="21"/>
          <w:szCs w:val="21"/>
        </w:rPr>
        <w:t xml:space="preserve">The iteration cycle (design, instrument, evaluate, refine) is now named in CLO-2,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ListParagraph"/>
        <w:numPr>
          <w:ilvl w:val="0"/>
          <w:numId w:val="2"/>
        </w:numPr>
        <w:spacing w:after="70"/>
      </w:pPr>
      <w:r>
        <w:rPr>
          <w:b/>
          <w:bCs/>
          <w:sz w:val="21"/>
          <w:szCs w:val="21"/>
        </w:rPr>
        <w:t xml:space="preserve">Systems thinking extended into methods. </w:t>
      </w:r>
      <w:r>
        <w:rPr>
          <w:sz w:val="21"/>
          <w:szCs w:val="21"/>
        </w:rPr>
        <w:t xml:space="preserve">CLO-1 adds explicit system modeling language (components, interfaces, feedback loops). LEN 3 and LEN 6 now require systems framing before intervention; LEN 6 maps to CLO-1, raising required-course coverage of CLO-1 from three courses to four.</w:t>
      </w:r>
    </w:p>
    <w:p>
      <w:pPr>
        <w:pStyle w:val="ListParagraph"/>
        <w:numPr>
          <w:ilvl w:val="0"/>
          <w:numId w:val="2"/>
        </w:numPr>
        <w:spacing w:after="70"/>
      </w:pPr>
      <w:r>
        <w:rPr>
          <w:b/>
          <w:bCs/>
          <w:sz w:val="21"/>
          <w:szCs w:val="21"/>
        </w:rPr>
        <w:t xml:space="preserve">CLO-4 reframed to sociotechnical integration. </w:t>
      </w:r>
      <w:r>
        <w:rPr>
          <w:sz w:val="21"/>
          <w:szCs w:val="21"/>
        </w:rPr>
        <w:t xml:space="preserve">CLO-4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p>
      <w:pPr>
        <w:pStyle w:val="ListParagraph"/>
        <w:numPr>
          <w:ilvl w:val="0"/>
          <w:numId w:val="2"/>
        </w:numPr>
        <w:spacing w:after="70"/>
      </w:pPr>
      <w:r>
        <w:rPr>
          <w:b/>
          <w:bCs/>
          <w:sz w:val="21"/>
          <w:szCs w:val="21"/>
        </w:rPr>
        <w:t xml:space="preserve">Field alignment noted. </w:t>
      </w:r>
      <w:r>
        <w:rPr>
          <w:sz w:val="21"/>
          <w:szCs w:val="21"/>
        </w:rPr>
        <w:t xml:space="preserve">Section 4 states the CLOs' relationship to the emerging field competency framework and labels gap attribution, domain fluency, and human-AI teaming as LENS's proposed extensions. Section 6.4 adds the field's five professional dispositions as a fourth cross-cutting commitment.</w:t>
      </w:r>
    </w:p>
    <w:sectPr>
      <w:pgSz w:w="12240" w:h="15840" w:orient="portrait"/>
      <w:pgMar w:top="1260" w:right="1350" w:bottom="126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D1B3E"/>
      <w:sz w:val="27"/>
      <w:szCs w:val="27"/>
    </w:rPr>
  </w:style>
  <w:style w:type="paragraph" w:styleId="Heading2">
    <w:name w:val="Heading 2"/>
    <w:basedOn w:val="Normal"/>
    <w:next w:val="Normal"/>
    <w:qFormat/>
    <w:pPr>
      <w:spacing w:after="100" w:before="220"/>
      <w:outlineLvl w:val="1"/>
    </w:pPr>
    <w:rPr>
      <w:rFonts w:ascii="Arial" w:cs="Arial" w:eastAsia="Arial" w:hAnsi="Arial"/>
      <w:b/>
      <w:bCs/>
      <w:color w:val="0E7C7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2026-06-10T23:10:07.992Z</dcterms:created>
  <dcterms:modified xsi:type="dcterms:W3CDTF">2026-06-10T23:10:07.992Z</dcterms:modified>
</cp:coreProperties>
</file>

<file path=docProps/custom.xml><?xml version="1.0" encoding="utf-8"?>
<Properties xmlns="http://schemas.openxmlformats.org/officeDocument/2006/custom-properties" xmlns:vt="http://schemas.openxmlformats.org/officeDocument/2006/docPropsVTypes"/>
</file>