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922a" w:sz="4" w:space="6"/>
        </w:pBdr>
        <w:tabs>
          <w:tab w:val="right" w:pos="9360"/>
        </w:tabs>
        <w:spacing w:after="200"/>
      </w:pPr>
      <w:r>
        <w:rPr>
          <w:b/>
          <w:bCs/>
          <w:color w:val="0d1b3e"/>
          <w:sz w:val="18"/>
          <w:szCs w:val="18"/>
        </w:rPr>
        <w:t xml:space="preserve">LENS</w:t>
      </w:r>
      <w:r>
        <w:rPr>
          <w:color w:val="555555"/>
          <w:sz w:val="18"/>
          <w:szCs w:val="18"/>
        </w:rPr>
        <w:t xml:space="preserve">  ·  Learning Engineering for Next-Generation Systems</w:t>
      </w:r>
      <w:r>
        <w:rPr>
          <w:b/>
          <w:bCs/>
          <w:color w:val="0d1b3e"/>
          <w:sz w:val="18"/>
          <w:szCs w:val="18"/>
        </w:rPr>
        <w:t xml:space="preserve">	capabilitymatters.org</w:t>
      </w:r>
    </w:p>
    <w:p>
      <w:pPr>
        <w:pStyle w:val="Heading1"/>
        <w:spacing w:after="60"/>
      </w:pPr>
      <w:r>
        <w:rPr>
          <w:b/>
          <w:bCs/>
          <w:color w:val="0d1b3e"/>
          <w:sz w:val="40"/>
          <w:szCs w:val="40"/>
        </w:rPr>
        <w:t xml:space="preserve">Learning Engineering for Next-Generation Systems</w:t>
      </w:r>
    </w:p>
    <w:p>
      <w:pPr>
        <w:spacing w:after="220"/>
      </w:pPr>
      <w:r>
        <w:rPr>
          <w:color w:val="555555"/>
          <w:sz w:val="20"/>
          <w:szCs w:val="20"/>
        </w:rPr>
        <w:t xml:space="preserve">A concentration in the </w:t>
      </w:r>
      <w:r>
        <w:rPr>
          <w:color w:val="555555"/>
          <w:sz w:val="20"/>
          <w:szCs w:val="20"/>
          <w:u w:val="single"/>
        </w:rPr>
        <w:t xml:space="preserve">M.Ed. in Learning Design and Technology (LDT)</w:t>
      </w:r>
      <w:r>
        <w:rPr>
          <w:color w:val="555555"/>
          <w:sz w:val="20"/>
          <w:szCs w:val="20"/>
        </w:rPr>
        <w:t xml:space="preserve">, Johns Hopkins School of Education  </w:t>
      </w:r>
      <w:r>
        <w:rPr>
          <w:i/>
          <w:iCs/>
          <w:color w:val="8a5a00"/>
          <w:sz w:val="16"/>
          <w:szCs w:val="16"/>
        </w:rPr>
        <w:t xml:space="preserve">[Will: link LDT to the program page]</w:t>
      </w:r>
    </w:p>
    <w:p>
      <w:pPr>
        <w:pStyle w:val="Heading2"/>
        <w:pBdr>
          <w:bottom w:val="single" w:color="c8922a" w:sz="6" w:space="3"/>
        </w:pBdr>
        <w:spacing w:after="90" w:before="200"/>
      </w:pPr>
      <w:r>
        <w:rPr>
          <w:b/>
          <w:bCs/>
          <w:color w:val="0d1b3e"/>
          <w:sz w:val="24"/>
          <w:szCs w:val="24"/>
        </w:rPr>
        <w:t xml:space="preserve">What LENS is</w:t>
      </w:r>
    </w:p>
    <w:p>
      <w:pPr>
        <w:spacing w:after="120"/>
      </w:pPr>
      <w:r>
        <w:rPr>
          <w:color w:val="222222"/>
          <w:sz w:val="20"/>
          <w:szCs w:val="20"/>
        </w:rPr>
        <w:t xml:space="preserve">LENS prepares you to solve learning and performance problems in complex systems. Learning engineers use the learning sciences, systems thinking, design, and data to understand what people need to learn and be able to do, and to create and improve the conditions that help them succeed.</w:t>
      </w:r>
    </w:p>
    <w:p>
      <w:pPr>
        <w:spacing w:after="120"/>
      </w:pPr>
      <w:r>
        <w:rPr>
          <w:color w:val="222222"/>
          <w:sz w:val="20"/>
          <w:szCs w:val="20"/>
        </w:rPr>
        <w:t xml:space="preserve">In LENS, we use capability to describe the knowledge, skills, judgment, and adaptability people need to perform effectively within a larger system. The learning engineer’s job is not to assume that every performance problem is a training problem, but to determine where the problem actually lies: in what people know or can do, in the design of the system itself, or in the organizational conditions around it.</w:t>
      </w:r>
    </w:p>
    <w:p>
      <w:pPr>
        <w:spacing w:after="120"/>
      </w:pPr>
      <w:r>
        <w:rPr>
          <w:color w:val="222222"/>
          <w:sz w:val="20"/>
          <w:szCs w:val="20"/>
        </w:rPr>
        <w:t xml:space="preserve">LENS brings together the learning sciences, systems engineering, human systems integration, and evidence-based design so that learning is treated as an integral part of how complex systems are designed, implemented, evaluated, and improved.</w:t>
      </w:r>
    </w:p>
    <w:p>
      <w:pPr>
        <w:pStyle w:val="Heading2"/>
        <w:pBdr>
          <w:bottom w:val="single" w:color="c8922a" w:sz="6" w:space="3"/>
        </w:pBdr>
        <w:spacing w:after="90" w:before="200"/>
      </w:pPr>
      <w:r>
        <w:rPr>
          <w:b/>
          <w:bCs/>
          <w:color w:val="0d1b3e"/>
          <w:sz w:val="24"/>
          <w:szCs w:val="24"/>
        </w:rPr>
        <w:t xml:space="preserve">Why now</w:t>
      </w:r>
    </w:p>
    <w:p>
      <w:pPr>
        <w:spacing w:after="120"/>
      </w:pPr>
      <w:r>
        <w:rPr>
          <w:color w:val="222222"/>
          <w:sz w:val="20"/>
          <w:szCs w:val="20"/>
        </w:rPr>
        <w:t xml:space="preserve">As AI changes jobs, tools, and workflows, organizations have to determine what people now need to know and be able to do, how they will develop those capabilities, and how to tell whether learning is improving performance. Learning engineers help answer those questions.</w:t>
      </w:r>
    </w:p>
    <w:p>
      <w:pPr>
        <w:pStyle w:val="Heading2"/>
        <w:pBdr>
          <w:bottom w:val="single" w:color="c8922a" w:sz="6" w:space="3"/>
        </w:pBdr>
        <w:spacing w:after="90" w:before="200"/>
      </w:pPr>
      <w:r>
        <w:rPr>
          <w:b/>
          <w:bCs/>
          <w:color w:val="0d1b3e"/>
          <w:sz w:val="24"/>
          <w:szCs w:val="24"/>
        </w:rPr>
        <w:t xml:space="preserve">How learning engineering works</w:t>
      </w:r>
    </w:p>
    <w:p>
      <w:pPr>
        <w:spacing w:after="60"/>
      </w:pPr>
      <w:r>
        <w:rPr>
          <w:color w:val="222222"/>
          <w:sz w:val="20"/>
          <w:szCs w:val="20"/>
        </w:rPr>
        <w:t xml:space="preserve">Frame the problem  ›  understand the system  ›  identify what people need to learn or be able to do  ›  determine whether learning is the solution  ›  design and instrument an intervention  ›  evaluate its effects  ›  refine.</w:t>
      </w:r>
    </w:p>
    <w:p>
      <w:pPr>
        <w:spacing w:after="160" w:before="40"/>
      </w:pPr>
      <w:r>
        <w:rPr>
          <w:i/>
          <w:iCs/>
          <w:color w:val="8a5a00"/>
          <w:sz w:val="18"/>
          <w:szCs w:val="18"/>
        </w:rPr>
        <w:t xml:space="preserve">Flag for Will: this seven-step flow (Jim's suggested wording) doesn't match LEN 1's adopted eight-step iteration cycle (understand → model → design → build → instrument → deploy → evaluate → refine, doc 2 v2.8). Reconcile before this goes out, or prospective students see a different framework than the one the course teaches.</w:t>
      </w:r>
    </w:p>
    <w:p>
      <w:pPr>
        <w:pStyle w:val="Heading2"/>
        <w:pBdr>
          <w:bottom w:val="single" w:color="c8922a" w:sz="6" w:space="3"/>
        </w:pBdr>
        <w:spacing w:after="90" w:before="200"/>
      </w:pPr>
      <w:r>
        <w:rPr>
          <w:b/>
          <w:bCs/>
          <w:color w:val="0d1b3e"/>
          <w:sz w:val="24"/>
          <w:szCs w:val="24"/>
        </w:rPr>
        <w:t xml:space="preserve">Who LENS is for</w:t>
      </w:r>
    </w:p>
    <w:p>
      <w:pPr>
        <w:spacing w:after="120"/>
      </w:pPr>
      <w:r>
        <w:rPr>
          <w:color w:val="222222"/>
          <w:sz w:val="20"/>
          <w:szCs w:val="20"/>
        </w:rPr>
        <w:t xml:space="preserve">People come to LENS from different professional backgrounds, looking to add a new dimension to what they already know.</w:t>
      </w:r>
    </w:p>
    <w:p>
      <w:pPr>
        <w:pStyle w:val="ListParagraph"/>
        <w:numPr>
          <w:ilvl w:val="0"/>
          <w:numId w:val="2"/>
        </w:numPr>
        <w:spacing w:after="60"/>
      </w:pPr>
      <w:r>
        <w:rPr>
          <w:b/>
          <w:bCs/>
          <w:color w:val="0d1b3e"/>
          <w:sz w:val="20"/>
          <w:szCs w:val="20"/>
        </w:rPr>
        <w:t xml:space="preserve">Practitioners </w:t>
      </w:r>
      <w:r>
        <w:rPr>
          <w:color w:val="222222"/>
          <w:sz w:val="20"/>
          <w:szCs w:val="20"/>
        </w:rPr>
        <w:t xml:space="preserve">bring deep knowledge of a clinical, operational, technical, or professional domain. LENS helps them diagnose learning and performance problems using both learning science and systems thinking.</w:t>
      </w:r>
    </w:p>
    <w:p>
      <w:pPr>
        <w:pStyle w:val="ListParagraph"/>
        <w:numPr>
          <w:ilvl w:val="0"/>
          <w:numId w:val="2"/>
        </w:numPr>
        <w:spacing w:after="60"/>
      </w:pPr>
      <w:r>
        <w:rPr>
          <w:b/>
          <w:bCs/>
          <w:color w:val="0d1b3e"/>
          <w:sz w:val="20"/>
          <w:szCs w:val="20"/>
        </w:rPr>
        <w:t xml:space="preserve">Engineers </w:t>
      </w:r>
      <w:r>
        <w:rPr>
          <w:color w:val="222222"/>
          <w:sz w:val="20"/>
          <w:szCs w:val="20"/>
        </w:rPr>
        <w:t xml:space="preserve">understand how complex systems are designed and operate. LENS adds a deeper understanding of how people learn, develop expertise, and perform within those systems.</w:t>
      </w:r>
    </w:p>
    <w:p>
      <w:pPr>
        <w:pStyle w:val="ListParagraph"/>
        <w:numPr>
          <w:ilvl w:val="0"/>
          <w:numId w:val="2"/>
        </w:numPr>
        <w:spacing w:after="60"/>
      </w:pPr>
      <w:r>
        <w:rPr>
          <w:b/>
          <w:bCs/>
          <w:color w:val="0d1b3e"/>
          <w:sz w:val="20"/>
          <w:szCs w:val="20"/>
        </w:rPr>
        <w:t xml:space="preserve">Educators and trainers </w:t>
      </w:r>
      <w:r>
        <w:rPr>
          <w:color w:val="222222"/>
          <w:sz w:val="20"/>
          <w:szCs w:val="20"/>
        </w:rPr>
        <w:t xml:space="preserve">understand learning and instruction. LENS helps them connect that expertise to the broader systems, workflows, and performance contexts in which learning has to work.</w:t>
      </w:r>
    </w:p>
    <w:p>
      <w:pPr>
        <w:pStyle w:val="Heading2"/>
        <w:pBdr>
          <w:bottom w:val="single" w:color="c8922a" w:sz="6" w:space="3"/>
        </w:pBdr>
        <w:spacing w:after="90" w:before="200"/>
      </w:pPr>
      <w:r>
        <w:rPr>
          <w:b/>
          <w:bCs/>
          <w:color w:val="0d1b3e"/>
          <w:sz w:val="24"/>
          <w:szCs w:val="24"/>
        </w:rPr>
        <w:t xml:space="preserve">How the program works</w:t>
      </w:r>
    </w:p>
    <w:p>
      <w:pPr>
        <w:spacing w:after="120"/>
      </w:pPr>
      <w:r>
        <w:rPr>
          <w:color w:val="222222"/>
          <w:sz w:val="20"/>
          <w:szCs w:val="20"/>
        </w:rPr>
        <w:t xml:space="preserve">LENS is a 30-credit, fully online concentration designed to be completed part-time.</w:t>
      </w:r>
    </w:p>
    <w:p>
      <w:pPr>
        <w:pStyle w:val="ListParagraph"/>
        <w:numPr>
          <w:ilvl w:val="0"/>
          <w:numId w:val="2"/>
        </w:numPr>
        <w:spacing w:after="60"/>
      </w:pPr>
      <w:r>
        <w:rPr>
          <w:color w:val="222222"/>
          <w:sz w:val="20"/>
          <w:szCs w:val="20"/>
        </w:rPr>
        <w:t xml:space="preserve">Two LDT foundation courses establish a shared grounding in learning, technology, and design.</w:t>
      </w:r>
    </w:p>
    <w:p>
      <w:pPr>
        <w:pStyle w:val="ListParagraph"/>
        <w:numPr>
          <w:ilvl w:val="0"/>
          <w:numId w:val="2"/>
        </w:numPr>
        <w:spacing w:after="60"/>
      </w:pPr>
      <w:r>
        <w:rPr>
          <w:color w:val="222222"/>
          <w:sz w:val="20"/>
          <w:szCs w:val="20"/>
        </w:rPr>
        <w:t xml:space="preserve">Three sequential LENS core courses move from principles and problem framing, to evidence and measurement, to an applied learning engineering studio.</w:t>
      </w:r>
    </w:p>
    <w:p>
      <w:pPr>
        <w:pStyle w:val="ListParagraph"/>
        <w:numPr>
          <w:ilvl w:val="0"/>
          <w:numId w:val="2"/>
        </w:numPr>
        <w:spacing w:after="60"/>
      </w:pPr>
      <w:r>
        <w:rPr>
          <w:color w:val="222222"/>
          <w:sz w:val="20"/>
          <w:szCs w:val="20"/>
        </w:rPr>
        <w:t xml:space="preserve">Two methods courses build the research and analytical skills needed to study learning and performance.</w:t>
      </w:r>
    </w:p>
    <w:p>
      <w:pPr>
        <w:pStyle w:val="ListParagraph"/>
        <w:numPr>
          <w:ilvl w:val="0"/>
          <w:numId w:val="2"/>
        </w:numPr>
        <w:spacing w:after="60"/>
      </w:pPr>
      <w:r>
        <w:rPr>
          <w:color w:val="222222"/>
          <w:sz w:val="20"/>
          <w:szCs w:val="20"/>
        </w:rPr>
        <w:t xml:space="preserve">Two electives let you deepen expertise in an area connected to your professional interests.</w:t>
      </w:r>
    </w:p>
    <w:p>
      <w:pPr>
        <w:pStyle w:val="ListParagraph"/>
        <w:numPr>
          <w:ilvl w:val="0"/>
          <w:numId w:val="2"/>
        </w:numPr>
        <w:spacing w:after="60"/>
      </w:pPr>
      <w:r>
        <w:rPr>
          <w:color w:val="222222"/>
          <w:sz w:val="20"/>
          <w:szCs w:val="20"/>
        </w:rPr>
        <w:t xml:space="preserve">Your capstone brings it all together through work on a real problem with a partner organization.</w:t>
      </w:r>
    </w:p>
    <w:p>
      <w:pPr>
        <w:pStyle w:val="Heading2"/>
        <w:pBdr>
          <w:bottom w:val="single" w:color="c8922a" w:sz="6" w:space="3"/>
        </w:pBdr>
        <w:spacing w:after="90" w:before="200"/>
      </w:pPr>
      <w:r>
        <w:rPr>
          <w:b/>
          <w:bCs/>
          <w:color w:val="0d1b3e"/>
          <w:sz w:val="24"/>
          <w:szCs w:val="24"/>
        </w:rPr>
        <w:t xml:space="preserve">What you leave with</w:t>
      </w:r>
    </w:p>
    <w:p>
      <w:pPr>
        <w:spacing w:after="120"/>
      </w:pPr>
      <w:r>
        <w:rPr>
          <w:color w:val="222222"/>
          <w:sz w:val="20"/>
          <w:szCs w:val="20"/>
        </w:rPr>
        <w:t xml:space="preserve">You leave fluent in two families of tooling: enough to instrument a system, analyze what comes out, and work with specialists without losing the underlying question.</w:t>
      </w:r>
    </w:p>
    <w:p>
      <w:pPr>
        <w:pStyle w:val="ListParagraph"/>
        <w:numPr>
          <w:ilvl w:val="0"/>
          <w:numId w:val="2"/>
        </w:numPr>
        <w:spacing w:after="60"/>
      </w:pPr>
      <w:r>
        <w:rPr>
          <w:b/>
          <w:bCs/>
          <w:color w:val="0d1b3e"/>
          <w:sz w:val="20"/>
          <w:szCs w:val="20"/>
        </w:rPr>
        <w:t xml:space="preserve">Analytical: </w:t>
      </w:r>
      <w:r>
        <w:rPr>
          <w:color w:val="222222"/>
          <w:sz w:val="20"/>
          <w:szCs w:val="20"/>
        </w:rPr>
        <w:t xml:space="preserve">instrumentation, learning analytics, evaluation design, and reproducible reporting.</w:t>
      </w:r>
    </w:p>
    <w:p>
      <w:pPr>
        <w:pStyle w:val="ListParagraph"/>
        <w:numPr>
          <w:ilvl w:val="0"/>
          <w:numId w:val="2"/>
        </w:numPr>
        <w:spacing w:after="60"/>
      </w:pPr>
      <w:r>
        <w:rPr>
          <w:b/>
          <w:bCs/>
          <w:color w:val="0d1b3e"/>
          <w:sz w:val="20"/>
          <w:szCs w:val="20"/>
        </w:rPr>
        <w:t xml:space="preserve">Systems: </w:t>
      </w:r>
      <w:r>
        <w:rPr>
          <w:color w:val="222222"/>
          <w:sz w:val="20"/>
          <w:szCs w:val="20"/>
        </w:rPr>
        <w:t xml:space="preserve">task analysis, requirements translation, lifecycle modeling, and gap attribution — locating where in a system a capability problem actually lives.</w:t>
      </w:r>
    </w:p>
    <w:p>
      <w:pPr>
        <w:spacing w:after="60"/>
      </w:pPr>
      <w:r>
        <w:rPr>
          <w:color w:val="222222"/>
          <w:sz w:val="20"/>
          <w:szCs w:val="20"/>
        </w:rPr>
        <w:t xml:space="preserve">Your capstone applies this work to a real problem with a partner organization. You graduate able to frame a capability problem in its real context, attribute a performance gap to the person, the system, or the organization before anyone pays to fix the wrong one, and produce evidence that leaders can use to make informed decisions.</w:t>
      </w:r>
    </w:p>
    <w:p>
      <w:pPr>
        <w:spacing w:after="160" w:before="40"/>
      </w:pPr>
      <w:r>
        <w:rPr>
          <w:i/>
          <w:iCs/>
          <w:color w:val="8a5a00"/>
          <w:sz w:val="18"/>
          <w:szCs w:val="18"/>
        </w:rPr>
        <w:t xml:space="preserve">Flag for Will: softened per Jim's comment (“keep this a little more vague for now”) — dropped the specific “three portfolio pieces” claim until you confirm what a capstone portfolio should actually promise employers.</w:t>
      </w:r>
    </w:p>
    <w:p>
      <w:pPr>
        <w:pStyle w:val="Heading2"/>
        <w:pBdr>
          <w:bottom w:val="single" w:color="c8922a" w:sz="6" w:space="3"/>
        </w:pBdr>
        <w:spacing w:after="90" w:before="200"/>
      </w:pPr>
      <w:r>
        <w:rPr>
          <w:b/>
          <w:bCs/>
          <w:color w:val="0d1b3e"/>
          <w:sz w:val="24"/>
          <w:szCs w:val="24"/>
        </w:rPr>
        <w:t xml:space="preserve">Where graduates go</w:t>
      </w:r>
    </w:p>
    <w:p>
      <w:pPr>
        <w:spacing w:after="120"/>
      </w:pPr>
      <w:r>
        <w:rPr>
          <w:color w:val="222222"/>
          <w:sz w:val="20"/>
          <w:szCs w:val="20"/>
        </w:rPr>
        <w:t xml:space="preserve">Learning engineering is both a profession and a way of working: it can lead to dedicated learning-engineering roles or strengthen the work you already do.</w:t>
      </w:r>
    </w:p>
    <w:p>
      <w:pPr>
        <w:pStyle w:val="ListParagraph"/>
        <w:numPr>
          <w:ilvl w:val="0"/>
          <w:numId w:val="2"/>
        </w:numPr>
        <w:spacing w:after="60"/>
      </w:pPr>
      <w:r>
        <w:rPr>
          <w:b/>
          <w:bCs/>
          <w:color w:val="0d1b3e"/>
          <w:sz w:val="20"/>
          <w:szCs w:val="20"/>
        </w:rPr>
        <w:t xml:space="preserve">Roles centered on learning engineering: </w:t>
      </w:r>
      <w:r>
        <w:rPr>
          <w:color w:val="222222"/>
          <w:sz w:val="20"/>
          <w:szCs w:val="20"/>
        </w:rPr>
        <w:t xml:space="preserve">learning engineer, training systems lead, learning analytics or evaluation lead, human systems integration practitioner, and roles in clinical education, simulation, readiness, and expertise development.</w:t>
      </w:r>
    </w:p>
    <w:p>
      <w:pPr>
        <w:pStyle w:val="ListParagraph"/>
        <w:numPr>
          <w:ilvl w:val="0"/>
          <w:numId w:val="2"/>
        </w:numPr>
        <w:spacing w:after="60"/>
      </w:pPr>
      <w:r>
        <w:rPr>
          <w:b/>
          <w:bCs/>
          <w:color w:val="0d1b3e"/>
          <w:sz w:val="20"/>
          <w:szCs w:val="20"/>
        </w:rPr>
        <w:t xml:space="preserve">Roles where learning engineering adds a new lens: </w:t>
      </w:r>
      <w:r>
        <w:rPr>
          <w:color w:val="222222"/>
          <w:sz w:val="20"/>
          <w:szCs w:val="20"/>
        </w:rPr>
        <w:t xml:space="preserve">edtech developers who can connect design decisions to evidence about learning; product managers who can distinguish a learning problem from a technology or workflow problem; clinician-educators who can evaluate whether learning interventions are improving practice.</w:t>
      </w:r>
    </w:p>
    <w:p>
      <w:pPr>
        <w:spacing w:after="160" w:before="40"/>
      </w:pPr>
      <w:r>
        <w:rPr>
          <w:i/>
          <w:iCs/>
          <w:color w:val="8a5a00"/>
          <w:sz w:val="18"/>
          <w:szCs w:val="18"/>
        </w:rPr>
        <w:t xml:space="preserve">Flag for Will: Jim's rewrite doesn't carry forward the old closing line (“Either way, you become the person employers cannot yet hire for by title...”). Dropped here since it wasn't in his replacement — restore or rewrite it if you want that closing beat back.</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2026-09-22T14:38:46.613Z</dcterms:created>
  <dcterms:modified xsi:type="dcterms:W3CDTF">2026-09-22T14:38:46.613Z</dcterms:modified>
</cp:coreProperties>
</file>

<file path=docProps/custom.xml><?xml version="1.0" encoding="utf-8"?>
<Properties xmlns="http://schemas.openxmlformats.org/officeDocument/2006/custom-properties" xmlns:vt="http://schemas.openxmlformats.org/officeDocument/2006/docPropsVTypes"/>
</file>