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203835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38350" cy="1038225"/>
                    </a:xfrm>
                    <a:prstGeom prst="rect">
                      <a:avLst/>
                    </a:prstGeom>
                  </pic:spPr>
                </pic:pic>
              </a:graphicData>
            </a:graphic>
          </wp:inline>
        </w:drawing>
      </w:r>
    </w:p>
    <w:p>
      <w:pPr>
        <w:spacing w:after="60" w:before="0"/>
      </w:pPr>
      <w:r>
        <w:rPr>
          <w:rFonts w:ascii="Calibri" w:cs="Calibri" w:eastAsia="Calibri" w:hAnsi="Calibri"/>
          <w:b/>
          <w:bCs/>
          <w:sz w:val="30"/>
          <w:szCs w:val="30"/>
        </w:rPr>
        <w:t xml:space="preserve">Principles of Learning Engineering for Complex Systems</w:t>
      </w:r>
    </w:p>
    <w:p>
      <w:pPr>
        <w:spacing w:after="60" w:before="0"/>
      </w:pPr>
      <w:r>
        <w:rPr>
          <w:rFonts w:ascii="Calibri" w:cs="Calibri" w:eastAsia="Calibri" w:hAnsi="Calibri"/>
          <w:b/>
          <w:bCs/>
          <w:sz w:val="24"/>
          <w:szCs w:val="24"/>
        </w:rPr>
        <w:t xml:space="preserve">LEN 1 · ED.XXX.XXX (pending SOE assignment)</w:t>
      </w:r>
    </w:p>
    <w:p>
      <w:pPr>
        <w:spacing w:after="200" w:before="0"/>
      </w:pPr>
      <w:r>
        <w:rPr>
          <w:rFonts w:ascii="Calibri" w:cs="Calibri" w:eastAsia="Calibri" w:hAnsi="Calibri"/>
          <w:sz w:val="24"/>
          <w:szCs w:val="24"/>
        </w:rPr>
        <w:t xml:space="preserve">Spring 2027</w:t>
      </w:r>
    </w:p>
    <w:p>
      <w:pPr>
        <w:spacing w:after="20"/>
      </w:pPr>
      <w:r>
        <w:rPr>
          <w:rFonts w:ascii="Calibri" w:cs="Calibri" w:eastAsia="Calibri" w:hAnsi="Calibri"/>
          <w:b/>
          <w:bCs/>
          <w:sz w:val="22"/>
          <w:szCs w:val="22"/>
        </w:rPr>
        <w:t xml:space="preserve">Instructor(s): </w:t>
      </w:r>
      <w:r>
        <w:rPr>
          <w:rFonts w:ascii="Calibri" w:cs="Calibri" w:eastAsia="Calibri" w:hAnsi="Calibri"/>
          <w:sz w:val="22"/>
          <w:szCs w:val="22"/>
        </w:rPr>
        <w:t xml:space="preserve">William Gray-Roncal, PhD</w:t>
      </w:r>
    </w:p>
    <w:p>
      <w:pPr>
        <w:spacing w:after="20"/>
      </w:pPr>
      <w:r>
        <w:rPr>
          <w:rFonts w:ascii="Calibri" w:cs="Calibri" w:eastAsia="Calibri" w:hAnsi="Calibri"/>
          <w:sz w:val="22"/>
          <w:szCs w:val="22"/>
        </w:rPr>
        <w:t xml:space="preserve">Office Hours on Request</w:t>
      </w:r>
    </w:p>
    <w:p>
      <w:pPr>
        <w:spacing w:after="140"/>
      </w:pPr>
      <w:r>
        <w:rPr>
          <w:rFonts w:ascii="Calibri" w:cs="Calibri" w:eastAsia="Calibri" w:hAnsi="Calibri"/>
          <w:sz w:val="22"/>
          <w:szCs w:val="22"/>
        </w:rPr>
        <w:t xml:space="preserve">wgr@jhu.edu</w:t>
      </w:r>
    </w:p>
    <w:p>
      <w:pPr>
        <w:spacing w:after="20"/>
      </w:pPr>
      <w:r>
        <w:rPr>
          <w:rFonts w:ascii="Calibri" w:cs="Calibri" w:eastAsia="Calibri" w:hAnsi="Calibri"/>
          <w:b/>
          <w:bCs/>
          <w:sz w:val="22"/>
          <w:szCs w:val="22"/>
        </w:rPr>
        <w:t xml:space="preserve">Credit Hours: </w:t>
      </w:r>
      <w:r>
        <w:rPr>
          <w:rFonts w:ascii="Calibri" w:cs="Calibri" w:eastAsia="Calibri" w:hAnsi="Calibri"/>
          <w:sz w:val="22"/>
          <w:szCs w:val="22"/>
        </w:rPr>
        <w:t xml:space="preserve">3</w:t>
      </w:r>
    </w:p>
    <w:p>
      <w:pPr>
        <w:spacing w:after="140"/>
      </w:pPr>
      <w:r>
        <w:rPr>
          <w:rFonts w:ascii="Calibri" w:cs="Calibri" w:eastAsia="Calibri" w:hAnsi="Calibri"/>
          <w:b/>
          <w:bCs/>
          <w:sz w:val="22"/>
          <w:szCs w:val="22"/>
        </w:rPr>
        <w:t xml:space="preserve">Class Times: </w:t>
      </w:r>
      <w:r>
        <w:rPr>
          <w:rFonts w:ascii="Calibri" w:cs="Calibri" w:eastAsia="Calibri" w:hAnsi="Calibri"/>
          <w:sz w:val="22"/>
          <w:szCs w:val="22"/>
        </w:rPr>
        <w:t xml:space="preserve">Online, asynchronous; 15 weeks. No required synchronous sessions. Optional live office hours are scheduled in Week 1.</w:t>
      </w:r>
    </w:p>
    <w:p>
      <w:pPr>
        <w:spacing w:after="140"/>
      </w:pPr>
      <w:r>
        <w:rPr>
          <w:rFonts w:ascii="Calibri" w:cs="Calibri" w:eastAsia="Calibri" w:hAnsi="Calibri"/>
          <w:b/>
          <w:bCs/>
          <w:sz w:val="22"/>
          <w:szCs w:val="22"/>
        </w:rPr>
        <w:t xml:space="preserve">Course Description: </w:t>
      </w:r>
      <w:r>
        <w:rPr>
          <w:rFonts w:ascii="Calibri" w:cs="Calibri" w:eastAsia="Calibri" w:hAnsi="Calibri"/>
          <w:sz w:val="22"/>
          <w:szCs w:val="22"/>
        </w:rPr>
        <w:t xml:space="preserve">First course in the LENS concentration sequence. Learning engineering treats human capability as an engineering problem: capability is the interface between what a system requires of its people and the impact that system delivers. Engineering that interface is the central problem of the field, and it applies wherever human capability and system performance are coupled: a learning environment, an AI-augmented intervention, an operational system. This course establishes three things the rest of the concentration builds on. The frame: seeing a capability problem as a failure at that interface rather than as a technology or training problem. The measurement backbone: specifying what would count as evidence of a capability before building what develops it, and closing the loop between evidence and design. The build: one complete iteration cycle, design, instrument, evaluate, refine, run on a bounded problem from the student's own professional world. Students apply learning sciences principles to the design of a capability intervention, represent a learning environment and its host system as interacting components, and communicate an iteration and its evidence to technical and non-technical audiences. The course draws on learning sciences, human systems integration, and systems engineering, and treats ethics as a design constraint rather than an add-on. Open to students outside the concentration with instructor permission.</w:t>
      </w:r>
    </w:p>
    <w:p>
      <w:pPr>
        <w:spacing w:after="100"/>
      </w:pPr>
      <w:r>
        <w:rPr>
          <w:rFonts w:ascii="Calibri" w:cs="Calibri" w:eastAsia="Calibri" w:hAnsi="Calibri"/>
          <w:b/>
          <w:bCs/>
          <w:sz w:val="22"/>
          <w:szCs w:val="22"/>
        </w:rPr>
        <w:t xml:space="preserve">Prerequisites: </w:t>
      </w:r>
      <w:r>
        <w:rPr>
          <w:rFonts w:ascii="Calibri" w:cs="Calibri" w:eastAsia="Calibri" w:hAnsi="Calibri"/>
          <w:sz w:val="22"/>
          <w:szCs w:val="22"/>
        </w:rPr>
        <w:t xml:space="preserve">LDT F1 (Learning Sciences Studio).</w:t>
      </w:r>
    </w:p>
    <w:p>
      <w:pPr>
        <w:pStyle w:val="Heading1"/>
        <w:keepNext/>
        <w:spacing w:after="120" w:before="260"/>
        <w:outlineLvl w:val="0"/>
      </w:pPr>
      <w:r>
        <w:rPr>
          <w:rFonts w:ascii="Calibri" w:cs="Calibri" w:eastAsia="Calibri" w:hAnsi="Calibri"/>
          <w:b/>
          <w:bCs/>
          <w:color w:val="000000"/>
          <w:sz w:val="26"/>
          <w:szCs w:val="26"/>
        </w:rPr>
        <w:t xml:space="preserve">Course and Program Learning Objectives, and Assessments</w:t>
      </w:r>
    </w:p>
    <w:p>
      <w:pPr>
        <w:spacing w:after="100" w:before="0"/>
      </w:pPr>
      <w:r>
        <w:rPr>
          <w:rFonts w:ascii="Calibri" w:cs="Calibri" w:eastAsia="Calibri" w:hAnsi="Calibri"/>
          <w:sz w:val="22"/>
          <w:szCs w:val="22"/>
        </w:rPr>
        <w:t xml:space="preserve">On completion of this course, students will be able to do the following. Each course learning objective is aligned to the Learning Design and Technology program learning objectives it serves, at subobjective grain, in the table below.</w:t>
      </w:r>
    </w:p>
    <w:p>
      <w:pPr>
        <w:pStyle w:val="Heading1"/>
        <w:keepNext/>
        <w:spacing w:after="120" w:before="260"/>
        <w:outlineLvl w:val="0"/>
      </w:pPr>
      <w:r>
        <w:rPr>
          <w:rFonts w:ascii="Calibri" w:cs="Calibri" w:eastAsia="Calibri" w:hAnsi="Calibri"/>
          <w:b/>
          <w:bCs/>
          <w:color w:val="000000"/>
          <w:sz w:val="26"/>
          <w:szCs w:val="26"/>
        </w:rPr>
        <w:t xml:space="preserve">Alignment of Course Learning Objectives, Program Learning Objectives, and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100"/>
        <w:gridCol w:w="3360"/>
      </w:tblGrid>
      <w:tr>
        <w:trPr>
          <w:tblHeader/>
        </w:trPr>
        <w:tc>
          <w:tcPr>
            <w:tcW w:type="dxa" w:w="390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Course Learning Objectives</w:t>
            </w:r>
          </w:p>
        </w:tc>
        <w:tc>
          <w:tcPr>
            <w:tcW w:type="dxa" w:w="210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Alignment to PLO</w:t>
            </w:r>
          </w:p>
        </w:tc>
        <w:tc>
          <w:tcPr>
            <w:tcW w:type="dxa" w:w="336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Assignment Titles</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1. Define capability as the interface between what a system requires of its people and the impact it delivers, and decompose a performance requirement into measurable capability requirements, for a learning environment or an operational system.</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1.3; PLO 1.4</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Assignment 1: Capability Measurement Plan</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2. Apply learning sciences principles (cognitive, motivational, sociocultural) to the design of a capability intervention under a real constraint.</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1.1; PLO 1.4; PLO 1.5</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Assignment 2: Iteration Cycle Report</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3. Represent a learning environment and its host system as interacting components with defined interfaces and feedback loops, and locate where capability decisions occur.</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2.2</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Assignment 1: Capability Measurement Plan</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4. Specify what would count as evidence of a capability before building what develops it, and design a measurement plan that could produce that evidence.</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6.1; PLO 6.4</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Assignment 1: Capability Measurement Plan</w:t>
            </w:r>
          </w:p>
        </w:tc>
      </w:tr>
      <w:tr>
        <w:tc>
          <w:tcPr>
            <w:tcW w:type="dxa" w:w="3900"/>
            <w:tcMar>
              <w:top w:type="dxa" w:w="60"/>
              <w:left w:type="dxa" w:w="100"/>
              <w:bottom w:type="dxa" w:w="60"/>
              <w:right w:type="dxa" w:w="100"/>
            </w:tcMar>
          </w:tcPr>
          <w:p>
            <w:pPr>
              <w:spacing w:after="0"/>
            </w:pPr>
            <w:r>
              <w:rPr>
                <w:rFonts w:ascii="Calibri" w:cs="Calibri" w:eastAsia="Calibri" w:hAnsi="Calibri"/>
                <w:sz w:val="20"/>
                <w:szCs w:val="20"/>
              </w:rPr>
              <w:t xml:space="preserve">CLO 5. Execute one complete iteration cycle (design, instrument, evaluate, refine) on a bounded capability problem, and communicate the iteration and its evidence to a mixed technical and non-technical audience.</w:t>
            </w:r>
          </w:p>
        </w:tc>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PLO 1.5; PLO 2.2; PLO 3.2; PLO 4.2 †; PLO 6.2</w:t>
            </w:r>
          </w:p>
        </w:tc>
        <w:tc>
          <w:tcPr>
            <w:tcW w:type="dxa" w:w="3360"/>
            <w:tcMar>
              <w:top w:type="dxa" w:w="60"/>
              <w:left w:type="dxa" w:w="100"/>
              <w:bottom w:type="dxa" w:w="60"/>
              <w:right w:type="dxa" w:w="100"/>
            </w:tcMar>
          </w:tcPr>
          <w:p>
            <w:pPr>
              <w:spacing w:after="0"/>
            </w:pPr>
            <w:r>
              <w:rPr>
                <w:rFonts w:ascii="Calibri" w:cs="Calibri" w:eastAsia="Calibri" w:hAnsi="Calibri"/>
                <w:sz w:val="20"/>
                <w:szCs w:val="20"/>
              </w:rPr>
              <w:t xml:space="preserve">Assignment 2: Iteration Cycle Report; Final: Iteration Briefing</w:t>
            </w:r>
          </w:p>
        </w:tc>
      </w:tr>
    </w:tbl>
    <w:p>
      <w:pPr>
        <w:spacing w:after="120" w:before="0"/>
      </w:pPr>
      <w:r>
        <w:rPr>
          <w:rFonts w:ascii="Calibri" w:cs="Calibri" w:eastAsia="Calibri" w:hAnsi="Calibri"/>
          <w:i/>
          <w:iCs/>
          <w:sz w:val="18"/>
          <w:szCs w:val="18"/>
        </w:rPr>
        <w:t xml:space="preserve">† PLO 4.2 is carried directly by this course's final briefing, which is delivered to a mixed technical and non-technical audience. The course mapping of record (LENS Objectives and Course Mapping, §5.2) lists LEN 1 as PLO-1, PLO-2, PLO-3, PLO-4, PLO-6 as of the September 2026 redesign.</w:t>
      </w:r>
    </w:p>
    <w:p>
      <w:pPr>
        <w:pStyle w:val="Heading1"/>
        <w:keepNext/>
        <w:spacing w:after="120" w:before="260"/>
        <w:outlineLvl w:val="0"/>
      </w:pPr>
      <w:r>
        <w:rPr>
          <w:rFonts w:ascii="Calibri" w:cs="Calibri" w:eastAsia="Calibri" w:hAnsi="Calibri"/>
          <w:b/>
          <w:bCs/>
          <w:color w:val="000000"/>
          <w:sz w:val="26"/>
          <w:szCs w:val="26"/>
        </w:rPr>
        <w:t xml:space="preserve">Program Learning Outcomes (PLOs)</w:t>
      </w:r>
    </w:p>
    <w:p>
      <w:pPr>
        <w:spacing w:after="100" w:before="0"/>
      </w:pPr>
      <w:r>
        <w:rPr>
          <w:rFonts w:ascii="Calibri" w:cs="Calibri" w:eastAsia="Calibri" w:hAnsi="Calibri"/>
          <w:sz w:val="22"/>
          <w:szCs w:val="22"/>
        </w:rPr>
        <w:t xml:space="preserve">Upon successful completion of the Learning Design and Technology program, graduates will demonstrate competence in six areas. All six are listed below at subobjective grain. The subobjectives this course carries are marked with a bullet and appear in the alignment table above; the remainder are carried elsewhere in the program.</w:t>
      </w:r>
    </w:p>
    <w:p>
      <w:pPr>
        <w:keepNext/>
        <w:keepLines/>
        <w:spacing w:after="40" w:before="160"/>
      </w:pPr>
      <w:r>
        <w:rPr>
          <w:rFonts w:ascii="Calibri" w:cs="Calibri" w:eastAsia="Calibri" w:hAnsi="Calibri"/>
          <w:b/>
          <w:bCs/>
          <w:sz w:val="22"/>
          <w:szCs w:val="22"/>
        </w:rPr>
        <w:t xml:space="preserve">PLO 1. Theory and Evidence in the Design of Experiences and Solutions</w:t>
      </w:r>
    </w:p>
    <w:p>
      <w:pPr>
        <w:keepNext/>
        <w:keepLines/>
        <w:spacing w:after="60"/>
      </w:pPr>
      <w:r>
        <w:rPr>
          <w:rFonts w:ascii="Calibri" w:cs="Calibri" w:eastAsia="Calibri" w:hAnsi="Calibri"/>
          <w:i/>
          <w:iCs/>
          <w:sz w:val="20"/>
          <w:szCs w:val="20"/>
        </w:rPr>
        <w:t xml:space="preserve">Integration of theoretical and empirical evidence from the learning sciences, media, and technology to design effective digital learning experiences and solutions.</w:t>
      </w:r>
    </w:p>
    <w:p>
      <w:pPr>
        <w:spacing w:after="40"/>
        <w:ind w:left="400" w:hanging="240"/>
      </w:pPr>
      <w:r>
        <w:rPr>
          <w:rFonts w:ascii="Calibri" w:cs="Calibri" w:eastAsia="Calibri" w:hAnsi="Calibri"/>
          <w:b/>
          <w:bCs/>
          <w:sz w:val="20"/>
          <w:szCs w:val="20"/>
        </w:rPr>
        <w:t xml:space="preserve">● 1.1  Describe and differentiate theories and ideas from the learning sciences, motivation, and media/technology.</w:t>
      </w:r>
    </w:p>
    <w:p>
      <w:pPr>
        <w:spacing w:after="40"/>
        <w:ind w:left="400" w:hanging="240"/>
      </w:pPr>
      <w:r>
        <w:rPr>
          <w:rFonts w:ascii="Calibri" w:cs="Calibri" w:eastAsia="Calibri" w:hAnsi="Calibri"/>
          <w:b w:val="false"/>
          <w:bCs w:val="false"/>
          <w:sz w:val="20"/>
          <w:szCs w:val="20"/>
        </w:rPr>
        <w:t xml:space="preserve">1.2  Use a variety of digital technologies to develop learning experiences or solutions for different learning environments and learners.</w:t>
      </w:r>
    </w:p>
    <w:p>
      <w:pPr>
        <w:spacing w:after="40"/>
        <w:ind w:left="400" w:hanging="240"/>
      </w:pPr>
      <w:r>
        <w:rPr>
          <w:rFonts w:ascii="Calibri" w:cs="Calibri" w:eastAsia="Calibri" w:hAnsi="Calibri"/>
          <w:b/>
          <w:bCs/>
          <w:sz w:val="20"/>
          <w:szCs w:val="20"/>
        </w:rPr>
        <w:t xml:space="preserve">● 1.3  Analyze and evaluate design options to identify appropriate and applicable theories and practices to accomplish intended instructional outcomes in a given context and for a learner population.</w:t>
      </w:r>
    </w:p>
    <w:p>
      <w:pPr>
        <w:spacing w:after="40"/>
        <w:ind w:left="400" w:hanging="240"/>
      </w:pPr>
      <w:r>
        <w:rPr>
          <w:rFonts w:ascii="Calibri" w:cs="Calibri" w:eastAsia="Calibri" w:hAnsi="Calibri"/>
          <w:b/>
          <w:bCs/>
          <w:sz w:val="20"/>
          <w:szCs w:val="20"/>
        </w:rPr>
        <w:t xml:space="preserve">● 1.4  Justify design and deployment decisions based on theory, ideas, models, or evidence.</w:t>
      </w:r>
    </w:p>
    <w:p>
      <w:pPr>
        <w:spacing w:after="40"/>
        <w:ind w:left="400" w:hanging="240"/>
      </w:pPr>
      <w:r>
        <w:rPr>
          <w:rFonts w:ascii="Calibri" w:cs="Calibri" w:eastAsia="Calibri" w:hAnsi="Calibri"/>
          <w:b/>
          <w:bCs/>
          <w:sz w:val="20"/>
          <w:szCs w:val="20"/>
        </w:rPr>
        <w:t xml:space="preserve">● 1.5  Design, develop, and deploy digital education solutions grounded in ideas and theories from the learning sciences, motivation, and media/technology.</w:t>
      </w:r>
    </w:p>
    <w:p>
      <w:pPr>
        <w:keepNext/>
        <w:keepLines/>
        <w:spacing w:after="40" w:before="160"/>
      </w:pPr>
      <w:r>
        <w:rPr>
          <w:rFonts w:ascii="Calibri" w:cs="Calibri" w:eastAsia="Calibri" w:hAnsi="Calibri"/>
          <w:b/>
          <w:bCs/>
          <w:sz w:val="22"/>
          <w:szCs w:val="22"/>
        </w:rPr>
        <w:t xml:space="preserve">PLO 2. Ethical and Human-Centered Learning Solutions</w:t>
      </w:r>
    </w:p>
    <w:p>
      <w:pPr>
        <w:keepNext/>
        <w:keepLines/>
        <w:spacing w:after="60"/>
      </w:pPr>
      <w:r>
        <w:rPr>
          <w:rFonts w:ascii="Calibri" w:cs="Calibri" w:eastAsia="Calibri" w:hAnsi="Calibri"/>
          <w:i/>
          <w:iCs/>
          <w:sz w:val="20"/>
          <w:szCs w:val="20"/>
        </w:rPr>
        <w:t xml:space="preserve">Creation of learning solutions that are ethical, inclusive, and focused on the diverse needs of learners, adhering to best practices and industry standards.</w:t>
      </w:r>
    </w:p>
    <w:p>
      <w:pPr>
        <w:spacing w:after="40"/>
        <w:ind w:left="400" w:hanging="240"/>
      </w:pPr>
      <w:r>
        <w:rPr>
          <w:rFonts w:ascii="Calibri" w:cs="Calibri" w:eastAsia="Calibri" w:hAnsi="Calibri"/>
          <w:b w:val="false"/>
          <w:bCs w:val="false"/>
          <w:sz w:val="20"/>
          <w:szCs w:val="20"/>
        </w:rPr>
        <w:t xml:space="preserve">2.1  Identify and distinguish among diverse learner needs and incorporate these considerations into technology-supported learning experiences and solutions.</w:t>
      </w:r>
    </w:p>
    <w:p>
      <w:pPr>
        <w:spacing w:after="40"/>
        <w:ind w:left="400" w:hanging="240"/>
      </w:pPr>
      <w:r>
        <w:rPr>
          <w:rFonts w:ascii="Calibri" w:cs="Calibri" w:eastAsia="Calibri" w:hAnsi="Calibri"/>
          <w:b/>
          <w:bCs/>
          <w:sz w:val="20"/>
          <w:szCs w:val="20"/>
        </w:rPr>
        <w:t xml:space="preserve">● 2.2  Apply systematic models and systems thinking to create ethical, learner-focused digital tools and curricula.</w:t>
      </w:r>
    </w:p>
    <w:p>
      <w:pPr>
        <w:spacing w:after="40"/>
        <w:ind w:left="400" w:hanging="240"/>
      </w:pPr>
      <w:r>
        <w:rPr>
          <w:rFonts w:ascii="Calibri" w:cs="Calibri" w:eastAsia="Calibri" w:hAnsi="Calibri"/>
          <w:b w:val="false"/>
          <w:bCs w:val="false"/>
          <w:sz w:val="20"/>
          <w:szCs w:val="20"/>
        </w:rPr>
        <w:t xml:space="preserve">2.3  Evaluate learning solutions to ensure they advance equity and inclusivity across varied contexts.</w:t>
      </w:r>
    </w:p>
    <w:p>
      <w:pPr>
        <w:spacing w:after="40"/>
        <w:ind w:left="400" w:hanging="240"/>
      </w:pPr>
      <w:r>
        <w:rPr>
          <w:rFonts w:ascii="Calibri" w:cs="Calibri" w:eastAsia="Calibri" w:hAnsi="Calibri"/>
          <w:b w:val="false"/>
          <w:bCs w:val="false"/>
          <w:sz w:val="20"/>
          <w:szCs w:val="20"/>
        </w:rPr>
        <w:t xml:space="preserve">2.4  Design and develop accessible, inclusive, and flexible technology-supported learning experiences or solutions.</w:t>
      </w:r>
    </w:p>
    <w:p>
      <w:pPr>
        <w:keepNext/>
        <w:keepLines/>
        <w:spacing w:after="40" w:before="160"/>
      </w:pPr>
      <w:r>
        <w:rPr>
          <w:rFonts w:ascii="Calibri" w:cs="Calibri" w:eastAsia="Calibri" w:hAnsi="Calibri"/>
          <w:b/>
          <w:bCs/>
          <w:sz w:val="22"/>
          <w:szCs w:val="22"/>
        </w:rPr>
        <w:t xml:space="preserve">PLO 3. Collaboration and Leadership in Educational Technology</w:t>
      </w:r>
    </w:p>
    <w:p>
      <w:pPr>
        <w:keepNext/>
        <w:keepLines/>
        <w:spacing w:after="60"/>
      </w:pPr>
      <w:r>
        <w:rPr>
          <w:rFonts w:ascii="Calibri" w:cs="Calibri" w:eastAsia="Calibri" w:hAnsi="Calibri"/>
          <w:i/>
          <w:iCs/>
          <w:sz w:val="20"/>
          <w:szCs w:val="20"/>
        </w:rPr>
        <w:t xml:space="preserve">Effective collaboration with stakeholders and leadership in the design, implementation, and evaluation of educational technology solutions.</w:t>
      </w:r>
    </w:p>
    <w:p>
      <w:pPr>
        <w:spacing w:after="40"/>
        <w:ind w:left="400" w:hanging="240"/>
      </w:pPr>
      <w:r>
        <w:rPr>
          <w:rFonts w:ascii="Calibri" w:cs="Calibri" w:eastAsia="Calibri" w:hAnsi="Calibri"/>
          <w:b w:val="false"/>
          <w:bCs w:val="false"/>
          <w:sz w:val="20"/>
          <w:szCs w:val="20"/>
        </w:rPr>
        <w:t xml:space="preserve">3.1  Collaborate with various involved and interested parties in a constructive, professional, and respectful way.</w:t>
      </w:r>
    </w:p>
    <w:p>
      <w:pPr>
        <w:spacing w:after="40"/>
        <w:ind w:left="400" w:hanging="240"/>
      </w:pPr>
      <w:r>
        <w:rPr>
          <w:rFonts w:ascii="Calibri" w:cs="Calibri" w:eastAsia="Calibri" w:hAnsi="Calibri"/>
          <w:b/>
          <w:bCs/>
          <w:sz w:val="20"/>
          <w:szCs w:val="20"/>
        </w:rPr>
        <w:t xml:space="preserve">● 3.2  Communicate shared visions for technology-supported solutions.</w:t>
      </w:r>
    </w:p>
    <w:p>
      <w:pPr>
        <w:spacing w:after="40"/>
        <w:ind w:left="400" w:hanging="240"/>
      </w:pPr>
      <w:r>
        <w:rPr>
          <w:rFonts w:ascii="Calibri" w:cs="Calibri" w:eastAsia="Calibri" w:hAnsi="Calibri"/>
          <w:b w:val="false"/>
          <w:bCs w:val="false"/>
          <w:sz w:val="20"/>
          <w:szCs w:val="20"/>
        </w:rPr>
        <w:t xml:space="preserve">3.3  Lead efforts to ensure the quality of technology-supported learning experiences.</w:t>
      </w:r>
    </w:p>
    <w:p>
      <w:pPr>
        <w:spacing w:after="40"/>
        <w:ind w:left="400" w:hanging="240"/>
      </w:pPr>
      <w:r>
        <w:rPr>
          <w:rFonts w:ascii="Calibri" w:cs="Calibri" w:eastAsia="Calibri" w:hAnsi="Calibri"/>
          <w:b w:val="false"/>
          <w:bCs w:val="false"/>
          <w:sz w:val="20"/>
          <w:szCs w:val="20"/>
        </w:rPr>
        <w:t xml:space="preserve">3.4  Lead ongoing evaluation efforts to continuously improve the selection and implementation of technologies and technology-based solutions.</w:t>
      </w:r>
    </w:p>
    <w:p>
      <w:pPr>
        <w:spacing w:after="40"/>
        <w:ind w:left="400" w:hanging="240"/>
      </w:pPr>
      <w:r>
        <w:rPr>
          <w:rFonts w:ascii="Calibri" w:cs="Calibri" w:eastAsia="Calibri" w:hAnsi="Calibri"/>
          <w:b w:val="false"/>
          <w:bCs w:val="false"/>
          <w:sz w:val="20"/>
          <w:szCs w:val="20"/>
        </w:rPr>
        <w:t xml:space="preserve">3.5  Collaborate and lead to develop evidence-based solutions to address instructional and/or programmatic needs using a variety of appropriate educational technologies and techniques.</w:t>
      </w:r>
    </w:p>
    <w:p>
      <w:pPr>
        <w:keepNext/>
        <w:keepLines/>
        <w:spacing w:after="40" w:before="160"/>
      </w:pPr>
      <w:r>
        <w:rPr>
          <w:rFonts w:ascii="Calibri" w:cs="Calibri" w:eastAsia="Calibri" w:hAnsi="Calibri"/>
          <w:b/>
          <w:bCs/>
          <w:sz w:val="22"/>
          <w:szCs w:val="22"/>
        </w:rPr>
        <w:t xml:space="preserve">PLO 4. Communication Competence</w:t>
      </w:r>
    </w:p>
    <w:p>
      <w:pPr>
        <w:keepNext/>
        <w:keepLines/>
        <w:spacing w:after="60"/>
      </w:pPr>
      <w:r>
        <w:rPr>
          <w:rFonts w:ascii="Calibri" w:cs="Calibri" w:eastAsia="Calibri" w:hAnsi="Calibri"/>
          <w:i/>
          <w:iCs/>
          <w:sz w:val="20"/>
          <w:szCs w:val="20"/>
        </w:rPr>
        <w:t xml:space="preserve">Communicating design and pedagogical decisions effectively using various media and tailored to diverse audiences.</w:t>
      </w:r>
    </w:p>
    <w:p>
      <w:pPr>
        <w:spacing w:after="40"/>
        <w:ind w:left="400" w:hanging="240"/>
      </w:pPr>
      <w:r>
        <w:rPr>
          <w:rFonts w:ascii="Calibri" w:cs="Calibri" w:eastAsia="Calibri" w:hAnsi="Calibri"/>
          <w:b w:val="false"/>
          <w:bCs w:val="false"/>
          <w:sz w:val="20"/>
          <w:szCs w:val="20"/>
        </w:rPr>
        <w:t xml:space="preserve">4.1  Craft effective messages using appropriate media in written, verbal, and visual modalities.</w:t>
      </w:r>
    </w:p>
    <w:p>
      <w:pPr>
        <w:spacing w:after="40"/>
        <w:ind w:left="400" w:hanging="240"/>
      </w:pPr>
      <w:r>
        <w:rPr>
          <w:rFonts w:ascii="Calibri" w:cs="Calibri" w:eastAsia="Calibri" w:hAnsi="Calibri"/>
          <w:b/>
          <w:bCs/>
          <w:sz w:val="20"/>
          <w:szCs w:val="20"/>
        </w:rPr>
        <w:t xml:space="preserve">● 4.2  Articulate and justify pedagogical, design, and development decisions to diverse audiences.</w:t>
      </w:r>
    </w:p>
    <w:p>
      <w:pPr>
        <w:spacing w:after="40"/>
        <w:ind w:left="400" w:hanging="240"/>
      </w:pPr>
      <w:r>
        <w:rPr>
          <w:rFonts w:ascii="Calibri" w:cs="Calibri" w:eastAsia="Calibri" w:hAnsi="Calibri"/>
          <w:b w:val="false"/>
          <w:bCs w:val="false"/>
          <w:sz w:val="20"/>
          <w:szCs w:val="20"/>
        </w:rPr>
        <w:t xml:space="preserve">4.3  Communicate effectively with all invested parties to facilitate the design and development of learning products and solutions.</w:t>
      </w:r>
    </w:p>
    <w:p>
      <w:pPr>
        <w:keepNext/>
        <w:keepLines/>
        <w:spacing w:after="40" w:before="160"/>
      </w:pPr>
      <w:r>
        <w:rPr>
          <w:rFonts w:ascii="Calibri" w:cs="Calibri" w:eastAsia="Calibri" w:hAnsi="Calibri"/>
          <w:b/>
          <w:bCs/>
          <w:sz w:val="22"/>
          <w:szCs w:val="22"/>
        </w:rPr>
        <w:t xml:space="preserve">PLO 5. Sociocultural Aspects of Educational Technology</w:t>
      </w:r>
    </w:p>
    <w:p>
      <w:pPr>
        <w:keepNext/>
        <w:keepLines/>
        <w:spacing w:after="60"/>
      </w:pPr>
      <w:r>
        <w:rPr>
          <w:rFonts w:ascii="Calibri" w:cs="Calibri" w:eastAsia="Calibri" w:hAnsi="Calibri"/>
          <w:i/>
          <w:iCs/>
          <w:sz w:val="20"/>
          <w:szCs w:val="20"/>
        </w:rPr>
        <w:t xml:space="preserve">Analysis of sociocultural factors, including power dynamics and privilege, and development of solutions to mitigate inequities in the design and deployment of educational technology and technology-supported solutions.</w:t>
      </w:r>
    </w:p>
    <w:p>
      <w:pPr>
        <w:spacing w:after="40"/>
        <w:ind w:left="400" w:hanging="240"/>
      </w:pPr>
      <w:r>
        <w:rPr>
          <w:rFonts w:ascii="Calibri" w:cs="Calibri" w:eastAsia="Calibri" w:hAnsi="Calibri"/>
          <w:b w:val="false"/>
          <w:bCs w:val="false"/>
          <w:sz w:val="20"/>
          <w:szCs w:val="20"/>
        </w:rPr>
        <w:t xml:space="preserve">5.1  Analyze how socioeconomic systems influence technology adoption and evaluation.</w:t>
      </w:r>
    </w:p>
    <w:p>
      <w:pPr>
        <w:spacing w:after="40"/>
        <w:ind w:left="400" w:hanging="240"/>
      </w:pPr>
      <w:r>
        <w:rPr>
          <w:rFonts w:ascii="Calibri" w:cs="Calibri" w:eastAsia="Calibri" w:hAnsi="Calibri"/>
          <w:b w:val="false"/>
          <w:bCs w:val="false"/>
          <w:sz w:val="20"/>
          <w:szCs w:val="20"/>
        </w:rPr>
        <w:t xml:space="preserve">5.2  Evaluate power dynamics and privilege affecting educational technology designs and implementations.</w:t>
      </w:r>
    </w:p>
    <w:p>
      <w:pPr>
        <w:spacing w:after="40"/>
        <w:ind w:left="400" w:hanging="240"/>
      </w:pPr>
      <w:r>
        <w:rPr>
          <w:rFonts w:ascii="Calibri" w:cs="Calibri" w:eastAsia="Calibri" w:hAnsi="Calibri"/>
          <w:b w:val="false"/>
          <w:bCs w:val="false"/>
          <w:sz w:val="20"/>
          <w:szCs w:val="20"/>
        </w:rPr>
        <w:t xml:space="preserve">5.3  Develop solutions to address and prevent injustices through educational technology designs and implementations.</w:t>
      </w:r>
    </w:p>
    <w:p>
      <w:pPr>
        <w:spacing w:after="40"/>
        <w:ind w:left="400" w:hanging="240"/>
      </w:pPr>
      <w:r>
        <w:rPr>
          <w:rFonts w:ascii="Calibri" w:cs="Calibri" w:eastAsia="Calibri" w:hAnsi="Calibri"/>
          <w:b w:val="false"/>
          <w:bCs w:val="false"/>
          <w:sz w:val="20"/>
          <w:szCs w:val="20"/>
        </w:rPr>
        <w:t xml:space="preserve">5.4  Design and develop equitable, inclusive, and accessible technology-supported systems, processes, and products.</w:t>
      </w:r>
    </w:p>
    <w:p>
      <w:pPr>
        <w:keepNext/>
        <w:keepLines/>
        <w:spacing w:after="40" w:before="160"/>
      </w:pPr>
      <w:r>
        <w:rPr>
          <w:rFonts w:ascii="Calibri" w:cs="Calibri" w:eastAsia="Calibri" w:hAnsi="Calibri"/>
          <w:b/>
          <w:bCs/>
          <w:sz w:val="22"/>
          <w:szCs w:val="22"/>
        </w:rPr>
        <w:t xml:space="preserve">PLO 6. Data-Informed Learning Design, Implementation, and Evaluation</w:t>
      </w:r>
    </w:p>
    <w:p>
      <w:pPr>
        <w:keepNext/>
        <w:keepLines/>
        <w:spacing w:after="60"/>
      </w:pPr>
      <w:r>
        <w:rPr>
          <w:rFonts w:ascii="Calibri" w:cs="Calibri" w:eastAsia="Calibri" w:hAnsi="Calibri"/>
          <w:i/>
          <w:iCs/>
          <w:sz w:val="20"/>
          <w:szCs w:val="20"/>
        </w:rPr>
        <w:t xml:space="preserve">Using data to inform the design, development, and evaluation of learning experiences and technology-supported solutions, ensuring continuous improvement through evidence-based decision-making.</w:t>
      </w:r>
    </w:p>
    <w:p>
      <w:pPr>
        <w:spacing w:after="40"/>
        <w:ind w:left="400" w:hanging="240"/>
      </w:pPr>
      <w:r>
        <w:rPr>
          <w:rFonts w:ascii="Calibri" w:cs="Calibri" w:eastAsia="Calibri" w:hAnsi="Calibri"/>
          <w:b/>
          <w:bCs/>
          <w:sz w:val="20"/>
          <w:szCs w:val="20"/>
        </w:rPr>
        <w:t xml:space="preserve">● 6.1  Collect data using a variety of evaluation and research methods to gain insights into learner and educator needs and tool effectiveness.</w:t>
      </w:r>
    </w:p>
    <w:p>
      <w:pPr>
        <w:spacing w:after="40"/>
        <w:ind w:left="400" w:hanging="240"/>
      </w:pPr>
      <w:r>
        <w:rPr>
          <w:rFonts w:ascii="Calibri" w:cs="Calibri" w:eastAsia="Calibri" w:hAnsi="Calibri"/>
          <w:b/>
          <w:bCs/>
          <w:sz w:val="20"/>
          <w:szCs w:val="20"/>
        </w:rPr>
        <w:t xml:space="preserve">● 6.2  Use data to revise designs, practices, and goals based on evaluation data for continuous improvement.</w:t>
      </w:r>
    </w:p>
    <w:p>
      <w:pPr>
        <w:spacing w:after="40"/>
        <w:ind w:left="400" w:hanging="240"/>
      </w:pPr>
      <w:r>
        <w:rPr>
          <w:rFonts w:ascii="Calibri" w:cs="Calibri" w:eastAsia="Calibri" w:hAnsi="Calibri"/>
          <w:b w:val="false"/>
          <w:bCs w:val="false"/>
          <w:sz w:val="20"/>
          <w:szCs w:val="20"/>
        </w:rPr>
        <w:t xml:space="preserve">6.3  Analyze educational data using qualitative, quantitative, and mixed methods.</w:t>
      </w:r>
    </w:p>
    <w:p>
      <w:pPr>
        <w:spacing w:after="40"/>
        <w:ind w:left="400" w:hanging="240"/>
      </w:pPr>
      <w:r>
        <w:rPr>
          <w:rFonts w:ascii="Calibri" w:cs="Calibri" w:eastAsia="Calibri" w:hAnsi="Calibri"/>
          <w:b/>
          <w:bCs/>
          <w:sz w:val="20"/>
          <w:szCs w:val="20"/>
        </w:rPr>
        <w:t xml:space="preserve">● 6.4  Design and implement comprehensive data collection and analysis efforts to inform decisions concerning design, development, delivery, and evaluation of programs, processes, and/or products.</w:t>
      </w:r>
    </w:p>
    <w:p>
      <w:pPr>
        <w:pStyle w:val="Heading1"/>
        <w:keepNext/>
        <w:spacing w:after="120" w:before="260"/>
        <w:outlineLvl w:val="0"/>
      </w:pPr>
      <w:r>
        <w:rPr>
          <w:rFonts w:ascii="Calibri" w:cs="Calibri" w:eastAsia="Calibri" w:hAnsi="Calibri"/>
          <w:b/>
          <w:bCs/>
          <w:color w:val="000000"/>
          <w:sz w:val="26"/>
          <w:szCs w:val="26"/>
        </w:rPr>
        <w:t xml:space="preserve">Required Text and Other Materials</w:t>
      </w:r>
    </w:p>
    <w:p>
      <w:pPr>
        <w:spacing w:after="100" w:before="0"/>
      </w:pPr>
      <w:r>
        <w:rPr>
          <w:rFonts w:ascii="Calibri" w:cs="Calibri" w:eastAsia="Calibri" w:hAnsi="Calibri"/>
          <w:sz w:val="22"/>
          <w:szCs w:val="22"/>
        </w:rPr>
        <w:t xml:space="preserve">The following texts are required. Chapter- and article-level readings are listed in short form in the Course Outline; the full reading list with editions, selections, and access links is provided in Canvas. All other readings are available through JHU library access or open sources. No text purchase beyond the title below is required.</w:t>
      </w:r>
    </w:p>
    <w:p>
      <w:pPr>
        <w:pStyle w:val="ListParagraph"/>
        <w:numPr>
          <w:ilvl w:val="0"/>
          <w:numId w:val="1"/>
        </w:numPr>
        <w:spacing w:after="60"/>
      </w:pPr>
      <w:r>
        <w:rPr>
          <w:rFonts w:ascii="Calibri" w:cs="Calibri" w:eastAsia="Calibri" w:hAnsi="Calibri"/>
          <w:sz w:val="22"/>
          <w:szCs w:val="22"/>
        </w:rPr>
        <w:t xml:space="preserve">Goodell, J., &amp; Kolodner, J. (Eds.). (2023). Learning engineering toolkit: Evidence-based practices from the learning sciences, instructional design, and beyond. Routledge.</w:t>
      </w:r>
    </w:p>
    <w:p>
      <w:pPr>
        <w:pStyle w:val="ListParagraph"/>
        <w:numPr>
          <w:ilvl w:val="1"/>
          <w:numId w:val="1"/>
        </w:numPr>
        <w:spacing w:after="60"/>
      </w:pPr>
      <w:r>
        <w:rPr>
          <w:rFonts w:ascii="Calibri" w:cs="Calibri" w:eastAsia="Calibri" w:hAnsi="Calibri"/>
          <w:sz w:val="20"/>
          <w:szCs w:val="20"/>
        </w:rPr>
        <w:t xml:space="preserve">The Introduction, Chapter 1, and Chapter 2 are available as open access PDFs from Taylor &amp; Francis under a CC BY-NC-ND 4.0 license. Sawyer (2022) selections are provided through JHU library access; no purchase is required.</w:t>
      </w:r>
    </w:p>
    <w:p>
      <w:pPr>
        <w:pStyle w:val="ListParagraph"/>
        <w:numPr>
          <w:ilvl w:val="0"/>
          <w:numId w:val="1"/>
        </w:numPr>
        <w:spacing w:after="60"/>
      </w:pPr>
      <w:r>
        <w:rPr>
          <w:rFonts w:ascii="Calibri" w:cs="Calibri" w:eastAsia="Calibri" w:hAnsi="Calibri"/>
          <w:sz w:val="22"/>
          <w:szCs w:val="22"/>
        </w:rPr>
        <w:t xml:space="preserve">LENS Capability Matters Casebook (course edition). Provided in Canvas.</w:t>
      </w:r>
    </w:p>
    <w:p>
      <w:pPr>
        <w:pStyle w:val="ListParagraph"/>
        <w:numPr>
          <w:ilvl w:val="1"/>
          <w:numId w:val="1"/>
        </w:numPr>
        <w:spacing w:after="60"/>
      </w:pPr>
      <w:r>
        <w:rPr>
          <w:rFonts w:ascii="Calibri" w:cs="Calibri" w:eastAsia="Calibri" w:hAnsi="Calibri"/>
          <w:sz w:val="20"/>
          <w:szCs w:val="20"/>
        </w:rPr>
        <w:t xml:space="preserve">Cases carry competency tags and evidence-tier flags; each is read with its tags.</w:t>
      </w:r>
    </w:p>
    <w:p>
      <w:pPr>
        <w:pStyle w:val="Heading1"/>
        <w:keepNext/>
        <w:spacing w:after="120" w:before="260"/>
        <w:outlineLvl w:val="0"/>
      </w:pPr>
      <w:r>
        <w:rPr>
          <w:rFonts w:ascii="Calibri" w:cs="Calibri" w:eastAsia="Calibri" w:hAnsi="Calibri"/>
          <w:b/>
          <w:bCs/>
          <w:color w:val="000000"/>
          <w:sz w:val="26"/>
          <w:szCs w:val="26"/>
        </w:rPr>
        <w:t xml:space="preserve">Assignments</w:t>
      </w:r>
    </w:p>
    <w:p>
      <w:pPr>
        <w:spacing w:after="100"/>
      </w:pPr>
      <w:r>
        <w:rPr>
          <w:rFonts w:ascii="Calibri" w:cs="Calibri" w:eastAsia="Calibri" w:hAnsi="Calibri"/>
          <w:b/>
          <w:bCs/>
          <w:sz w:val="22"/>
          <w:szCs w:val="22"/>
        </w:rPr>
        <w:t xml:space="preserve">Weekly discussions and labs (25%). </w:t>
      </w:r>
      <w:r>
        <w:rPr>
          <w:rFonts w:ascii="Calibri" w:cs="Calibri" w:eastAsia="Calibri" w:hAnsi="Calibri"/>
          <w:sz w:val="22"/>
          <w:szCs w:val="22"/>
        </w:rPr>
        <w:t xml:space="preserve">Each week includes either a discussion prompt tied to the module reading or a hands-on lab (modeling, measurement design, case analysis). Students post an initial substantive contribution and respond to at least two peers, with responses drawn from different professional domains where possible. Labs produce a short artifact (a system sketch, a construct definition, a measurement draft) that feeds the graded assignments. Cases are assigned weekly and carry the discussion. Participation is assessed on substance and engagement with evidence, not volume.</w:t>
      </w:r>
    </w:p>
    <w:p>
      <w:pPr>
        <w:spacing w:after="100"/>
      </w:pPr>
      <w:r>
        <w:rPr>
          <w:rFonts w:ascii="Calibri" w:cs="Calibri" w:eastAsia="Calibri" w:hAnsi="Calibri"/>
          <w:b/>
          <w:bCs/>
          <w:sz w:val="22"/>
          <w:szCs w:val="22"/>
        </w:rPr>
        <w:t xml:space="preserve">Module 1 Assignment: How Learning Engineering Succeeds or Fails (15%, due Week 2). </w:t>
      </w:r>
      <w:r>
        <w:rPr>
          <w:rFonts w:ascii="Calibri" w:cs="Calibri" w:eastAsia="Calibri" w:hAnsi="Calibri"/>
          <w:sz w:val="22"/>
          <w:szCs w:val="22"/>
        </w:rPr>
        <w:t xml:space="preserve">The one graded assignment of the framing module. Students choose two cases from the Capability Matters Casebook, one where capability work largely succeeded and one where it failed, work each with four guiding questions, and synthesize the conditions that separate them. Assessed against CLO 1, with emphasis on reasoning across cases. The Week 1 discussion (LENS in Your Own Words) and the ungraded Domain Expertise Inventory prepare for it and are not separately graded.</w:t>
      </w:r>
    </w:p>
    <w:p>
      <w:pPr>
        <w:spacing w:after="100"/>
      </w:pPr>
      <w:r>
        <w:rPr>
          <w:rFonts w:ascii="Calibri" w:cs="Calibri" w:eastAsia="Calibri" w:hAnsi="Calibri"/>
          <w:b/>
          <w:bCs/>
          <w:sz w:val="22"/>
          <w:szCs w:val="22"/>
        </w:rPr>
        <w:t xml:space="preserve">Assignment 1: Capability Measurement Plan (15%, due Week 9). </w:t>
      </w:r>
      <w:r>
        <w:rPr>
          <w:rFonts w:ascii="Calibri" w:cs="Calibri" w:eastAsia="Calibri" w:hAnsi="Calibri"/>
          <w:sz w:val="22"/>
          <w:szCs w:val="22"/>
        </w:rPr>
        <w:t xml:space="preserve">For the system the student named in Week 1, a measurement plan that states the capability requirement, sketches the learning environment and its host system as interacting components, and then specifies what would count as evidence that the capability is present, before anything is built. The plan operationalizes the capability into measurable variables, names the instruments and their limits, and states what the evidence would and would not support. Assessed against CLO 1, CLO 3, and CLO 4.</w:t>
      </w:r>
    </w:p>
    <w:p>
      <w:pPr>
        <w:spacing w:after="100"/>
      </w:pPr>
      <w:r>
        <w:rPr>
          <w:rFonts w:ascii="Calibri" w:cs="Calibri" w:eastAsia="Calibri" w:hAnsi="Calibri"/>
          <w:b/>
          <w:bCs/>
          <w:sz w:val="22"/>
          <w:szCs w:val="22"/>
        </w:rPr>
        <w:t xml:space="preserve">Assignment 2: Iteration Cycle Report (20%, due Week 13). </w:t>
      </w:r>
      <w:r>
        <w:rPr>
          <w:rFonts w:ascii="Calibri" w:cs="Calibri" w:eastAsia="Calibri" w:hAnsi="Calibri"/>
          <w:sz w:val="22"/>
          <w:szCs w:val="22"/>
        </w:rPr>
        <w:t xml:space="preserve">One complete documented iteration cycle (design, instrument, evaluate, refine) on a bounded capability problem, using the measurement plan from Assignment 1. The report presents the initial problem framing, the learning sciences principle applied and the constraint that bent it, the instrumentation used, the evidence gathered, and, critically, the revision of the problem framing that the evidence forced. The report is written in first person and defends the iteration as the student ran it. Reports that show no revision must argue why the initial framing survived. AI-augmented interventions are welcome. Assessed against CLO 2 and CLO 5.</w:t>
      </w:r>
    </w:p>
    <w:p>
      <w:pPr>
        <w:spacing w:after="100"/>
      </w:pPr>
      <w:r>
        <w:rPr>
          <w:rFonts w:ascii="Calibri" w:cs="Calibri" w:eastAsia="Calibri" w:hAnsi="Calibri"/>
          <w:b/>
          <w:bCs/>
          <w:sz w:val="22"/>
          <w:szCs w:val="22"/>
        </w:rPr>
        <w:t xml:space="preserve">Final: Iteration Briefing (25%, due Week 15). </w:t>
      </w:r>
      <w:r>
        <w:rPr>
          <w:rFonts w:ascii="Calibri" w:cs="Calibri" w:eastAsia="Calibri" w:hAnsi="Calibri"/>
          <w:sz w:val="22"/>
          <w:szCs w:val="22"/>
        </w:rPr>
        <w:t xml:space="preserve">A recorded briefing (12 minutes maximum) that communicates the iteration and its evidence to a mixed technical and non-technical audience, stating uncertainty and the limits of inference honestly. The briefing is anchored by one documented coupling failure from the Capability Matters Casebook, analyzed with the capability frame, used to make the case for why evidence matters in the student's own system. Accompanied by a short written rationale. Assessed against CLO 5.</w:t>
      </w:r>
    </w:p>
    <w:p>
      <w:pPr>
        <w:pStyle w:val="Heading1"/>
        <w:keepNext/>
        <w:spacing w:after="120" w:before="260"/>
        <w:outlineLvl w:val="0"/>
      </w:pPr>
      <w:r>
        <w:rPr>
          <w:rFonts w:ascii="Calibri" w:cs="Calibri" w:eastAsia="Calibri" w:hAnsi="Calibri"/>
          <w:b/>
          <w:bCs/>
          <w:color w:val="000000"/>
          <w:sz w:val="26"/>
          <w:szCs w:val="26"/>
        </w:rPr>
        <w:t xml:space="preserve">Evaluation and Grading</w:t>
      </w:r>
    </w:p>
    <w:p>
      <w:pPr>
        <w:spacing w:after="100" w:before="0"/>
      </w:pPr>
      <w:r>
        <w:rPr>
          <w:rFonts w:ascii="Calibri" w:cs="Calibri" w:eastAsia="Calibri" w:hAnsi="Calibri"/>
          <w:sz w:val="22"/>
          <w:szCs w:val="22"/>
        </w:rPr>
        <w:t xml:space="preserve">Course grades are determined by the weighted components below. Rubric lines reference the course learning objectives directly, so that each student's attainment profile carries its own evidence trail. Rubrics are posted in Canvas at the start of the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Assignment</w:t>
            </w:r>
          </w:p>
        </w:tc>
        <w:tc>
          <w:tcPr>
            <w:tcW w:type="dxa" w:w="240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 / Points</w:t>
            </w:r>
          </w:p>
        </w:tc>
        <w:tc>
          <w:tcPr>
            <w:tcW w:type="dxa" w:w="2400"/>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Assessments Due</w:t>
            </w:r>
          </w:p>
        </w:tc>
      </w:tr>
      <w:tr>
        <w:tc>
          <w:tcPr>
            <w:tcW w:type="dxa" w:w="4560"/>
            <w:tcMar>
              <w:top w:type="dxa" w:w="60"/>
              <w:left w:type="dxa" w:w="100"/>
              <w:bottom w:type="dxa" w:w="60"/>
              <w:right w:type="dxa" w:w="100"/>
            </w:tcMar>
          </w:tcPr>
          <w:p>
            <w:pPr>
              <w:spacing w:after="0"/>
            </w:pPr>
            <w:r>
              <w:rPr>
                <w:rFonts w:ascii="Calibri" w:cs="Calibri" w:eastAsia="Calibri" w:hAnsi="Calibri"/>
                <w:sz w:val="20"/>
                <w:szCs w:val="20"/>
              </w:rPr>
              <w:t xml:space="preserve">Weekly discussions and labs</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25%</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Weekly, Weeks 1–15</w:t>
            </w:r>
          </w:p>
        </w:tc>
      </w:tr>
      <w:tr>
        <w:tc>
          <w:tcPr>
            <w:tcW w:type="dxa" w:w="4560"/>
            <w:tcMar>
              <w:top w:type="dxa" w:w="60"/>
              <w:left w:type="dxa" w:w="100"/>
              <w:bottom w:type="dxa" w:w="60"/>
              <w:right w:type="dxa" w:w="100"/>
            </w:tcMar>
          </w:tcPr>
          <w:p>
            <w:pPr>
              <w:spacing w:after="0"/>
            </w:pPr>
            <w:r>
              <w:rPr>
                <w:rFonts w:ascii="Calibri" w:cs="Calibri" w:eastAsia="Calibri" w:hAnsi="Calibri"/>
                <w:sz w:val="20"/>
                <w:szCs w:val="20"/>
              </w:rPr>
              <w:t xml:space="preserve">Module 1 Assignment: How Learning Engineering Succeeds or Fails</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15%</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Week 2</w:t>
            </w:r>
          </w:p>
        </w:tc>
      </w:tr>
      <w:tr>
        <w:tc>
          <w:tcPr>
            <w:tcW w:type="dxa" w:w="4560"/>
            <w:tcMar>
              <w:top w:type="dxa" w:w="60"/>
              <w:left w:type="dxa" w:w="100"/>
              <w:bottom w:type="dxa" w:w="60"/>
              <w:right w:type="dxa" w:w="100"/>
            </w:tcMar>
          </w:tcPr>
          <w:p>
            <w:pPr>
              <w:spacing w:after="0"/>
            </w:pPr>
            <w:r>
              <w:rPr>
                <w:rFonts w:ascii="Calibri" w:cs="Calibri" w:eastAsia="Calibri" w:hAnsi="Calibri"/>
                <w:sz w:val="20"/>
                <w:szCs w:val="20"/>
              </w:rPr>
              <w:t xml:space="preserve">Assignment 1: Capability Measurement Plan</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15%</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Week 9</w:t>
            </w:r>
          </w:p>
        </w:tc>
      </w:tr>
      <w:tr>
        <w:tc>
          <w:tcPr>
            <w:tcW w:type="dxa" w:w="4560"/>
            <w:tcMar>
              <w:top w:type="dxa" w:w="60"/>
              <w:left w:type="dxa" w:w="100"/>
              <w:bottom w:type="dxa" w:w="60"/>
              <w:right w:type="dxa" w:w="100"/>
            </w:tcMar>
          </w:tcPr>
          <w:p>
            <w:pPr>
              <w:spacing w:after="0"/>
            </w:pPr>
            <w:r>
              <w:rPr>
                <w:rFonts w:ascii="Calibri" w:cs="Calibri" w:eastAsia="Calibri" w:hAnsi="Calibri"/>
                <w:sz w:val="20"/>
                <w:szCs w:val="20"/>
              </w:rPr>
              <w:t xml:space="preserve">Assignment 2: Iteration Cycle Report</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20%</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Week 13</w:t>
            </w:r>
          </w:p>
        </w:tc>
      </w:tr>
      <w:tr>
        <w:tc>
          <w:tcPr>
            <w:tcW w:type="dxa" w:w="4560"/>
            <w:tcMar>
              <w:top w:type="dxa" w:w="60"/>
              <w:left w:type="dxa" w:w="100"/>
              <w:bottom w:type="dxa" w:w="60"/>
              <w:right w:type="dxa" w:w="100"/>
            </w:tcMar>
          </w:tcPr>
          <w:p>
            <w:pPr>
              <w:spacing w:after="0"/>
            </w:pPr>
            <w:r>
              <w:rPr>
                <w:rFonts w:ascii="Calibri" w:cs="Calibri" w:eastAsia="Calibri" w:hAnsi="Calibri"/>
                <w:sz w:val="20"/>
                <w:szCs w:val="20"/>
              </w:rPr>
              <w:t xml:space="preserve">Final: Iteration Briefing</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25%</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Week 15</w:t>
            </w:r>
          </w:p>
        </w:tc>
      </w:tr>
      <w:tr>
        <w:tc>
          <w:tcPr>
            <w:tcW w:type="dxa" w:w="4560"/>
            <w:tcMar>
              <w:top w:type="dxa" w:w="60"/>
              <w:left w:type="dxa" w:w="100"/>
              <w:bottom w:type="dxa" w:w="60"/>
              <w:right w:type="dxa" w:w="100"/>
            </w:tcMar>
          </w:tcPr>
          <w:p>
            <w:pPr>
              <w:spacing w:after="0"/>
            </w:pPr>
            <w:r>
              <w:rPr>
                <w:rFonts w:ascii="Calibri" w:cs="Calibri" w:eastAsia="Calibri" w:hAnsi="Calibri"/>
                <w:b/>
                <w:bCs/>
                <w:sz w:val="20"/>
                <w:szCs w:val="20"/>
              </w:rPr>
              <w:t xml:space="preserve">TOTAL</w:t>
            </w:r>
          </w:p>
        </w:tc>
        <w:tc>
          <w:tcPr>
            <w:tcW w:type="dxa" w:w="2400"/>
            <w:tcMar>
              <w:top w:type="dxa" w:w="60"/>
              <w:left w:type="dxa" w:w="100"/>
              <w:bottom w:type="dxa" w:w="60"/>
              <w:right w:type="dxa" w:w="100"/>
            </w:tcMar>
          </w:tcPr>
          <w:p>
            <w:pPr>
              <w:spacing w:after="0"/>
            </w:pPr>
            <w:r>
              <w:rPr>
                <w:rFonts w:ascii="Calibri" w:cs="Calibri" w:eastAsia="Calibri" w:hAnsi="Calibri"/>
                <w:b/>
                <w:bCs/>
                <w:sz w:val="20"/>
                <w:szCs w:val="20"/>
              </w:rPr>
              <w:t xml:space="preserve">100%</w:t>
            </w:r>
          </w:p>
        </w:tc>
        <w:tc>
          <w:tcPr>
            <w:tcW w:type="dxa" w:w="2400"/>
            <w:tcMar>
              <w:top w:type="dxa" w:w="60"/>
              <w:left w:type="dxa" w:w="100"/>
              <w:bottom w:type="dxa" w:w="60"/>
              <w:right w:type="dxa" w:w="100"/>
            </w:tcMar>
          </w:tcPr>
          <w:p>
            <w:pPr>
              <w:spacing w:after="0"/>
            </w:pPr>
            <w:r>
              <w:rPr>
                <w:rFonts w:ascii="Calibri" w:cs="Calibri" w:eastAsia="Calibri" w:hAnsi="Calibri"/>
                <w:sz w:val="20"/>
                <w:szCs w:val="20"/>
              </w:rPr>
              <w:t xml:space="preserve"/>
            </w:r>
          </w:p>
        </w:tc>
      </w:tr>
    </w:tbl>
    <w:p>
      <w:pPr>
        <w:spacing w:after="120" w:before="0"/>
      </w:pPr>
      <w:r>
        <w:rPr>
          <w:rFonts w:ascii="Calibri" w:cs="Calibri" w:eastAsia="Calibri" w:hAnsi="Calibri"/>
          <w:sz w:val="22"/>
          <w:szCs w:val="22"/>
        </w:rPr>
        <w:t xml:space="preserve"/>
      </w:r>
    </w:p>
    <w:p>
      <w:pPr>
        <w:spacing w:after="100" w:before="100"/>
      </w:pPr>
      <w:r>
        <w:rPr>
          <w:rFonts w:ascii="Calibri" w:cs="Calibri" w:eastAsia="Calibri" w:hAnsi="Calibri"/>
          <w:b/>
          <w:bCs/>
          <w:sz w:val="24"/>
          <w:szCs w:val="24"/>
        </w:rPr>
        <w:t xml:space="preserve">Grading Scale</w:t>
      </w:r>
    </w:p>
    <w:p>
      <w:pPr>
        <w:spacing w:after="100" w:before="0"/>
      </w:pPr>
      <w:r>
        <w:rPr>
          <w:rFonts w:ascii="Calibri" w:cs="Calibri" w:eastAsia="Calibri" w:hAnsi="Calibri"/>
          <w:sz w:val="22"/>
          <w:szCs w:val="22"/>
        </w:rPr>
        <w:t xml:space="preserve">The grading scale is determined by the university.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40"/>
        <w:gridCol w:w="900"/>
        <w:gridCol w:w="1740"/>
        <w:gridCol w:w="900"/>
        <w:gridCol w:w="1740"/>
        <w:gridCol w:w="720"/>
        <w:gridCol w:w="720"/>
      </w:tblGrid>
      <w:tr>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A</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93.5–100%</w:t>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B+</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86.5–89.4%</w:t>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C+</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76.5–79.4%</w:t>
            </w:r>
          </w:p>
        </w:tc>
        <w:tc>
          <w:tcPr>
            <w:tcW w:type="dxa" w:w="720"/>
            <w:tcMar>
              <w:top w:type="dxa" w:w="60"/>
              <w:left w:type="dxa" w:w="100"/>
              <w:bottom w:type="dxa" w:w="60"/>
              <w:right w:type="dxa" w:w="100"/>
            </w:tcMar>
          </w:tcPr>
          <w:p>
            <w:pPr>
              <w:spacing w:after="0"/>
            </w:pPr>
            <w:r>
              <w:rPr>
                <w:rFonts w:ascii="Calibri" w:cs="Calibri" w:eastAsia="Calibri" w:hAnsi="Calibri"/>
                <w:b/>
                <w:bCs/>
                <w:sz w:val="20"/>
                <w:szCs w:val="20"/>
              </w:rPr>
              <w:t xml:space="preserve">F</w:t>
            </w:r>
          </w:p>
        </w:tc>
        <w:tc>
          <w:tcPr>
            <w:tcW w:type="dxa" w:w="720"/>
            <w:tcMar>
              <w:top w:type="dxa" w:w="60"/>
              <w:left w:type="dxa" w:w="100"/>
              <w:bottom w:type="dxa" w:w="60"/>
              <w:right w:type="dxa" w:w="100"/>
            </w:tcMar>
          </w:tcPr>
          <w:p>
            <w:pPr>
              <w:spacing w:after="0"/>
            </w:pPr>
            <w:r>
              <w:rPr>
                <w:rFonts w:ascii="Calibri" w:cs="Calibri" w:eastAsia="Calibri" w:hAnsi="Calibri"/>
                <w:sz w:val="20"/>
                <w:szCs w:val="20"/>
              </w:rPr>
              <w:t xml:space="preserve">69% and below</w:t>
            </w:r>
          </w:p>
        </w:tc>
      </w:tr>
      <w:tr>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A-</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89.5–93.4%</w:t>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B</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82.5–86.4%</w:t>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C</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72.5–76.4%</w:t>
            </w:r>
          </w:p>
        </w:tc>
        <w:tc>
          <w:tcPr>
            <w:tcW w:type="dxa" w:w="72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720"/>
            <w:tcMar>
              <w:top w:type="dxa" w:w="60"/>
              <w:left w:type="dxa" w:w="100"/>
              <w:bottom w:type="dxa" w:w="60"/>
              <w:right w:type="dxa" w:w="100"/>
            </w:tcMar>
          </w:tcPr>
          <w:p>
            <w:pPr>
              <w:spacing w:after="0"/>
            </w:pPr>
            <w:r>
              <w:rPr>
                <w:rFonts w:ascii="Calibri" w:cs="Calibri" w:eastAsia="Calibri" w:hAnsi="Calibri"/>
                <w:sz w:val="20"/>
                <w:szCs w:val="20"/>
              </w:rPr>
              <w:t xml:space="preserve"/>
            </w:r>
          </w:p>
        </w:tc>
      </w:tr>
      <w:tr>
        <w:tc>
          <w:tcPr>
            <w:tcW w:type="dxa" w:w="90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B-</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79.5–82.4%</w:t>
            </w:r>
          </w:p>
        </w:tc>
        <w:tc>
          <w:tcPr>
            <w:tcW w:type="dxa" w:w="900"/>
            <w:tcMar>
              <w:top w:type="dxa" w:w="60"/>
              <w:left w:type="dxa" w:w="100"/>
              <w:bottom w:type="dxa" w:w="60"/>
              <w:right w:type="dxa" w:w="100"/>
            </w:tcMar>
          </w:tcPr>
          <w:p>
            <w:pPr>
              <w:spacing w:after="0"/>
            </w:pPr>
            <w:r>
              <w:rPr>
                <w:rFonts w:ascii="Calibri" w:cs="Calibri" w:eastAsia="Calibri" w:hAnsi="Calibri"/>
                <w:b/>
                <w:bCs/>
                <w:sz w:val="20"/>
                <w:szCs w:val="20"/>
              </w:rPr>
              <w:t xml:space="preserve">C-</w:t>
            </w:r>
          </w:p>
        </w:tc>
        <w:tc>
          <w:tcPr>
            <w:tcW w:type="dxa" w:w="1740"/>
            <w:tcMar>
              <w:top w:type="dxa" w:w="60"/>
              <w:left w:type="dxa" w:w="100"/>
              <w:bottom w:type="dxa" w:w="60"/>
              <w:right w:type="dxa" w:w="100"/>
            </w:tcMar>
          </w:tcPr>
          <w:p>
            <w:pPr>
              <w:spacing w:after="0"/>
            </w:pPr>
            <w:r>
              <w:rPr>
                <w:rFonts w:ascii="Calibri" w:cs="Calibri" w:eastAsia="Calibri" w:hAnsi="Calibri"/>
                <w:sz w:val="20"/>
                <w:szCs w:val="20"/>
              </w:rPr>
              <w:t xml:space="preserve">69.5–72.4%</w:t>
            </w:r>
          </w:p>
        </w:tc>
        <w:tc>
          <w:tcPr>
            <w:tcW w:type="dxa" w:w="720"/>
            <w:tcMar>
              <w:top w:type="dxa" w:w="60"/>
              <w:left w:type="dxa" w:w="100"/>
              <w:bottom w:type="dxa" w:w="60"/>
              <w:right w:type="dxa" w:w="100"/>
            </w:tcMar>
          </w:tcPr>
          <w:p>
            <w:pPr>
              <w:spacing w:after="0"/>
            </w:pPr>
            <w:r>
              <w:rPr>
                <w:rFonts w:ascii="Calibri" w:cs="Calibri" w:eastAsia="Calibri" w:hAnsi="Calibri"/>
                <w:sz w:val="20"/>
                <w:szCs w:val="20"/>
              </w:rPr>
              <w:t xml:space="preserve"/>
            </w:r>
          </w:p>
        </w:tc>
        <w:tc>
          <w:tcPr>
            <w:tcW w:type="dxa" w:w="720"/>
            <w:tcMar>
              <w:top w:type="dxa" w:w="60"/>
              <w:left w:type="dxa" w:w="100"/>
              <w:bottom w:type="dxa" w:w="60"/>
              <w:right w:type="dxa" w:w="100"/>
            </w:tcMar>
          </w:tcPr>
          <w:p>
            <w:pPr>
              <w:spacing w:after="0"/>
            </w:pPr>
            <w:r>
              <w:rPr>
                <w:rFonts w:ascii="Calibri" w:cs="Calibri" w:eastAsia="Calibri" w:hAnsi="Calibri"/>
                <w:sz w:val="20"/>
                <w:szCs w:val="20"/>
              </w:rPr>
              <w:t xml:space="preserve"/>
            </w:r>
          </w:p>
        </w:tc>
      </w:tr>
    </w:tbl>
    <w:p>
      <w:pPr>
        <w:spacing w:after="100" w:before="0"/>
      </w:pPr>
      <w:r>
        <w:rPr>
          <w:rFonts w:ascii="Calibri" w:cs="Calibri" w:eastAsia="Calibri" w:hAnsi="Calibri"/>
          <w:sz w:val="22"/>
          <w:szCs w:val="22"/>
        </w:rPr>
        <w:t xml:space="preserve"/>
      </w:r>
    </w:p>
    <w:p>
      <w:pPr>
        <w:spacing w:after="40" w:before="0"/>
      </w:pPr>
      <w:r>
        <w:rPr>
          <w:rFonts w:ascii="Calibri" w:cs="Calibri" w:eastAsia="Calibri" w:hAnsi="Calibri"/>
          <w:b/>
          <w:bCs/>
          <w:sz w:val="22"/>
          <w:szCs w:val="22"/>
        </w:rPr>
        <w:t xml:space="preserve">A+ is not awarded at any level.</w:t>
      </w:r>
    </w:p>
    <w:p>
      <w:pPr>
        <w:spacing w:after="100" w:before="0"/>
      </w:pPr>
      <w:r>
        <w:rPr>
          <w:rFonts w:ascii="Calibri" w:cs="Calibri" w:eastAsia="Calibri" w:hAnsi="Calibri"/>
          <w:b/>
          <w:bCs/>
          <w:sz w:val="22"/>
          <w:szCs w:val="22"/>
        </w:rPr>
        <w:t xml:space="preserve">The grades of D+, D, and D- are not awarded at the graduate level.</w:t>
      </w:r>
    </w:p>
    <w:p>
      <w:pPr>
        <w:pStyle w:val="Heading1"/>
        <w:keepNext/>
        <w:spacing w:after="120" w:before="260"/>
        <w:outlineLvl w:val="0"/>
      </w:pPr>
      <w:r>
        <w:rPr>
          <w:rFonts w:ascii="Calibri" w:cs="Calibri" w:eastAsia="Calibri" w:hAnsi="Calibri"/>
          <w:b/>
          <w:bCs/>
          <w:color w:val="000000"/>
          <w:sz w:val="26"/>
          <w:szCs w:val="26"/>
        </w:rPr>
        <w:t xml:space="preserve">Grading Policies</w:t>
      </w:r>
    </w:p>
    <w:p>
      <w:pPr>
        <w:pStyle w:val="ListParagraph"/>
        <w:numPr>
          <w:ilvl w:val="0"/>
          <w:numId w:val="2"/>
        </w:numPr>
        <w:spacing w:after="60"/>
      </w:pPr>
      <w:r>
        <w:rPr>
          <w:rFonts w:ascii="Calibri" w:cs="Calibri" w:eastAsia="Calibri" w:hAnsi="Calibri"/>
          <w:sz w:val="22"/>
          <w:szCs w:val="22"/>
        </w:rPr>
        <w:t xml:space="preserve">Grading will be based on successful and timely completion of assignments. Students should reference the syllabus for a schedule of assignment due dates. Late work is accepted at the instructor's discretion and may result in a grade reduction. Late work may not be accepted without prior arrangements with the instructor.</w:t>
      </w:r>
    </w:p>
    <w:p>
      <w:pPr>
        <w:pStyle w:val="ListParagraph"/>
        <w:numPr>
          <w:ilvl w:val="0"/>
          <w:numId w:val="2"/>
        </w:numPr>
        <w:spacing w:after="60"/>
      </w:pPr>
      <w:r>
        <w:rPr>
          <w:rFonts w:ascii="Calibri" w:cs="Calibri" w:eastAsia="Calibri" w:hAnsi="Calibri"/>
          <w:sz w:val="22"/>
          <w:szCs w:val="22"/>
        </w:rPr>
        <w:t xml:space="preserve">Incomplete (I) grades are highly discouraged and as a general rule will not be given without an unavoidable and compelling reason.</w:t>
      </w:r>
    </w:p>
    <w:p>
      <w:pPr>
        <w:pStyle w:val="ListParagraph"/>
        <w:numPr>
          <w:ilvl w:val="0"/>
          <w:numId w:val="2"/>
        </w:numPr>
        <w:spacing w:after="60"/>
      </w:pPr>
      <w:r>
        <w:rPr>
          <w:rFonts w:ascii="Calibri" w:cs="Calibri" w:eastAsia="Calibri" w:hAnsi="Calibri"/>
          <w:sz w:val="22"/>
          <w:szCs w:val="22"/>
        </w:rPr>
        <w:t xml:space="preserve">Use of AI tools. This course follows the School of Education AI Use guidelines stated on every assignment. AI tools may not be used to generate original ideas, brainstorm, outline arguments, or draft initial content; the intellectual labor must be your own. They may be used to refine work you have already created: grammar, clarity, rephrasing your own sentences, summarizing your own work. Any use must be declared in the submission, naming the tool and its purpose, and a full unedited transcript must be kept and provided on request. Undeclared use, or AI output submitted in place of the analysis an assignment exists to develop, is treated under the academic integrity policy. The course treats AI as both a creative partner and an epistemic risk, and Module 4 examines that tension directly.</w:t>
      </w:r>
    </w:p>
    <w:p>
      <w:pPr>
        <w:pStyle w:val="Heading1"/>
        <w:keepNext/>
        <w:spacing w:after="120" w:before="260"/>
        <w:outlineLvl w:val="0"/>
      </w:pPr>
      <w:r>
        <w:rPr>
          <w:rFonts w:ascii="Calibri" w:cs="Calibri" w:eastAsia="Calibri" w:hAnsi="Calibri"/>
          <w:b/>
          <w:bCs/>
          <w:color w:val="000000"/>
          <w:sz w:val="26"/>
          <w:szCs w:val="26"/>
        </w:rPr>
        <w:t xml:space="preserve">Course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2560"/>
        <w:gridCol w:w="2400"/>
        <w:gridCol w:w="1440"/>
      </w:tblGrid>
      <w:tr>
        <w:trPr>
          <w:tblHeader/>
        </w:trPr>
        <w:tc>
          <w:tcPr>
            <w:tcW w:type="dxa" w:w="1400"/>
            <w:shd w:fill="D9D9D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Session/Module</w:t>
            </w:r>
          </w:p>
          <w:p>
            <w:pPr>
              <w:spacing w:after="0"/>
            </w:pPr>
            <w:r>
              <w:rPr>
                <w:rFonts w:ascii="Calibri" w:cs="Calibri" w:eastAsia="Calibri" w:hAnsi="Calibri"/>
                <w:b/>
                <w:bCs/>
                <w:sz w:val="18"/>
                <w:szCs w:val="18"/>
              </w:rPr>
              <w:t xml:space="preserve">Week(s)/Dates</w:t>
            </w:r>
          </w:p>
        </w:tc>
        <w:tc>
          <w:tcPr>
            <w:tcW w:type="dxa" w:w="1560"/>
            <w:shd w:fill="D9D9D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Title</w:t>
            </w:r>
          </w:p>
        </w:tc>
        <w:tc>
          <w:tcPr>
            <w:tcW w:type="dxa" w:w="2560"/>
            <w:shd w:fill="D9D9D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Readings and Cases</w:t>
            </w:r>
          </w:p>
        </w:tc>
        <w:tc>
          <w:tcPr>
            <w:tcW w:type="dxa" w:w="2400"/>
            <w:shd w:fill="D9D9D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Additional Reading</w:t>
            </w:r>
          </w:p>
        </w:tc>
        <w:tc>
          <w:tcPr>
            <w:tcW w:type="dxa" w:w="1440"/>
            <w:shd w:fill="D9D9D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Assessments Due</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1: Framing Capability</w:t>
            </w:r>
          </w:p>
          <w:p>
            <w:pPr>
              <w:spacing w:after="0"/>
            </w:pPr>
            <w:r>
              <w:rPr>
                <w:rFonts w:ascii="Calibri" w:cs="Calibri" w:eastAsia="Calibri" w:hAnsi="Calibri"/>
                <w:b/>
                <w:bCs/>
                <w:sz w:val="18"/>
                <w:szCs w:val="18"/>
              </w:rPr>
              <w:t xml:space="preserve">Weeks 1–2</w:t>
            </w:r>
          </w:p>
          <w:p>
            <w:pPr>
              <w:spacing w:after="0"/>
            </w:pPr>
            <w:r>
              <w:rPr>
                <w:rFonts w:ascii="Calibri" w:cs="Calibri" w:eastAsia="Calibri" w:hAnsi="Calibri"/>
                <w:b/>
                <w:bCs/>
                <w:sz w:val="18"/>
                <w:szCs w:val="18"/>
              </w:rPr>
              <w:t xml:space="preserve">CLO 1</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The field and its problem: origins, dispositions, and what learning engineering claims</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Introduction, ch. 1; IEEE ICICLE field definition. Case: a public capability failure at launch.</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Lee (2023), Journal of the Learning Sciences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Discussion: LENS in Your Own Words; Domain Expertise Inventory (ungraded, required)</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2</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What engineering adds; capability as interface</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4 (Learning Engineering is Engineering); LENS working definition (course note); Gilbert (1978), selections. Case: a system that required operator capability never specified or trained.</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Kolodner (2023), Journal of the Learning Sciences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Two discussions; Module 1 Assignment due: How Learning Engineering Succeeds or Fails</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2: What the Science of Learning Contributes</w:t>
            </w:r>
          </w:p>
          <w:p>
            <w:pPr>
              <w:spacing w:after="0"/>
            </w:pPr>
            <w:r>
              <w:rPr>
                <w:rFonts w:ascii="Calibri" w:cs="Calibri" w:eastAsia="Calibri" w:hAnsi="Calibri"/>
                <w:b/>
                <w:bCs/>
                <w:sz w:val="18"/>
                <w:szCs w:val="18"/>
              </w:rPr>
              <w:t xml:space="preserve">Weeks 3–4</w:t>
            </w:r>
          </w:p>
          <w:p>
            <w:pPr>
              <w:spacing w:after="0"/>
            </w:pPr>
            <w:r>
              <w:rPr>
                <w:rFonts w:ascii="Calibri" w:cs="Calibri" w:eastAsia="Calibri" w:hAnsi="Calibri"/>
                <w:b/>
                <w:bCs/>
                <w:sz w:val="18"/>
                <w:szCs w:val="18"/>
              </w:rPr>
              <w:t xml:space="preserve">CLO 2</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Cognitive load, recast: wherever the cost of a gap is paid by someone who did not choose the risk</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2, ch. 9; Sweller et al. (2011), selections. Case: a capability-enhancing transition that outran its training.</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Barnett &amp; Ceci (2002), Psychological Bulletin</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Discussion: the positive transition that outran its training</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4</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Motivation, the sociocultural lens, and design</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15; Sawyer (2022), targeted re-reads. Case: a disengagement failure redressed by design.</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Uncapher (2018), Applied Developmental Science</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Analysis into design: a grounded intervention for your own system</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3: Seeing the System</w:t>
            </w:r>
          </w:p>
          <w:p>
            <w:pPr>
              <w:spacing w:after="0"/>
            </w:pPr>
            <w:r>
              <w:rPr>
                <w:rFonts w:ascii="Calibri" w:cs="Calibri" w:eastAsia="Calibri" w:hAnsi="Calibri"/>
                <w:b/>
                <w:bCs/>
                <w:sz w:val="18"/>
                <w:szCs w:val="18"/>
              </w:rPr>
              <w:t xml:space="preserve">Weeks 5–6</w:t>
            </w:r>
          </w:p>
          <w:p>
            <w:pPr>
              <w:spacing w:after="0"/>
            </w:pPr>
            <w:r>
              <w:rPr>
                <w:rFonts w:ascii="Calibri" w:cs="Calibri" w:eastAsia="Calibri" w:hAnsi="Calibri"/>
                <w:b/>
                <w:bCs/>
                <w:sz w:val="18"/>
                <w:szCs w:val="18"/>
              </w:rPr>
              <w:t xml:space="preserve">CLO 3</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Systems thinking: components, interfaces, feedback loops</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Meadows (2008), selections; INCOSE (2023), systems concepts, for vocabulary only. Case: a failure whose components and feedback loops can be sketched.</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Craig et al. (2023), Proceedings of the Human Factors and Ergonomics Society</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Modeling lab: sketch your learning environment and its host system</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6</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Where capability decisions occur, and why training arrives last</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3; U.S. DoD (2024), HSI Guidebook, one selection. Case: a capability decision made too late in a system's life.</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Blake-Plock et al. (2024), I/ITSEC</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Exercise: locate three capability decisions in your system's life</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4: Measuring Capability</w:t>
            </w:r>
          </w:p>
          <w:p>
            <w:pPr>
              <w:spacing w:after="0"/>
            </w:pPr>
            <w:r>
              <w:rPr>
                <w:rFonts w:ascii="Calibri" w:cs="Calibri" w:eastAsia="Calibri" w:hAnsi="Calibri"/>
                <w:b/>
                <w:bCs/>
                <w:sz w:val="18"/>
                <w:szCs w:val="18"/>
              </w:rPr>
              <w:t xml:space="preserve">Weeks 7–9</w:t>
            </w:r>
          </w:p>
          <w:p>
            <w:pPr>
              <w:spacing w:after="0"/>
            </w:pPr>
            <w:r>
              <w:rPr>
                <w:rFonts w:ascii="Calibri" w:cs="Calibri" w:eastAsia="Calibri" w:hAnsi="Calibri"/>
                <w:b/>
                <w:bCs/>
                <w:sz w:val="18"/>
                <w:szCs w:val="18"/>
              </w:rPr>
              <w:t xml:space="preserve">CLO 4</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What counts as evidence of a capability</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11; Gilbert (1978), selections on worthy performance. Case: a capability claim that was never operationalized.</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Mislevy et al. (2003), ETS Research Report Series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Lab: operationalize your capability into measurable variables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8</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Designing the assessment before the content</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12; Rummler &amp; Brache (1990), selections. Case: an intervention measured on the wrong outcome.</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Pellegrino et al. (2001), Knowing What Students Know, ch. 2</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Lab: draft the measurement plan; name instruments and their limits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9</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The evidence-capability-performance flywheel; speed and scale</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Course note on the flywheel; Wagner (2024), New Learning Frontier. Case: capability development sustained at operational tempo. Gap attribution previewed (assessed in LEN 4).</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Van Campenhout et al. (2023), ICLS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Assignment 1 due: Capability Measurement Plan</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5: The Iteration Cycle</w:t>
            </w:r>
          </w:p>
          <w:p>
            <w:pPr>
              <w:spacing w:after="0"/>
            </w:pPr>
            <w:r>
              <w:rPr>
                <w:rFonts w:ascii="Calibri" w:cs="Calibri" w:eastAsia="Calibri" w:hAnsi="Calibri"/>
                <w:b/>
                <w:bCs/>
                <w:sz w:val="18"/>
                <w:szCs w:val="18"/>
              </w:rPr>
              <w:t xml:space="preserve">Weeks 10–13</w:t>
            </w:r>
          </w:p>
          <w:p>
            <w:pPr>
              <w:spacing w:after="0"/>
            </w:pPr>
            <w:r>
              <w:rPr>
                <w:rFonts w:ascii="Calibri" w:cs="Calibri" w:eastAsia="Calibri" w:hAnsi="Calibri"/>
                <w:b/>
                <w:bCs/>
                <w:sz w:val="18"/>
                <w:szCs w:val="18"/>
              </w:rPr>
              <w:t xml:space="preserve">CLO 5</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The iterative engineering cycle: design, instrument, evaluate, refine</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revisit ch. 1, ch. 11. Case: a documented iteration cycle in a real setting.</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Brown (1992), Journal of the Learning Sciences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Begin iteration project: frame a bounded problem; instrument from your plan</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11</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Design and instrument: building the thing</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7; Watters (2021), selections. Case: an AI-augmented intervention instrumented from the start.</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Van Campenhout (2021), Adaptive Instructional Systems, LNCS 12792</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Iteration project: first build; collect first evidence</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12</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Evaluate and refine: what the evidence forces</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Course note on revision; exemplar iteration reports. Case: an iteration whose evidence overturned its framing.</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Baker et al. (2021), Technology, Mind, and Behavior</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Iteration project: evaluate; revise the framing</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13</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Ethics of intervention and operator agency</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17; SOE critical perspectives selections. Case: an intervention that improved a metric and eroded agency.</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Schatz et al. (2023), Journal of Military Learning</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Assignment 2 due: Iteration Cycle Report</w:t>
            </w:r>
          </w:p>
        </w:tc>
      </w:tr>
      <w:tr>
        <w:tc>
          <w:tcPr>
            <w:tcW w:type="dxa" w:w="1400"/>
            <w:tcMar>
              <w:top w:type="dxa" w:w="60"/>
              <w:left w:type="dxa" w:w="100"/>
              <w:bottom w:type="dxa" w:w="60"/>
              <w:right w:type="dxa" w:w="100"/>
            </w:tcMar>
          </w:tcPr>
          <w:p>
            <w:pPr>
              <w:spacing w:after="0"/>
            </w:pPr>
            <w:r>
              <w:rPr>
                <w:rFonts w:ascii="Calibri" w:cs="Calibri" w:eastAsia="Calibri" w:hAnsi="Calibri"/>
                <w:b/>
                <w:bCs/>
                <w:sz w:val="18"/>
                <w:szCs w:val="18"/>
              </w:rPr>
              <w:t xml:space="preserve">MODULE 6: Making the Case</w:t>
            </w:r>
          </w:p>
          <w:p>
            <w:pPr>
              <w:spacing w:after="0"/>
            </w:pPr>
            <w:r>
              <w:rPr>
                <w:rFonts w:ascii="Calibri" w:cs="Calibri" w:eastAsia="Calibri" w:hAnsi="Calibri"/>
                <w:b/>
                <w:bCs/>
                <w:sz w:val="18"/>
                <w:szCs w:val="18"/>
              </w:rPr>
              <w:t xml:space="preserve">Weeks 14–15</w:t>
            </w:r>
          </w:p>
          <w:p>
            <w:pPr>
              <w:spacing w:after="0"/>
            </w:pPr>
            <w:r>
              <w:rPr>
                <w:rFonts w:ascii="Calibri" w:cs="Calibri" w:eastAsia="Calibri" w:hAnsi="Calibri"/>
                <w:b/>
                <w:bCs/>
                <w:sz w:val="18"/>
                <w:szCs w:val="18"/>
              </w:rPr>
              <w:t xml:space="preserve">CLO 5</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Communicating an iteration and its evidence across audiences</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Communication selections; exemplar briefings. Case: a coupling failure in which learning investment and outcome came apart, read with the capability frame.</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Totino &amp; Kessler (2025), TechTrends</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Draft final briefing; structured peer review across domain groups</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Week 15</w:t>
            </w:r>
          </w:p>
        </w:tc>
        <w:tc>
          <w:tcPr>
            <w:tcW w:type="dxa" w:w="1560"/>
            <w:tcMar>
              <w:top w:type="dxa" w:w="60"/>
              <w:left w:type="dxa" w:w="100"/>
              <w:bottom w:type="dxa" w:w="60"/>
              <w:right w:type="dxa" w:w="100"/>
            </w:tcMar>
          </w:tcPr>
          <w:p>
            <w:pPr>
              <w:spacing w:after="0"/>
            </w:pPr>
            <w:r>
              <w:rPr>
                <w:rFonts w:ascii="Calibri" w:cs="Calibri" w:eastAsia="Calibri" w:hAnsi="Calibri"/>
                <w:sz w:val="18"/>
                <w:szCs w:val="18"/>
              </w:rPr>
              <w:t xml:space="preserve">Synthesis: the field ahead, and where the concentration goes from here</w:t>
            </w:r>
          </w:p>
        </w:tc>
        <w:tc>
          <w:tcPr>
            <w:tcW w:type="dxa" w:w="2560"/>
            <w:tcMar>
              <w:top w:type="dxa" w:w="60"/>
              <w:left w:type="dxa" w:w="100"/>
              <w:bottom w:type="dxa" w:w="60"/>
              <w:right w:type="dxa" w:w="100"/>
            </w:tcMar>
          </w:tcPr>
          <w:p>
            <w:pPr>
              <w:spacing w:after="0"/>
            </w:pPr>
            <w:r>
              <w:rPr>
                <w:rFonts w:ascii="Calibri" w:cs="Calibri" w:eastAsia="Calibri" w:hAnsi="Calibri"/>
                <w:sz w:val="18"/>
                <w:szCs w:val="18"/>
              </w:rPr>
              <w:t xml:space="preserve">Goodell &amp; Kolodner (2023), ch. 19; program problem-type framework. Case: a closing case spanning a learning environment and an operational system.</w:t>
            </w:r>
          </w:p>
        </w:tc>
        <w:tc>
          <w:tcPr>
            <w:tcW w:type="dxa" w:w="2400"/>
            <w:tcMar>
              <w:top w:type="dxa" w:w="60"/>
              <w:left w:type="dxa" w:w="100"/>
              <w:bottom w:type="dxa" w:w="60"/>
              <w:right w:type="dxa" w:w="100"/>
            </w:tcMar>
          </w:tcPr>
          <w:p>
            <w:pPr>
              <w:spacing w:after="0"/>
            </w:pPr>
            <w:r>
              <w:rPr>
                <w:rFonts w:ascii="Calibri" w:cs="Calibri" w:eastAsia="Calibri" w:hAnsi="Calibri"/>
                <w:sz w:val="18"/>
                <w:szCs w:val="18"/>
              </w:rPr>
              <w:t xml:space="preserve">Kurzweil &amp; Marcellas (2020), Journal of Applied Instructional Design</w:t>
            </w:r>
          </w:p>
        </w:tc>
        <w:tc>
          <w:tcPr>
            <w:tcW w:type="dxa" w:w="1440"/>
            <w:tcMar>
              <w:top w:type="dxa" w:w="60"/>
              <w:left w:type="dxa" w:w="100"/>
              <w:bottom w:type="dxa" w:w="60"/>
              <w:right w:type="dxa" w:w="100"/>
            </w:tcMar>
          </w:tcPr>
          <w:p>
            <w:pPr>
              <w:spacing w:after="0"/>
            </w:pPr>
            <w:r>
              <w:rPr>
                <w:rFonts w:ascii="Calibri" w:cs="Calibri" w:eastAsia="Calibri" w:hAnsi="Calibri"/>
                <w:sz w:val="18"/>
                <w:szCs w:val="18"/>
              </w:rPr>
              <w:t xml:space="preserve">Final due: Iteration Briefing</w:t>
            </w:r>
          </w:p>
        </w:tc>
      </w:tr>
    </w:tbl>
    <w:p>
      <w:pPr>
        <w:spacing w:after="120" w:before="0"/>
      </w:pPr>
      <w:r>
        <w:rPr>
          <w:rFonts w:ascii="Calibri" w:cs="Calibri" w:eastAsia="Calibri" w:hAnsi="Calibri"/>
          <w:i/>
          <w:iCs/>
          <w:sz w:val="18"/>
          <w:szCs w:val="18"/>
        </w:rPr>
        <w:t xml:space="preserve">A case is assigned every week, described here by what it must teach; specific cases are selected before the LMS build (see Course Notes). Additional Reading is one peer-reviewed paper per week, optional unless an assignment specifies otherwise, linked in Canvas, and cited in full in the Supplemental Reading List.</w:t>
      </w:r>
    </w:p>
    <w:p>
      <w:pPr>
        <w:pStyle w:val="Heading1"/>
        <w:keepNext/>
        <w:spacing w:after="120" w:before="260"/>
        <w:outlineLvl w:val="0"/>
      </w:pPr>
      <w:r>
        <w:rPr>
          <w:rFonts w:ascii="Calibri" w:cs="Calibri" w:eastAsia="Calibri" w:hAnsi="Calibri"/>
          <w:b/>
          <w:bCs/>
          <w:color w:val="000000"/>
          <w:sz w:val="26"/>
          <w:szCs w:val="26"/>
        </w:rPr>
        <w:t xml:space="preserve">Course Notes</w:t>
      </w:r>
    </w:p>
    <w:p>
      <w:pPr>
        <w:spacing w:after="100" w:before="0"/>
      </w:pPr>
      <w:r>
        <w:rPr>
          <w:rFonts w:ascii="Calibri" w:cs="Calibri" w:eastAsia="Calibri" w:hAnsi="Calibri"/>
          <w:sz w:val="20"/>
          <w:szCs w:val="20"/>
        </w:rPr>
        <w:t xml:space="preserve">A case is assigned every week. The Course Outline describes each week's case by what it must teach; specific cases are selected from the Capability Matters Casebook and inserted, with their identifiers, before the LMS build. Cases carry two coordinates: a failure-mode code and competency tags. Both are read with the case, and both are read as information rather than as a method: this course analyzes cases with the capability frame only. Established failure-analysis methods are introduced in LEN 3 and deepened in LEN 5. Where a case carries a conflict-of-interest disclosure or an evidence-tier flag, the disclosure is part of the assigned reading and is discussed as such.</w:t>
      </w:r>
    </w:p>
    <w:p>
      <w:pPr>
        <w:spacing w:after="100" w:before="0"/>
      </w:pPr>
      <w:r>
        <w:rPr>
          <w:rFonts w:ascii="Calibri" w:cs="Calibri" w:eastAsia="Calibri" w:hAnsi="Calibri"/>
          <w:sz w:val="20"/>
          <w:szCs w:val="20"/>
        </w:rPr>
        <w:t xml:space="preserve">Toolkit chapters not read in this course are read elsewhere in the concentration. Chapters 5, 6, 13, and 18 (instrumentation and analytics) are LEN 4, which this course's Module 4 previews. Chapter 14 (standards as tools) is LEN 3. Chapters 10 and 16 (teaming and implementation) are LEN 6 and LEN 3, with deeper treatment in LEN 8. Chapter 17 is revisited in LEN 7. Systems engineering lifecycle models and human systems integration frameworks are LEN 3; this course sketches the system and locates decisions in it, and stops there.</w:t>
      </w:r>
    </w:p>
    <w:p>
      <w:pPr>
        <w:spacing w:after="100" w:before="0"/>
      </w:pPr>
      <w:r>
        <w:rPr>
          <w:rFonts w:ascii="Calibri" w:cs="Calibri" w:eastAsia="Calibri" w:hAnsi="Calibri"/>
          <w:sz w:val="20"/>
          <w:szCs w:val="20"/>
        </w:rPr>
        <w:t xml:space="preserve">LENS works in high-consequence domains: those in which the cost of a capability gap is paid by people who did not choose the risk, and is not fully recoverable. A representative list of seven, following the structure of the Capability Matters Casebook: healthcare and patient safety; education, training, and the learning workforce; aviation and aerospace; defense and national security; industry, energy, and enterprise systems; disaster prevention and recovery; algorithms, governance, and public systems. The list is representative, not exhaustive; the criterion is what defines the category, and a learning environment at scale meets it. This course draws its examples from across the list so that students in every LDT concentration find their own systems represented. Domain studios and practitioner engagements are LEN 3 and LEN 6.</w:t>
      </w:r>
    </w:p>
    <w:p>
      <w:pPr>
        <w:spacing w:after="100" w:before="0"/>
      </w:pPr>
      <w:r>
        <w:rPr>
          <w:rFonts w:ascii="Calibri" w:cs="Calibri" w:eastAsia="Calibri" w:hAnsi="Calibri"/>
          <w:sz w:val="20"/>
          <w:szCs w:val="20"/>
        </w:rPr>
        <w:t xml:space="preserve">Additional Reading is one peer-reviewed paper per week. Five weeks are served by sources below the standard the column sets, and are flagged here rather than presented as equivalent: Week 6 (recent, little citation record), Week 7 (a heavily cited technical report rather than a journal article), Week 8 (a National Research Council volume rather than a journal article), Week 13 (a professional journal), and Week 15 (adjacent to the week's topic). Week 3 draws on Barnett and Ceci (2002), which sits outside the learning engineering literature. Replacements are welcome; see the course record document.</w:t>
      </w:r>
    </w:p>
    <w:p>
      <w:pPr>
        <w:pStyle w:val="Heading1"/>
        <w:keepNext/>
        <w:spacing w:after="120" w:before="260"/>
        <w:outlineLvl w:val="0"/>
      </w:pPr>
      <w:r>
        <w:rPr>
          <w:rFonts w:ascii="Calibri" w:cs="Calibri" w:eastAsia="Calibri" w:hAnsi="Calibri"/>
          <w:b/>
          <w:bCs/>
          <w:color w:val="000000"/>
          <w:sz w:val="26"/>
          <w:szCs w:val="26"/>
        </w:rPr>
        <w:t xml:space="preserve">Getting Help</w:t>
      </w:r>
    </w:p>
    <w:p>
      <w:pPr>
        <w:spacing w:after="100" w:before="0"/>
      </w:pPr>
      <w:r>
        <w:rPr>
          <w:rFonts w:ascii="Calibri" w:cs="Calibri" w:eastAsia="Calibri" w:hAnsi="Calibri"/>
          <w:sz w:val="22"/>
          <w:szCs w:val="22"/>
        </w:rPr>
        <w:t xml:space="preserve">You have a variety of methods to get help in Canvas. Please see the resources noted in the course site.</w:t>
      </w:r>
    </w:p>
    <w:p>
      <w:pPr>
        <w:pStyle w:val="Heading1"/>
        <w:keepNext/>
        <w:spacing w:after="120" w:before="260"/>
        <w:outlineLvl w:val="0"/>
      </w:pPr>
      <w:r>
        <w:rPr>
          <w:rFonts w:ascii="Calibri" w:cs="Calibri" w:eastAsia="Calibri" w:hAnsi="Calibri"/>
          <w:b/>
          <w:bCs/>
          <w:color w:val="000000"/>
          <w:sz w:val="26"/>
          <w:szCs w:val="26"/>
        </w:rPr>
        <w:t xml:space="preserve">Policy Statements (populated in HelioCampus)</w:t>
      </w:r>
    </w:p>
    <w:p>
      <w:pPr>
        <w:spacing w:after="100" w:before="0"/>
      </w:pPr>
      <w:r>
        <w:rPr>
          <w:rFonts w:ascii="Calibri" w:cs="Calibri" w:eastAsia="Calibri" w:hAnsi="Calibri"/>
          <w:sz w:val="22"/>
          <w:szCs w:val="22"/>
        </w:rPr>
        <w:t xml:space="preserve"/>
      </w:r>
    </w:p>
    <w:p>
      <w:pPr>
        <w:pStyle w:val="Heading1"/>
        <w:keepNext/>
        <w:spacing w:after="120" w:before="260"/>
        <w:outlineLvl w:val="0"/>
      </w:pPr>
      <w:r>
        <w:rPr>
          <w:rFonts w:ascii="Calibri" w:cs="Calibri" w:eastAsia="Calibri" w:hAnsi="Calibri"/>
          <w:b/>
          <w:bCs/>
          <w:color w:val="000000"/>
          <w:sz w:val="26"/>
          <w:szCs w:val="26"/>
        </w:rPr>
        <w:t xml:space="preserve">Bibliography (Required)</w:t>
      </w:r>
    </w:p>
    <w:p>
      <w:pPr>
        <w:pStyle w:val="ListParagraph"/>
        <w:numPr>
          <w:ilvl w:val="0"/>
          <w:numId w:val="1"/>
        </w:numPr>
        <w:spacing w:after="60"/>
      </w:pPr>
      <w:r>
        <w:rPr>
          <w:rFonts w:ascii="Calibri" w:cs="Calibri" w:eastAsia="Calibri" w:hAnsi="Calibri"/>
          <w:sz w:val="22"/>
          <w:szCs w:val="22"/>
        </w:rPr>
        <w:t xml:space="preserve">Boy, G. A., &amp; Kennedy, J. (Eds.). (2023). Human systems integration primer, volume one. International Council on Systems Engineering.</w:t>
      </w:r>
    </w:p>
    <w:p>
      <w:pPr>
        <w:pStyle w:val="ListParagraph"/>
        <w:numPr>
          <w:ilvl w:val="0"/>
          <w:numId w:val="1"/>
        </w:numPr>
        <w:spacing w:after="60"/>
      </w:pPr>
      <w:r>
        <w:rPr>
          <w:rFonts w:ascii="Calibri" w:cs="Calibri" w:eastAsia="Calibri" w:hAnsi="Calibri"/>
          <w:sz w:val="22"/>
          <w:szCs w:val="22"/>
        </w:rPr>
        <w:t xml:space="preserve">Gilbert, T. F. (1978). Human competence: Engineering worthy performance. McGraw-Hill.</w:t>
      </w:r>
    </w:p>
    <w:p>
      <w:pPr>
        <w:pStyle w:val="ListParagraph"/>
        <w:numPr>
          <w:ilvl w:val="0"/>
          <w:numId w:val="1"/>
        </w:numPr>
        <w:spacing w:after="60"/>
      </w:pPr>
      <w:r>
        <w:rPr>
          <w:rFonts w:ascii="Calibri" w:cs="Calibri" w:eastAsia="Calibri" w:hAnsi="Calibri"/>
          <w:sz w:val="22"/>
          <w:szCs w:val="22"/>
        </w:rPr>
        <w:t xml:space="preserve">Goodell, J., &amp; Kolodner, J. (Eds.). (2023). Learning engineering toolkit: Evidence-based practices from the learning sciences, instructional design, and beyond. Routledge.</w:t>
      </w:r>
    </w:p>
    <w:p>
      <w:pPr>
        <w:pStyle w:val="ListParagraph"/>
        <w:numPr>
          <w:ilvl w:val="0"/>
          <w:numId w:val="1"/>
        </w:numPr>
        <w:spacing w:after="60"/>
      </w:pPr>
      <w:r>
        <w:rPr>
          <w:rFonts w:ascii="Calibri" w:cs="Calibri" w:eastAsia="Calibri" w:hAnsi="Calibri"/>
          <w:sz w:val="22"/>
          <w:szCs w:val="22"/>
        </w:rPr>
        <w:t xml:space="preserve">International Council on Systems Engineering. (2023). INCOSE systems engineering handbook: A guide for system life cycle processes and activities (5th ed.). Wiley.</w:t>
      </w:r>
    </w:p>
    <w:p>
      <w:pPr>
        <w:pStyle w:val="ListParagraph"/>
        <w:numPr>
          <w:ilvl w:val="0"/>
          <w:numId w:val="1"/>
        </w:numPr>
        <w:spacing w:after="60"/>
      </w:pPr>
      <w:r>
        <w:rPr>
          <w:rFonts w:ascii="Calibri" w:cs="Calibri" w:eastAsia="Calibri" w:hAnsi="Calibri"/>
          <w:sz w:val="22"/>
          <w:szCs w:val="22"/>
        </w:rPr>
        <w:t xml:space="preserve">International Council on Systems Engineering. (2023). Systems engineering handbook: A guide for system life cycle processes and activities (5th ed.). Wiley.</w:t>
      </w:r>
    </w:p>
    <w:p>
      <w:pPr>
        <w:pStyle w:val="ListParagraph"/>
        <w:numPr>
          <w:ilvl w:val="0"/>
          <w:numId w:val="1"/>
        </w:numPr>
        <w:spacing w:after="60"/>
      </w:pPr>
      <w:r>
        <w:rPr>
          <w:rFonts w:ascii="Calibri" w:cs="Calibri" w:eastAsia="Calibri" w:hAnsi="Calibri"/>
          <w:sz w:val="22"/>
          <w:szCs w:val="22"/>
        </w:rPr>
        <w:t xml:space="preserve">Meadows, D. H. (2008). Thinking in systems: A primer. Chelsea Green. (Selections)</w:t>
      </w:r>
    </w:p>
    <w:p>
      <w:pPr>
        <w:pStyle w:val="ListParagraph"/>
        <w:numPr>
          <w:ilvl w:val="0"/>
          <w:numId w:val="1"/>
        </w:numPr>
        <w:spacing w:after="60"/>
      </w:pPr>
      <w:r>
        <w:rPr>
          <w:rFonts w:ascii="Calibri" w:cs="Calibri" w:eastAsia="Calibri" w:hAnsi="Calibri"/>
          <w:sz w:val="22"/>
          <w:szCs w:val="22"/>
        </w:rPr>
        <w:t xml:space="preserve">Rummler, G. A., &amp; Brache, A. P. (1990). Improving performance: How to manage the white space on the organization chart. Jossey-Bass. (Selections)</w:t>
      </w:r>
    </w:p>
    <w:p>
      <w:pPr>
        <w:pStyle w:val="ListParagraph"/>
        <w:numPr>
          <w:ilvl w:val="0"/>
          <w:numId w:val="1"/>
        </w:numPr>
        <w:spacing w:after="60"/>
      </w:pPr>
      <w:r>
        <w:rPr>
          <w:rFonts w:ascii="Calibri" w:cs="Calibri" w:eastAsia="Calibri" w:hAnsi="Calibri"/>
          <w:sz w:val="22"/>
          <w:szCs w:val="22"/>
        </w:rPr>
        <w:t xml:space="preserve">Sawyer, R. K. (Ed.). (2022). The Cambridge handbook of the learning sciences (3rd ed.). Cambridge University Press. (Selections)</w:t>
      </w:r>
    </w:p>
    <w:p>
      <w:pPr>
        <w:pStyle w:val="ListParagraph"/>
        <w:numPr>
          <w:ilvl w:val="0"/>
          <w:numId w:val="1"/>
        </w:numPr>
        <w:spacing w:after="60"/>
      </w:pPr>
      <w:r>
        <w:rPr>
          <w:rFonts w:ascii="Calibri" w:cs="Calibri" w:eastAsia="Calibri" w:hAnsi="Calibri"/>
          <w:sz w:val="22"/>
          <w:szCs w:val="22"/>
        </w:rPr>
        <w:t xml:space="preserve">Sweller, J., Ayres, P., &amp; Kalyuga, S. (2011). Cognitive load theory. Springer. (Selections)</w:t>
      </w:r>
    </w:p>
    <w:p>
      <w:pPr>
        <w:pStyle w:val="ListParagraph"/>
        <w:numPr>
          <w:ilvl w:val="0"/>
          <w:numId w:val="1"/>
        </w:numPr>
        <w:spacing w:after="60"/>
      </w:pPr>
      <w:r>
        <w:rPr>
          <w:rFonts w:ascii="Calibri" w:cs="Calibri" w:eastAsia="Calibri" w:hAnsi="Calibri"/>
          <w:sz w:val="22"/>
          <w:szCs w:val="22"/>
        </w:rPr>
        <w:t xml:space="preserve">U.S. Department of Defense. (2024). Department of Defense human systems integration guidebook. Office of the Under Secretary of Defense for Research and Engineering. (Selections)</w:t>
      </w:r>
    </w:p>
    <w:p>
      <w:pPr>
        <w:pStyle w:val="ListParagraph"/>
        <w:numPr>
          <w:ilvl w:val="0"/>
          <w:numId w:val="1"/>
        </w:numPr>
        <w:spacing w:after="60"/>
      </w:pPr>
      <w:r>
        <w:rPr>
          <w:rFonts w:ascii="Calibri" w:cs="Calibri" w:eastAsia="Calibri" w:hAnsi="Calibri"/>
          <w:sz w:val="22"/>
          <w:szCs w:val="22"/>
        </w:rPr>
        <w:t xml:space="preserve">Wagner, E. (2024). Learning engineering enlightenment: Think like an engineer. New Learning Frontier. https://newlearningfrontier.com/learning-engineering-enlightenment-think-like-an-engineer/</w:t>
      </w:r>
    </w:p>
    <w:p>
      <w:pPr>
        <w:pStyle w:val="ListParagraph"/>
        <w:numPr>
          <w:ilvl w:val="0"/>
          <w:numId w:val="1"/>
        </w:numPr>
        <w:spacing w:after="60"/>
      </w:pPr>
      <w:r>
        <w:rPr>
          <w:rFonts w:ascii="Calibri" w:cs="Calibri" w:eastAsia="Calibri" w:hAnsi="Calibri"/>
          <w:sz w:val="22"/>
          <w:szCs w:val="22"/>
        </w:rPr>
        <w:t xml:space="preserve">Watters, A. (2021). Teaching machines: The history of personalized learning. MIT Press. (Selections)</w:t>
      </w:r>
    </w:p>
    <w:p>
      <w:pPr>
        <w:pStyle w:val="Heading1"/>
        <w:keepNext/>
        <w:spacing w:after="120" w:before="260"/>
        <w:outlineLvl w:val="0"/>
      </w:pPr>
      <w:r>
        <w:rPr>
          <w:rFonts w:ascii="Calibri" w:cs="Calibri" w:eastAsia="Calibri" w:hAnsi="Calibri"/>
          <w:b/>
          <w:bCs/>
          <w:color w:val="000000"/>
          <w:sz w:val="26"/>
          <w:szCs w:val="26"/>
        </w:rPr>
        <w:t xml:space="preserve">Supplemental Reading List</w:t>
      </w:r>
    </w:p>
    <w:p>
      <w:pPr>
        <w:spacing w:after="100" w:before="0"/>
      </w:pPr>
      <w:r>
        <w:rPr>
          <w:rFonts w:ascii="Calibri" w:cs="Calibri" w:eastAsia="Calibri" w:hAnsi="Calibri"/>
          <w:sz w:val="20"/>
          <w:szCs w:val="20"/>
        </w:rPr>
        <w:t xml:space="preserve">One peer-reviewed paper per week, listed in the Course Outline as Additional Reading, plus supporting texts. Learning engineering sources are indexed at the Learning Engineering Commons (lecommons.org), which the course uses as its field-literature reference.</w:t>
      </w:r>
    </w:p>
    <w:p>
      <w:pPr>
        <w:pStyle w:val="ListParagraph"/>
        <w:numPr>
          <w:ilvl w:val="0"/>
          <w:numId w:val="1"/>
        </w:numPr>
        <w:spacing w:after="60"/>
      </w:pPr>
      <w:r>
        <w:rPr>
          <w:rFonts w:ascii="Calibri" w:cs="Calibri" w:eastAsia="Calibri" w:hAnsi="Calibri"/>
          <w:sz w:val="22"/>
          <w:szCs w:val="22"/>
        </w:rPr>
        <w:t xml:space="preserve">Baker, R. S., Boser, U., &amp; Snow, E. L. (2021). Learning engineering: A view on where the field is at, where it is going, and the research needed. Technology, Mind, and Behavior. https://tmb.apaopen.org/pub/5ib9cpqa/release/1</w:t>
      </w:r>
    </w:p>
    <w:p>
      <w:pPr>
        <w:pStyle w:val="ListParagraph"/>
        <w:numPr>
          <w:ilvl w:val="0"/>
          <w:numId w:val="1"/>
        </w:numPr>
        <w:spacing w:after="60"/>
      </w:pPr>
      <w:r>
        <w:rPr>
          <w:rFonts w:ascii="Calibri" w:cs="Calibri" w:eastAsia="Calibri" w:hAnsi="Calibri"/>
          <w:sz w:val="22"/>
          <w:szCs w:val="22"/>
        </w:rPr>
        <w:t xml:space="preserve">Barnett, S. M., &amp; Ceci, S. J. (2002). When and where do we apply what we learn? A taxonomy for far transfer. Psychological Bulletin, 128(4), 612-637.</w:t>
      </w:r>
    </w:p>
    <w:p>
      <w:pPr>
        <w:pStyle w:val="ListParagraph"/>
        <w:numPr>
          <w:ilvl w:val="0"/>
          <w:numId w:val="1"/>
        </w:numPr>
        <w:spacing w:after="60"/>
      </w:pPr>
      <w:r>
        <w:rPr>
          <w:rFonts w:ascii="Calibri" w:cs="Calibri" w:eastAsia="Calibri" w:hAnsi="Calibri"/>
          <w:sz w:val="22"/>
          <w:szCs w:val="22"/>
        </w:rPr>
        <w:t xml:space="preserve">Blake-Plock, S., Craig, S. D., Czerwinski, E., Goodell, J., Lis, J., McEldoon, K., Owens, K., Stodd, J., Schatz, S., &amp; Walsh, W. (2024). Generalizable learning engineering adoption maturity model. Interservice/Industry Training, Simulation, and Education Conference (I/ITSEC).</w:t>
      </w:r>
    </w:p>
    <w:p>
      <w:pPr>
        <w:pStyle w:val="ListParagraph"/>
        <w:numPr>
          <w:ilvl w:val="0"/>
          <w:numId w:val="1"/>
        </w:numPr>
        <w:spacing w:after="60"/>
      </w:pPr>
      <w:r>
        <w:rPr>
          <w:rFonts w:ascii="Calibri" w:cs="Calibri" w:eastAsia="Calibri" w:hAnsi="Calibri"/>
          <w:sz w:val="22"/>
          <w:szCs w:val="22"/>
        </w:rPr>
        <w:t xml:space="preserve">Brown, A. L. (1992). Design experiments: Theoretical and methodological challenges in creating complex interventions in classroom settings. Journal of the Learning Sciences, 2(2), 141-178.</w:t>
      </w:r>
    </w:p>
    <w:p>
      <w:pPr>
        <w:pStyle w:val="ListParagraph"/>
        <w:numPr>
          <w:ilvl w:val="0"/>
          <w:numId w:val="1"/>
        </w:numPr>
        <w:spacing w:after="60"/>
      </w:pPr>
      <w:r>
        <w:rPr>
          <w:rFonts w:ascii="Calibri" w:cs="Calibri" w:eastAsia="Calibri" w:hAnsi="Calibri"/>
          <w:sz w:val="22"/>
          <w:szCs w:val="22"/>
        </w:rPr>
        <w:t xml:space="preserve">Craig, S. D., Goodell, J., Roscoe, R., Czerwinski, E., &amp; Lis, J. (2023). Learning engineering perspectives for supporting educational systems. Proceedings of the Human Factors and Ergonomics Society Annual Meeting. https://doi.org/10.1177/21695067231192886</w:t>
      </w:r>
    </w:p>
    <w:p>
      <w:pPr>
        <w:pStyle w:val="ListParagraph"/>
        <w:numPr>
          <w:ilvl w:val="0"/>
          <w:numId w:val="1"/>
        </w:numPr>
        <w:spacing w:after="60"/>
      </w:pPr>
      <w:r>
        <w:rPr>
          <w:rFonts w:ascii="Calibri" w:cs="Calibri" w:eastAsia="Calibri" w:hAnsi="Calibri"/>
          <w:sz w:val="22"/>
          <w:szCs w:val="22"/>
        </w:rPr>
        <w:t xml:space="preserve">Kolodner, J. L. (2023). Learning engineering: What it is, why I am involved, and why I think more of you should be. Journal of the Learning Sciences, 32(1). https://doi.org/10.1080/10508406.2023.2190717</w:t>
      </w:r>
    </w:p>
    <w:p>
      <w:pPr>
        <w:pStyle w:val="ListParagraph"/>
        <w:numPr>
          <w:ilvl w:val="0"/>
          <w:numId w:val="1"/>
        </w:numPr>
        <w:spacing w:after="60"/>
      </w:pPr>
      <w:r>
        <w:rPr>
          <w:rFonts w:ascii="Calibri" w:cs="Calibri" w:eastAsia="Calibri" w:hAnsi="Calibri"/>
          <w:sz w:val="22"/>
          <w:szCs w:val="22"/>
        </w:rPr>
        <w:t xml:space="preserve">Kurzweil, D., &amp; Marcellas, K. B. (2020). Teaming up to improve medical and healthcare education: Instructional design and learning engineering. Journal of Applied Instructional Design.</w:t>
      </w:r>
    </w:p>
    <w:p>
      <w:pPr>
        <w:pStyle w:val="ListParagraph"/>
        <w:numPr>
          <w:ilvl w:val="0"/>
          <w:numId w:val="1"/>
        </w:numPr>
        <w:spacing w:after="60"/>
      </w:pPr>
      <w:r>
        <w:rPr>
          <w:rFonts w:ascii="Calibri" w:cs="Calibri" w:eastAsia="Calibri" w:hAnsi="Calibri"/>
          <w:sz w:val="22"/>
          <w:szCs w:val="22"/>
        </w:rPr>
        <w:t xml:space="preserve">Lee, V. R. (2023). Learning sciences and learning engineering: A natural or artificial distinction? Journal of the Learning Sciences, 32(1). https://doi.org/10.1080/10508406.2022.2100705</w:t>
      </w:r>
    </w:p>
    <w:p>
      <w:pPr>
        <w:pStyle w:val="ListParagraph"/>
        <w:numPr>
          <w:ilvl w:val="0"/>
          <w:numId w:val="1"/>
        </w:numPr>
        <w:spacing w:after="60"/>
      </w:pPr>
      <w:r>
        <w:rPr>
          <w:rFonts w:ascii="Calibri" w:cs="Calibri" w:eastAsia="Calibri" w:hAnsi="Calibri"/>
          <w:sz w:val="22"/>
          <w:szCs w:val="22"/>
        </w:rPr>
        <w:t xml:space="preserve">Mislevy, R. J., Steinberg, L. S., &amp; Almond, R. G. (2003). A brief introduction to evidence-centered design. ETS Research Report Series.</w:t>
      </w:r>
    </w:p>
    <w:p>
      <w:pPr>
        <w:pStyle w:val="ListParagraph"/>
        <w:numPr>
          <w:ilvl w:val="0"/>
          <w:numId w:val="1"/>
        </w:numPr>
        <w:spacing w:after="60"/>
      </w:pPr>
      <w:r>
        <w:rPr>
          <w:rFonts w:ascii="Calibri" w:cs="Calibri" w:eastAsia="Calibri" w:hAnsi="Calibri"/>
          <w:sz w:val="22"/>
          <w:szCs w:val="22"/>
        </w:rPr>
        <w:t xml:space="preserve">Pellegrino, J. W., Chudowsky, N., &amp; Glaser, R. (Eds.). (2001). Knowing what students know: The science and design of educational assessment. National Academies Press. (Chapter 2)</w:t>
      </w:r>
    </w:p>
    <w:p>
      <w:pPr>
        <w:pStyle w:val="ListParagraph"/>
        <w:numPr>
          <w:ilvl w:val="0"/>
          <w:numId w:val="1"/>
        </w:numPr>
        <w:spacing w:after="60"/>
      </w:pPr>
      <w:r>
        <w:rPr>
          <w:rFonts w:ascii="Calibri" w:cs="Calibri" w:eastAsia="Calibri" w:hAnsi="Calibri"/>
          <w:sz w:val="22"/>
          <w:szCs w:val="22"/>
        </w:rPr>
        <w:t xml:space="preserve">Schatz, S., Goodell, J., &amp; Kessler, A. (2023). Learning engineering at a glance. Journal of Military Learning.</w:t>
      </w:r>
    </w:p>
    <w:p>
      <w:pPr>
        <w:pStyle w:val="ListParagraph"/>
        <w:numPr>
          <w:ilvl w:val="0"/>
          <w:numId w:val="1"/>
        </w:numPr>
        <w:spacing w:after="60"/>
      </w:pPr>
      <w:r>
        <w:rPr>
          <w:rFonts w:ascii="Calibri" w:cs="Calibri" w:eastAsia="Calibri" w:hAnsi="Calibri"/>
          <w:sz w:val="22"/>
          <w:szCs w:val="22"/>
        </w:rPr>
        <w:t xml:space="preserve">Totino, L., &amp; Kessler, A. (2025). Exploring learning engineering design decision tracking: Emergent themes from practitioners' work. TechTrends. https://doi.org/10.1007/s11528-025-01076-y</w:t>
      </w:r>
    </w:p>
    <w:p>
      <w:pPr>
        <w:pStyle w:val="ListParagraph"/>
        <w:numPr>
          <w:ilvl w:val="0"/>
          <w:numId w:val="1"/>
        </w:numPr>
        <w:spacing w:after="60"/>
      </w:pPr>
      <w:r>
        <w:rPr>
          <w:rFonts w:ascii="Calibri" w:cs="Calibri" w:eastAsia="Calibri" w:hAnsi="Calibri"/>
          <w:sz w:val="22"/>
          <w:szCs w:val="22"/>
        </w:rPr>
        <w:t xml:space="preserve">Uncapher, M. R. (2018). From the science of learning (and development) to learning engineering. Applied Developmental Science. https://doi.org/10.1080/10888691.2017.1421437</w:t>
      </w:r>
    </w:p>
    <w:p>
      <w:pPr>
        <w:pStyle w:val="ListParagraph"/>
        <w:numPr>
          <w:ilvl w:val="0"/>
          <w:numId w:val="1"/>
        </w:numPr>
        <w:spacing w:after="60"/>
      </w:pPr>
      <w:r>
        <w:rPr>
          <w:rFonts w:ascii="Calibri" w:cs="Calibri" w:eastAsia="Calibri" w:hAnsi="Calibri"/>
          <w:sz w:val="22"/>
          <w:szCs w:val="22"/>
        </w:rPr>
        <w:t xml:space="preserve">Van Campenhout, R. (2021). Learning engineering as an ethical framework. In Adaptive instructional systems (HCII 2021), Lecture Notes in Computer Science 12792. https://doi.org/10.1007/978-3-030-77857-6_7</w:t>
      </w:r>
    </w:p>
    <w:p>
      <w:pPr>
        <w:pStyle w:val="ListParagraph"/>
        <w:numPr>
          <w:ilvl w:val="0"/>
          <w:numId w:val="1"/>
        </w:numPr>
        <w:spacing w:after="60"/>
      </w:pPr>
      <w:r>
        <w:rPr>
          <w:rFonts w:ascii="Calibri" w:cs="Calibri" w:eastAsia="Calibri" w:hAnsi="Calibri"/>
          <w:sz w:val="22"/>
          <w:szCs w:val="22"/>
        </w:rPr>
        <w:t xml:space="preserve">Van Campenhout, R., Selinger, M., &amp; Jerome, B. (2023). Designing a student progress panel for formative practice: A learning engineering process. Proceedings of the International Conference of the Learning Sciences (ICLS 2023), 2193-2196.</w:t>
      </w:r>
    </w:p>
    <w:p>
      <w:pPr>
        <w:spacing w:after="100" w:before="100"/>
      </w:pPr>
      <w:r>
        <w:rPr>
          <w:rFonts w:ascii="Calibri" w:cs="Calibri" w:eastAsia="Calibri" w:hAnsi="Calibri"/>
          <w:b/>
          <w:bCs/>
          <w:sz w:val="20"/>
          <w:szCs w:val="20"/>
        </w:rPr>
        <w:t xml:space="preserve">Supporting texts</w:t>
      </w:r>
    </w:p>
    <w:p>
      <w:pPr>
        <w:pStyle w:val="ListParagraph"/>
        <w:numPr>
          <w:ilvl w:val="0"/>
          <w:numId w:val="1"/>
        </w:numPr>
        <w:spacing w:after="60"/>
      </w:pPr>
      <w:r>
        <w:rPr>
          <w:rFonts w:ascii="Calibri" w:cs="Calibri" w:eastAsia="Calibri" w:hAnsi="Calibri"/>
          <w:sz w:val="22"/>
          <w:szCs w:val="22"/>
        </w:rPr>
        <w:t xml:space="preserve">Ericsson, K. A., &amp; Pool, R. (2016). Peak: Secrets from the new science of expertise. Houghton Mifflin Harcourt.</w:t>
      </w:r>
    </w:p>
    <w:p>
      <w:pPr>
        <w:pStyle w:val="ListParagraph"/>
        <w:numPr>
          <w:ilvl w:val="0"/>
          <w:numId w:val="1"/>
        </w:numPr>
        <w:spacing w:after="60"/>
      </w:pPr>
      <w:r>
        <w:rPr>
          <w:rFonts w:ascii="Calibri" w:cs="Calibri" w:eastAsia="Calibri" w:hAnsi="Calibri"/>
          <w:sz w:val="22"/>
          <w:szCs w:val="22"/>
        </w:rPr>
        <w:t xml:space="preserve">Woods, D. D., &amp; Hollnagel, E. (2006). Joint cognitive systems: Patterns in cognitive systems engineering. CRC Press.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00bd5bda8713549e292966379b91bfc228d5d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2026-09-11T18:40:30.625Z</dcterms:created>
  <dcterms:modified xsi:type="dcterms:W3CDTF">2026-09-11T18:40:30.626Z</dcterms:modified>
</cp:coreProperties>
</file>

<file path=docProps/custom.xml><?xml version="1.0" encoding="utf-8"?>
<Properties xmlns="http://schemas.openxmlformats.org/officeDocument/2006/custom-properties" xmlns:vt="http://schemas.openxmlformats.org/officeDocument/2006/docPropsVTypes"/>
</file>