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72619" w14:textId="77777777" w:rsidR="00464B9D" w:rsidRDefault="00000000">
      <w:pPr>
        <w:spacing w:after="60"/>
      </w:pPr>
      <w:r>
        <w:rPr>
          <w:rFonts w:ascii="Calibri" w:eastAsia="Calibri" w:hAnsi="Calibri" w:cs="Calibri"/>
          <w:b/>
          <w:bCs/>
          <w:color w:val="1F3864"/>
          <w:sz w:val="52"/>
          <w:szCs w:val="52"/>
        </w:rPr>
        <w:t>AskWRI 2028</w:t>
      </w:r>
    </w:p>
    <w:p w14:paraId="223D3D6A" w14:textId="77777777" w:rsidR="00464B9D" w:rsidRDefault="00000000">
      <w:pPr>
        <w:spacing w:after="60"/>
      </w:pPr>
      <w:r>
        <w:rPr>
          <w:rFonts w:ascii="Calibri" w:eastAsia="Calibri" w:hAnsi="Calibri" w:cs="Calibri"/>
          <w:color w:val="404040"/>
          <w:sz w:val="28"/>
          <w:szCs w:val="28"/>
        </w:rPr>
        <w:t>Product vision, October 2026 to mid-2028</w:t>
      </w:r>
    </w:p>
    <w:p w14:paraId="2269C50E" w14:textId="77777777" w:rsidR="00464B9D" w:rsidRDefault="00705F24">
      <w:pPr>
        <w:pStyle w:val="Heading1"/>
        <w:spacing w:before="320" w:after="160"/>
      </w:pPr>
      <w:r>
        <w:rPr>
          <w:rFonts w:ascii="Calibri" w:eastAsia="Calibri" w:hAnsi="Calibri" w:cs="Calibri"/>
          <w:b/>
          <w:bCs/>
          <w:color w:val="1F3864"/>
          <w:sz w:val="30"/>
          <w:szCs w:val="30"/>
        </w:rPr>
        <w:t>Future stories: October 2027</w:t>
      </w:r>
    </w:p>
    <w:p w14:paraId="4EB970BE" w14:textId="77777777" w:rsidR="00464B9D" w:rsidRDefault="00000000">
      <w:pPr>
        <w:spacing w:after="160" w:line="276" w:lineRule="auto"/>
      </w:pPr>
      <w:r>
        <w:rPr>
          <w:rFonts w:ascii="Calibri" w:eastAsia="Calibri" w:hAnsi="Calibri" w:cs="Calibri"/>
          <w:sz w:val="22"/>
          <w:szCs w:val="22"/>
        </w:rPr>
        <w:t>A researcher opens a dossier on bus electrification: a saved question, a screened slice of the corpus, and a grid of publications against the dimensions she cares about, with geography, fleet size, cost per kilometer, and method in the columns, and a supporting quote behind every cell. AskWRI drafted the grid in an afternoon based on her prior Project sessions. She spends a week working with it, correcting and adding to it. Doing it by hand used to take up a season. The grid shows her what WRI knows and what it lacks. Nothing on financing electric fleets in secondary cities. That gap becomes her paper.</w:t>
      </w:r>
    </w:p>
    <w:p w14:paraId="3B270DE1" w14:textId="77777777" w:rsidR="00464B9D" w:rsidRDefault="00000000">
      <w:pPr>
        <w:spacing w:after="160" w:line="276" w:lineRule="auto"/>
      </w:pPr>
      <w:r>
        <w:rPr>
          <w:rFonts w:ascii="Calibri" w:eastAsia="Calibri" w:hAnsi="Calibri" w:cs="Calibri"/>
          <w:sz w:val="22"/>
          <w:szCs w:val="22"/>
        </w:rPr>
        <w:t>By March the Technical Note draft is done, and the dossier has kept pace with the corpus; two publications landed in January and the grid absorbed them. Before review she runs Cite-check. Forty claims in three minutes. Thirty-six hold. Two cite a report WRI superseded last year. One contradicts a finding from WRI México, and the tool puts both passages side by side. One rests on nothing, so the tool names the page that would carry it. The Methods index raises a last flag: her fleet-turnover baseline differs from the one WRI China used in 2026. She keeps hers and says why in a footnote. Her eight reviewers, four inside WRI and four outside, receive a cleaner draft and a log of what was checked, how, and why.</w:t>
      </w:r>
    </w:p>
    <w:p w14:paraId="644C36F2" w14:textId="77777777" w:rsidR="00464B9D" w:rsidRDefault="00000000">
      <w:pPr>
        <w:spacing w:after="160" w:line="276" w:lineRule="auto"/>
      </w:pPr>
      <w:r>
        <w:rPr>
          <w:rFonts w:ascii="Calibri" w:eastAsia="Calibri" w:hAnsi="Calibri" w:cs="Calibri"/>
          <w:sz w:val="22"/>
          <w:szCs w:val="22"/>
        </w:rPr>
        <w:t>The same March morning, an official in Bogotá opens a standing brief on freight emissions. It says “current as of 14 March 2028” and means it: the corpus changed last week, the brief regenerated, and an editor approved the difference. At the bottom sits a line no chatbot can write: “WRI has published no evidence on rail freight costs in the Andean region.” That sentence went into a quarterly gaps memo. It is now a funded research question.</w:t>
      </w:r>
    </w:p>
    <w:p w14:paraId="5AE4C352" w14:textId="77777777" w:rsidR="00464B9D" w:rsidRDefault="00000000">
      <w:pPr>
        <w:spacing w:after="160" w:line="276" w:lineRule="auto"/>
      </w:pPr>
      <w:r>
        <w:rPr>
          <w:rFonts w:ascii="Calibri" w:eastAsia="Calibri" w:hAnsi="Calibri" w:cs="Calibri"/>
          <w:sz w:val="22"/>
          <w:szCs w:val="22"/>
        </w:rPr>
        <w:t>An hour later, in Washington, a communications officer takes a reporter's call about forest-loss numbers. She does not improvise. What WRI Says hands her the institution's current position, the two reports behind it, a note that an update is in external review, and the name of the scientist to quote. The reporter gets her answer before the deadline, and it is the answer WRI meant to give.</w:t>
      </w:r>
    </w:p>
    <w:p w14:paraId="1525FFBA" w14:textId="6AC99C08" w:rsidR="00464B9D" w:rsidRDefault="00000000">
      <w:pPr>
        <w:spacing w:after="160" w:line="276" w:lineRule="auto"/>
      </w:pPr>
      <w:r>
        <w:rPr>
          <w:rFonts w:ascii="Calibri" w:eastAsia="Calibri" w:hAnsi="Calibri" w:cs="Calibri"/>
          <w:sz w:val="22"/>
          <w:szCs w:val="22"/>
        </w:rPr>
        <w:t xml:space="preserve">Little of this is exotic. The dossier is Answer mode with a memory. Cite-check is Cite and Answer mode run backwards. What WRI Says is Answer mode restricted to what the claim layer marks current. The standing brief is retrieval on a schedule with an approval step. </w:t>
      </w:r>
    </w:p>
    <w:p w14:paraId="6DD03B5D" w14:textId="77777777" w:rsidR="00464B9D" w:rsidRDefault="00000000">
      <w:pPr>
        <w:pStyle w:val="Heading1"/>
        <w:spacing w:before="320" w:after="160"/>
      </w:pPr>
      <w:r>
        <w:rPr>
          <w:rFonts w:ascii="Calibri" w:eastAsia="Calibri" w:hAnsi="Calibri" w:cs="Calibri"/>
          <w:b/>
          <w:bCs/>
          <w:color w:val="1F3864"/>
          <w:sz w:val="30"/>
          <w:szCs w:val="30"/>
        </w:rPr>
        <w:t>The enemy</w:t>
      </w:r>
    </w:p>
    <w:p w14:paraId="688252D9" w14:textId="77777777" w:rsidR="00464B9D" w:rsidRPr="008678A4" w:rsidRDefault="00000000">
      <w:pPr>
        <w:spacing w:after="160" w:line="276" w:lineRule="auto"/>
        <w:rPr>
          <w:b/>
          <w:bCs/>
        </w:rPr>
      </w:pPr>
      <w:r>
        <w:rPr>
          <w:rFonts w:ascii="Calibri" w:eastAsia="Calibri" w:hAnsi="Calibri" w:cs="Calibri"/>
          <w:b/>
          <w:bCs/>
          <w:sz w:val="22"/>
          <w:szCs w:val="22"/>
        </w:rPr>
        <w:t>The enemy is the plausible wrong answer.</w:t>
      </w:r>
    </w:p>
    <w:p w14:paraId="6AB1369B" w14:textId="77777777" w:rsidR="00464B9D" w:rsidRDefault="00000000">
      <w:pPr>
        <w:spacing w:after="160" w:line="276" w:lineRule="auto"/>
      </w:pPr>
      <w:r>
        <w:rPr>
          <w:rFonts w:ascii="Calibri" w:eastAsia="Calibri" w:hAnsi="Calibri" w:cs="Calibri"/>
          <w:sz w:val="22"/>
          <w:szCs w:val="22"/>
        </w:rPr>
        <w:t>WRI staff already paste PDFs into ChatGPT. It’s fast and free, and every quarter it gets better. But what does “better” buy? In a 2026 benchmark of the newest research agents, links worked 94 to 99 percent of the time, while the linked document supported the claim only 39 to 77 percent of the time, and support fell as the agents searched deeper. Columbia's Tow Center asked eight AI search engines to identify the sources of direct quotes; they failed more than 60 percent of the time. The links and soft references became real. The claims did not.</w:t>
      </w:r>
    </w:p>
    <w:p w14:paraId="2B88C81A" w14:textId="77777777" w:rsidR="00464B9D" w:rsidRDefault="00000000">
      <w:pPr>
        <w:spacing w:after="160" w:line="276" w:lineRule="auto"/>
      </w:pPr>
      <w:r>
        <w:rPr>
          <w:rFonts w:ascii="Calibri" w:eastAsia="Calibri" w:hAnsi="Calibri" w:cs="Calibri"/>
          <w:b/>
          <w:bCs/>
          <w:sz w:val="22"/>
          <w:szCs w:val="22"/>
        </w:rPr>
        <w:lastRenderedPageBreak/>
        <w:t>Fluency is improving faster than faithfulness</w:t>
      </w:r>
      <w:r>
        <w:rPr>
          <w:rFonts w:ascii="Calibri" w:eastAsia="Calibri" w:hAnsi="Calibri" w:cs="Calibri"/>
          <w:sz w:val="22"/>
          <w:szCs w:val="22"/>
        </w:rPr>
        <w:t>. For some kinds of work that gap is tolerable. WRI's product is being right, and trustworthy. An answer that reads well and cites a real WRI report that says something else dilutes reputation we can’t buy back, in front of the partners, governments, and journalists we most need to trust us.</w:t>
      </w:r>
    </w:p>
    <w:p w14:paraId="39716796" w14:textId="77777777" w:rsidR="00464B9D" w:rsidRDefault="00000000">
      <w:pPr>
        <w:spacing w:after="160" w:line="276" w:lineRule="auto"/>
      </w:pPr>
      <w:r>
        <w:rPr>
          <w:rFonts w:ascii="Calibri" w:eastAsia="Calibri" w:hAnsi="Calibri" w:cs="Calibri"/>
          <w:sz w:val="22"/>
          <w:szCs w:val="22"/>
        </w:rPr>
        <w:t xml:space="preserve">The threat is not that general AI fails. </w:t>
      </w:r>
      <w:r>
        <w:rPr>
          <w:rFonts w:ascii="Calibri" w:eastAsia="Calibri" w:hAnsi="Calibri" w:cs="Calibri"/>
          <w:b/>
          <w:bCs/>
          <w:sz w:val="22"/>
          <w:szCs w:val="22"/>
        </w:rPr>
        <w:t xml:space="preserve">The threat is that it </w:t>
      </w:r>
      <w:r>
        <w:rPr>
          <w:rFonts w:ascii="Calibri" w:eastAsia="Calibri" w:hAnsi="Calibri" w:cs="Calibri"/>
          <w:b/>
          <w:bCs/>
          <w:i/>
          <w:iCs/>
          <w:sz w:val="22"/>
          <w:szCs w:val="22"/>
        </w:rPr>
        <w:t xml:space="preserve">almost </w:t>
      </w:r>
      <w:r>
        <w:rPr>
          <w:rFonts w:ascii="Calibri" w:eastAsia="Calibri" w:hAnsi="Calibri" w:cs="Calibri"/>
          <w:b/>
          <w:bCs/>
          <w:sz w:val="22"/>
          <w:szCs w:val="22"/>
        </w:rPr>
        <w:t>succeeds,</w:t>
      </w:r>
      <w:r>
        <w:rPr>
          <w:rFonts w:ascii="Calibri" w:eastAsia="Calibri" w:hAnsi="Calibri" w:cs="Calibri"/>
          <w:sz w:val="22"/>
          <w:szCs w:val="22"/>
        </w:rPr>
        <w:t xml:space="preserve"> everywhere, one paste at a time, with nobody checking.</w:t>
      </w:r>
    </w:p>
    <w:p w14:paraId="4E9FACAC" w14:textId="77777777" w:rsidR="00464B9D" w:rsidRDefault="0047674E">
      <w:pPr>
        <w:pStyle w:val="Heading1"/>
        <w:spacing w:before="320" w:after="160"/>
      </w:pPr>
      <w:r>
        <w:rPr>
          <w:rFonts w:ascii="Calibri" w:eastAsia="Calibri" w:hAnsi="Calibri" w:cs="Calibri"/>
          <w:b/>
          <w:bCs/>
          <w:color w:val="1F3864"/>
          <w:sz w:val="30"/>
          <w:szCs w:val="30"/>
        </w:rPr>
        <w:t>A bet</w:t>
      </w:r>
    </w:p>
    <w:p w14:paraId="5EB031C0" w14:textId="77777777" w:rsidR="0047674E" w:rsidRDefault="00000000">
      <w:pPr>
        <w:spacing w:after="160" w:line="276" w:lineRule="auto"/>
        <w:rPr>
          <w:rFonts w:ascii="Calibri" w:eastAsia="Calibri" w:hAnsi="Calibri" w:cs="Calibri"/>
          <w:sz w:val="22"/>
          <w:szCs w:val="22"/>
        </w:rPr>
      </w:pPr>
      <w:r>
        <w:rPr>
          <w:rFonts w:ascii="Calibri" w:eastAsia="Calibri" w:hAnsi="Calibri" w:cs="Calibri"/>
          <w:sz w:val="22"/>
          <w:szCs w:val="22"/>
        </w:rPr>
        <w:t xml:space="preserve">Model improvement arrives for free and never stops. Synthesis, translation, query understanding, conversation: rent all of it, and swap vendors when evaluations surface better options. </w:t>
      </w:r>
    </w:p>
    <w:p w14:paraId="287188D7" w14:textId="77777777" w:rsidR="00464B9D" w:rsidRDefault="0047674E">
      <w:pPr>
        <w:spacing w:after="160" w:line="276" w:lineRule="auto"/>
      </w:pPr>
      <w:r>
        <w:rPr>
          <w:rFonts w:ascii="Calibri" w:eastAsia="Calibri" w:hAnsi="Calibri" w:cs="Calibri"/>
          <w:sz w:val="22"/>
          <w:szCs w:val="22"/>
        </w:rPr>
        <w:t xml:space="preserve">But no vendor will ever deliver WRI golden sets, claim-level provenance across WRI publications, a methods index of how WRI measures the world, the record of questions we could not answer, or a pipeline that Research Integrity can certify. Those differentiated assets gain value with every model release, because better models make them cheaper to operate and do nothing to replace them. </w:t>
      </w:r>
    </w:p>
    <w:p w14:paraId="269B5DC6" w14:textId="77777777" w:rsidR="00464B9D" w:rsidRDefault="00000000">
      <w:pPr>
        <w:spacing w:after="160" w:line="276" w:lineRule="auto"/>
        <w:jc w:val="center"/>
      </w:pPr>
      <w:r>
        <w:rPr>
          <w:rFonts w:ascii="Calibri" w:eastAsia="Calibri" w:hAnsi="Calibri" w:cs="Calibri"/>
          <w:b/>
          <w:bCs/>
          <w:color w:val="1F3864"/>
          <w:sz w:val="26"/>
          <w:szCs w:val="26"/>
        </w:rPr>
        <w:t>Invest in what appreciates. Rent what depreciates.</w:t>
      </w:r>
    </w:p>
    <w:p w14:paraId="31693B37" w14:textId="77777777" w:rsidR="00464B9D" w:rsidRDefault="00000000">
      <w:pPr>
        <w:spacing w:after="160" w:line="276" w:lineRule="auto"/>
      </w:pPr>
      <w:r>
        <w:rPr>
          <w:rFonts w:ascii="Calibri" w:eastAsia="Calibri" w:hAnsi="Calibri" w:cs="Calibri"/>
          <w:sz w:val="22"/>
          <w:szCs w:val="22"/>
        </w:rPr>
        <w:t>One more asset belongs on the list: judgment. Every day, subject-matter experts correct dossier cells, authors verify claims at ingest, editors approve or reject a brief's diff. Each of those acts is a labeled example of what “good” looks like on our corpus. Collected deliberately, they become the feedback that tunes retrieval thresholds, reranker choices, and refusal calibration, so quality adapts to WRI's standards organically rather than by committee, or worse gets delegated to a commercial model vendor. The models stay rented. The judgment that steers them is WRI’s, and it accrues.</w:t>
      </w:r>
    </w:p>
    <w:p w14:paraId="2D116EFE" w14:textId="77777777" w:rsidR="00464B9D" w:rsidRDefault="00000000">
      <w:pPr>
        <w:spacing w:after="160" w:line="276" w:lineRule="auto"/>
      </w:pPr>
      <w:r>
        <w:rPr>
          <w:rFonts w:ascii="Calibri" w:eastAsia="Calibri" w:hAnsi="Calibri" w:cs="Calibri"/>
          <w:sz w:val="22"/>
          <w:szCs w:val="22"/>
        </w:rPr>
        <w:t>The obvious objection: why not buy Glean or NotebookLM Enterprise and go home? Because enterprise RAG is a commodity, and we should treat it like one. Any of those products can index our PDFs and answer questions about them. None ships with a transport golden set, a supersession graph of WRI's corpus, an index of WRI's methods, or WRI's unique quality assurance process. If a commercial platform beats our retrieval layer, we swap it in underneath and keep the assets. The assets are the product.</w:t>
      </w:r>
    </w:p>
    <w:p w14:paraId="10DBE117" w14:textId="77777777" w:rsidR="00464B9D" w:rsidRDefault="00000000">
      <w:pPr>
        <w:pStyle w:val="Heading1"/>
        <w:spacing w:before="320" w:after="160"/>
      </w:pPr>
      <w:r>
        <w:rPr>
          <w:rFonts w:ascii="Calibri" w:eastAsia="Calibri" w:hAnsi="Calibri" w:cs="Calibri"/>
          <w:b/>
          <w:bCs/>
          <w:color w:val="1F3864"/>
          <w:sz w:val="30"/>
          <w:szCs w:val="30"/>
        </w:rPr>
        <w:t>Where the tool lives</w:t>
      </w:r>
    </w:p>
    <w:p w14:paraId="5E56E886" w14:textId="77777777" w:rsidR="00464B9D" w:rsidRDefault="00000000">
      <w:pPr>
        <w:spacing w:after="160" w:line="276" w:lineRule="auto"/>
      </w:pPr>
      <w:r>
        <w:rPr>
          <w:rFonts w:ascii="Calibri" w:eastAsia="Calibri" w:hAnsi="Calibri" w:cs="Calibri"/>
          <w:sz w:val="22"/>
          <w:szCs w:val="22"/>
        </w:rPr>
        <w:t>Every WRI product, from a four-page issue brief to a two-year flagship, moves through an arc: scope the question, gather and screen the evidence, extract what matters, interpret the results, draft, survive review, publish, keep it alive. Today AskWRI serves one point on that arc. A question gets an answer with citations. Useful, but narrow.</w:t>
      </w:r>
    </w:p>
    <w:p w14:paraId="47234D39" w14:textId="77777777" w:rsidR="00464B9D" w:rsidRDefault="00000000">
      <w:pPr>
        <w:spacing w:after="160" w:line="276" w:lineRule="auto"/>
      </w:pPr>
      <w:r>
        <w:rPr>
          <w:rFonts w:ascii="Calibri" w:eastAsia="Calibri" w:hAnsi="Calibri" w:cs="Calibri"/>
          <w:sz w:val="22"/>
          <w:szCs w:val="22"/>
        </w:rPr>
        <w:t>The studies of research labor are blunt about where the hours go. Surveys put searching at 15 to 20 percent of a researcher's time; screening, extraction, and drafting swallow the rest. Registry data on systematic reviews average out near eleven hundred person-hours each, most spent in the middle stages. Grant-writing surveys put a single funder proposal above a hundred hours of a principal investigator's time, and most of that is reassembling what the organization already knows.</w:t>
      </w:r>
    </w:p>
    <w:p w14:paraId="305656CE" w14:textId="77777777" w:rsidR="00464B9D" w:rsidRDefault="00000000">
      <w:pPr>
        <w:spacing w:after="160" w:line="276" w:lineRule="auto"/>
      </w:pPr>
      <w:r>
        <w:rPr>
          <w:rFonts w:ascii="Calibri" w:eastAsia="Calibri" w:hAnsi="Calibri" w:cs="Calibri"/>
          <w:sz w:val="22"/>
          <w:szCs w:val="22"/>
        </w:rPr>
        <w:t xml:space="preserve">And the arc does not end with researchers. The published corpus feeds a second set of producers: the communications officer answering a journalist, the policy lead prepping a delegation, the country office </w:t>
        <w:lastRenderedPageBreak/>
        <w:t>assembling an evidence pack for a ministry. They work in hours, not months, and they need the current institutional position, not a literature search. The same substrate can serve multiple use cases.</w:t>
      </w:r>
    </w:p>
    <w:p w14:paraId="7B4CE12B" w14:textId="77777777" w:rsidR="00464B9D" w:rsidRDefault="00000000">
      <w:pPr>
        <w:spacing w:after="160" w:line="276" w:lineRule="auto"/>
      </w:pPr>
      <w:r>
        <w:rPr>
          <w:rFonts w:ascii="Calibri" w:eastAsia="Calibri" w:hAnsi="Calibri" w:cs="Calibri"/>
          <w:sz w:val="22"/>
          <w:szCs w:val="22"/>
        </w:rPr>
        <w:t>So we grow along the arc of the work. Upstream, the dossier takes on screening and extraction. Downstream, cite-check hardens drafts before review, and the living record keeps published work current and quotable afterward. We do not follow researchers into the open literature, and we do not write for them. We hold the middle and the ends of the arc, on our corpus, where the assets compound.</w:t>
      </w:r>
    </w:p>
    <w:p w14:paraId="4F6721A3" w14:textId="77777777" w:rsidR="00464B9D" w:rsidRDefault="00000000">
      <w:pPr>
        <w:pStyle w:val="Heading1"/>
        <w:spacing w:before="320" w:after="160"/>
      </w:pPr>
      <w:r>
        <w:rPr>
          <w:rFonts w:ascii="Calibri" w:eastAsia="Calibri" w:hAnsi="Calibri" w:cs="Calibri"/>
          <w:b/>
          <w:bCs/>
          <w:color w:val="1F3864"/>
          <w:sz w:val="30"/>
          <w:szCs w:val="30"/>
        </w:rPr>
        <w:t>What we build</w:t>
      </w:r>
    </w:p>
    <w:p w14:paraId="42823D29" w14:textId="77777777" w:rsidR="00464B9D" w:rsidRDefault="00000000">
      <w:pPr>
        <w:spacing w:after="160" w:line="276" w:lineRule="auto"/>
      </w:pPr>
      <w:r>
        <w:rPr>
          <w:rFonts w:ascii="Calibri" w:eastAsia="Calibri" w:hAnsi="Calibri" w:cs="Calibri"/>
          <w:sz w:val="22"/>
          <w:szCs w:val="22"/>
        </w:rPr>
        <w:t>Six capabilities. The first three face users along the arc. The fourth is the substrate beneath them. The last two turn the tool's exhaust into compounding institutional intelligence.</w:t>
      </w:r>
    </w:p>
    <w:p w14:paraId="19712AA9" w14:textId="77777777" w:rsidR="00464B9D" w:rsidRDefault="00000000">
      <w:pPr>
        <w:pStyle w:val="Heading2"/>
        <w:spacing w:before="240" w:after="120"/>
      </w:pPr>
      <w:r>
        <w:rPr>
          <w:rFonts w:ascii="Calibri" w:eastAsia="Calibri" w:hAnsi="Calibri" w:cs="Calibri"/>
          <w:b/>
          <w:bCs/>
          <w:color w:val="2E5395"/>
          <w:sz w:val="25"/>
          <w:szCs w:val="25"/>
        </w:rPr>
        <w:t>1. The dossier</w:t>
      </w:r>
    </w:p>
    <w:p w14:paraId="257E43ED" w14:textId="77777777" w:rsidR="00464B9D" w:rsidRDefault="00000000">
      <w:pPr>
        <w:spacing w:after="160" w:line="276" w:lineRule="auto"/>
      </w:pPr>
      <w:r>
        <w:rPr>
          <w:rFonts w:ascii="Calibri" w:eastAsia="Calibri" w:hAnsi="Calibri" w:cs="Calibri"/>
          <w:sz w:val="22"/>
          <w:szCs w:val="22"/>
        </w:rPr>
        <w:t>Between a hand-built golden set and a disposable chat answer sits a category the evidence world already trusts. 3ie builds evidence and gap maps, Cochrane is piloting living evidence maps, and Elicit sells extraction tables. All make the same move: a scoped question, a screened set of documents, and a grid of findings with a quote behind every cell, cataloged before anyone writes a narrative. The dossier is our version, on our corpus: machine-drafted in an afternoon, corrected by its owner, alive to WRI corpus changes, and the seed from which answers, briefs, and drafts are later generated. Corrected cells feed the judgment loop, lightening the evaluation work that gates everything else. They do not replace it.</w:t>
      </w:r>
    </w:p>
    <w:p w14:paraId="7800AD37" w14:textId="77777777" w:rsidR="00464B9D" w:rsidRDefault="00000000">
      <w:pPr>
        <w:pStyle w:val="Heading2"/>
        <w:spacing w:before="240" w:after="120"/>
      </w:pPr>
      <w:r>
        <w:rPr>
          <w:rFonts w:ascii="Calibri" w:eastAsia="Calibri" w:hAnsi="Calibri" w:cs="Calibri"/>
          <w:b/>
          <w:bCs/>
          <w:color w:val="2E5395"/>
          <w:sz w:val="25"/>
          <w:szCs w:val="25"/>
        </w:rPr>
        <w:t>2. Verification</w:t>
      </w:r>
    </w:p>
    <w:p w14:paraId="4D021A2E" w14:textId="4893276C" w:rsidR="00464B9D" w:rsidRDefault="00000000">
      <w:pPr>
        <w:spacing w:after="160" w:line="276" w:lineRule="auto"/>
      </w:pPr>
      <w:r>
        <w:rPr>
          <w:rFonts w:ascii="Calibri" w:eastAsia="Calibri" w:hAnsi="Calibri" w:cs="Calibri"/>
          <w:sz w:val="22"/>
          <w:szCs w:val="22"/>
        </w:rPr>
        <w:t>Run the pipeline backwards. A researcher submits a draft and the system checks every claim against the corpus: supported, contradicted, superseded, or uncited but citable. WRI review is not gentle. Four internal and four external reviewers examine anything that will carry the logo, and the days before that gate are claim-hardening days. Cite-check is built to prepare for that pass, and we own its hard parts already: cite mode, page-anchored offsets, a reranker with a golden set behind it. The wider world is converging on the same need, so the timing is right. PRISMA 2020 requires review authors to disclose automation. Scite has classified more than a billion citation statements. Courts sanctioned fabricated AI citations in hundreds of cases in 2025.</w:t>
      </w:r>
    </w:p>
    <w:p w14:paraId="64B332A5" w14:textId="77777777" w:rsidR="00464B9D" w:rsidRDefault="00000000">
      <w:pPr>
        <w:pStyle w:val="Heading2"/>
        <w:spacing w:before="240" w:after="120"/>
      </w:pPr>
      <w:r>
        <w:rPr>
          <w:rFonts w:ascii="Calibri" w:eastAsia="Calibri" w:hAnsi="Calibri" w:cs="Calibri"/>
          <w:b/>
          <w:bCs/>
          <w:color w:val="2E5395"/>
          <w:sz w:val="25"/>
          <w:szCs w:val="25"/>
        </w:rPr>
        <w:t>3. The living record, and What WRI Says</w:t>
      </w:r>
    </w:p>
    <w:p w14:paraId="49AADF46" w14:textId="77777777" w:rsidR="00464B9D" w:rsidRDefault="00000000">
      <w:pPr>
        <w:spacing w:after="160" w:line="276" w:lineRule="auto"/>
      </w:pPr>
      <w:r>
        <w:rPr>
          <w:rFonts w:ascii="Calibri" w:eastAsia="Calibri" w:hAnsi="Calibri" w:cs="Calibri"/>
          <w:sz w:val="22"/>
          <w:szCs w:val="22"/>
        </w:rPr>
        <w:t>Answers that outlive the session. Permalinks: every answer versioned, dated, citable, auditable. Standing briefs: WRI's evidence on a question, current as of today, regenerated when the corpus changes and approved by program staff before a partner sees it. Dossiers that diff: open one after a month away and see what the corpus and the organization learned.</w:t>
      </w:r>
    </w:p>
    <w:p w14:paraId="3B445985" w14:textId="77777777" w:rsidR="00464B9D" w:rsidRDefault="000E4033">
      <w:pPr>
        <w:spacing w:after="160" w:line="276" w:lineRule="auto"/>
      </w:pPr>
      <w:r>
        <w:rPr>
          <w:rFonts w:ascii="Calibri" w:eastAsia="Calibri" w:hAnsi="Calibri" w:cs="Calibri"/>
          <w:sz w:val="22"/>
          <w:szCs w:val="22"/>
        </w:rPr>
        <w:t xml:space="preserve">A flagship of the living record is What WRI Says: Answer mode restricted to the institution's current position. It draws only on publications the claim layer marks current, flags internal disagreement instead of averaging it away, and names the experts behind the work. Policymakers get the definitive state of WRI thinking. Communications staff get the answer the institution meant to give, on deadline. And it is the natural candidate for the eventual public edition, because it is the mode built to be quoted. The first wrong answer is inevitable, and standing behind an answer means being able to take it back: a versioned answer can be </w:t>
        <w:lastRenderedPageBreak/>
        <w:t>corrected, and the correction reaches everyone holding the link. General assistants keep no records or formal retrieval log, so this is ground they cannot follow us onto.</w:t>
      </w:r>
    </w:p>
    <w:p w14:paraId="482B1C08" w14:textId="77777777" w:rsidR="00464B9D" w:rsidRDefault="00000000">
      <w:pPr>
        <w:pStyle w:val="Heading2"/>
        <w:spacing w:before="240" w:after="120"/>
      </w:pPr>
      <w:r>
        <w:rPr>
          <w:rFonts w:ascii="Calibri" w:eastAsia="Calibri" w:hAnsi="Calibri" w:cs="Calibri"/>
          <w:b/>
          <w:bCs/>
          <w:color w:val="2E5395"/>
          <w:sz w:val="25"/>
          <w:szCs w:val="25"/>
        </w:rPr>
        <w:t>4. Claims and methods</w:t>
      </w:r>
    </w:p>
    <w:p w14:paraId="38DF3B25" w14:textId="77777777" w:rsidR="00464B9D" w:rsidRDefault="00000000">
      <w:pPr>
        <w:spacing w:after="160" w:line="276" w:lineRule="auto"/>
      </w:pPr>
      <w:r>
        <w:rPr>
          <w:rFonts w:ascii="Calibri" w:eastAsia="Calibri" w:hAnsi="Calibri" w:cs="Calibri"/>
          <w:sz w:val="22"/>
          <w:szCs w:val="22"/>
        </w:rPr>
        <w:t>Today the unit of retrieval is a chunk of text. It should be a claim that knows its source, page, and date, whether newer work supersedes it, and whether other WRI publications agree. On top of claims sit evidence profiles: “one 2019 case study in Mexico” and “twelve reports across three regions” should read differently in an answer, and today they read the same.</w:t>
      </w:r>
    </w:p>
    <w:p w14:paraId="66ECC4EB" w14:textId="77777777" w:rsidR="00464B9D" w:rsidRDefault="00000000">
      <w:pPr>
        <w:spacing w:after="160" w:line="276" w:lineRule="auto"/>
      </w:pPr>
      <w:r>
        <w:rPr>
          <w:rFonts w:ascii="Calibri" w:eastAsia="Calibri" w:hAnsi="Calibri" w:cs="Calibri"/>
          <w:sz w:val="22"/>
          <w:szCs w:val="22"/>
        </w:rPr>
        <w:t>Methods deserve the same treatment. The GHG Protocol runs on a standards board and a written revision procedure. Aqueduct 4.0's technical note names what it supersedes in 3.0. The corpus should answer the question every new analyst asks and every departing one takes along: how does WRI measure this, and how has that changed? A methods index makes the answer retrievable. Drift detection makes it governable, flagging when two reports measure the same indicator differently, so silent drift becomes a reviewable decision. When the world changes and a method must change with it, the index shows every publication the change touches. That is how an institution adapts its methodology on purpose.</w:t>
      </w:r>
    </w:p>
    <w:p w14:paraId="244B5A58" w14:textId="77777777" w:rsidR="00B210B6" w:rsidRDefault="00000000">
      <w:pPr>
        <w:pStyle w:val="Heading2"/>
        <w:spacing w:before="240" w:after="120"/>
      </w:pPr>
      <w:r>
        <w:rPr>
          <w:rFonts w:ascii="Calibri" w:eastAsia="Calibri" w:hAnsi="Calibri" w:cs="Calibri"/>
          <w:b/>
          <w:bCs/>
          <w:color w:val="2E5395"/>
          <w:sz w:val="25"/>
          <w:szCs w:val="25"/>
        </w:rPr>
        <w:t>5. The judgment loop</w:t>
      </w:r>
    </w:p>
    <w:p w14:paraId="79D595D1" w14:textId="08FE5A4A" w:rsidR="00B210B6" w:rsidRDefault="00000000">
      <w:pPr>
        <w:spacing w:after="160" w:line="276" w:lineRule="auto"/>
      </w:pPr>
      <w:r>
        <w:rPr>
          <w:rFonts w:ascii="Calibri" w:eastAsia="Calibri" w:hAnsi="Calibri" w:cs="Calibri"/>
          <w:sz w:val="22"/>
          <w:szCs w:val="22"/>
        </w:rPr>
        <w:t xml:space="preserve">Every other AI tool learns from anonymous thumbs at internet scale, and what that teaches is plausibility. AskWRI can learn from named experts with standing over the very work being retrieved. A researcher overrides a cite-check verdict. An author corrects a claim at ingest. An editor rejects a brief's diff. A Comms officer marks the answer that matched the institution's position and the one that missed. Each act is a labeled judgment about what correct looks like on WRI's corpus, made by someone qualified to say so. No one else can collect this data, because no one else employs the people whose work it is.</w:t>
      </w:r>
    </w:p>
    <w:p w14:paraId="11E16771" w14:textId="66380604" w:rsidR="00B210B6" w:rsidRDefault="00000000">
      <w:pPr>
        <w:spacing w:after="160" w:line="276" w:lineRule="auto"/>
      </w:pPr>
      <w:r>
        <w:rPr>
          <w:rFonts w:ascii="Calibri" w:eastAsia="Calibri" w:hAnsi="Calibri" w:cs="Calibri"/>
          <w:sz w:val="22"/>
          <w:szCs w:val="22"/>
        </w:rPr>
        <w:t xml:space="preserve">The loop is already in the AskWRI schema; we’re just currently using it for testing and product feedback. Today a human-applied tag outranks a machine-applied one, always. The judgment loop generalizes that rule to the whole pipeline: expert signals accumulate into preference data that tunes retrieval thresholds, reranker choices, refusal calibration, and answer style, with Research Integrity deciding which feedback may change which behavior. And because judgment streams in daily, evaluation stops being an event. Golden sets grow nightly rather than yearly. End-to-end benchmarks rerun whenever anything changes: a candidate vendor model, a new threshold, a fresh corpus batch. A swap that once took a quarter to validate gets validated overnight. That is what makes “swap vendors when evaluations surface better options” a routine act instead of a leap.</w:t>
      </w:r>
    </w:p>
    <w:p w14:paraId="0F4A1EEA" w14:textId="77777777" w:rsidR="00B210B6" w:rsidRDefault="00000000">
      <w:pPr>
        <w:spacing w:after="160" w:line="276" w:lineRule="auto"/>
      </w:pPr>
      <w:r>
        <w:rPr>
          <w:rFonts w:ascii="Calibri" w:eastAsia="Calibri" w:hAnsi="Calibri" w:cs="Calibri"/>
          <w:sz w:val="22"/>
          <w:szCs w:val="22"/>
        </w:rPr>
        <w:t>This compounds. Corrections make answers better. Better answers earn expert trust, and experts fix what they rely on, so corrections accelerate. Two years of that flywheel yields something no model release can wash away: a machine tuned to WRI's standard of correctness by WRI's own people.</w:t>
      </w:r>
    </w:p>
    <w:p w14:paraId="2990A7B7" w14:textId="77777777" w:rsidR="00464B9D" w:rsidRDefault="00000000">
      <w:pPr>
        <w:pStyle w:val="Heading2"/>
        <w:spacing w:before="240" w:after="120"/>
      </w:pPr>
      <w:r>
        <w:rPr>
          <w:rFonts w:ascii="Calibri" w:eastAsia="Calibri" w:hAnsi="Calibri" w:cs="Calibri"/>
          <w:b/>
          <w:bCs/>
          <w:color w:val="2E5395"/>
          <w:sz w:val="25"/>
          <w:szCs w:val="25"/>
        </w:rPr>
        <w:t>6. The loop back to people</w:t>
      </w:r>
    </w:p>
    <w:p w14:paraId="2D7ECD81" w14:textId="77777777" w:rsidR="00464B9D" w:rsidRDefault="00000000">
      <w:pPr>
        <w:spacing w:after="160" w:line="276" w:lineRule="auto"/>
      </w:pPr>
      <w:r>
        <w:rPr>
          <w:rFonts w:ascii="Calibri" w:eastAsia="Calibri" w:hAnsi="Calibri" w:cs="Calibri"/>
          <w:sz w:val="22"/>
          <w:szCs w:val="22"/>
        </w:rPr>
        <w:t xml:space="preserve">The tool's exhaust is worth as much as its answers. Failed and low-confidence queries, clustered and reported quarterly, become an input to the research agenda: a reading of what staff, partners, and eventually the public need to know that WRI has not published. At five hundred documents and a few hundred users the signal is thin, so V1 is a simple dashboard. Governance should come first: aggregate </w:t>
        <w:lastRenderedPageBreak/>
        <w:t>reporting only, short retention, no per-organization visibility. What a ministry asks is sensitive, and we treat it that way from the first query.</w:t>
      </w:r>
    </w:p>
    <w:p w14:paraId="749EA647" w14:textId="77777777" w:rsidR="00464B9D" w:rsidRDefault="00000000">
      <w:pPr>
        <w:spacing w:after="160" w:line="276" w:lineRule="auto"/>
      </w:pPr>
      <w:r>
        <w:rPr>
          <w:rFonts w:ascii="Calibri" w:eastAsia="Calibri" w:hAnsi="Calibri" w:cs="Calibri"/>
          <w:sz w:val="22"/>
          <w:szCs w:val="22"/>
        </w:rPr>
        <w:t>The same graph that answers questions also knows who answered them before. Expertise@WRI turns authorship, review history, and correction activity into a directory that surfaces the right expert on any topic: for the researcher looking for a co-author, the comms officer looking for a quotable scientist, the country office looking for the person who built the model. When the corpus is silent, the tool should still say “these three people are closest to this question.” Internal first. A public version follows only with opt-in, because being findable is a choice, not a default.</w:t>
      </w:r>
    </w:p>
    <w:p w14:paraId="055DD886" w14:textId="77777777" w:rsidR="00464B9D" w:rsidRDefault="00000000">
      <w:pPr>
        <w:pStyle w:val="Heading1"/>
        <w:spacing w:before="320" w:after="160"/>
      </w:pPr>
      <w:r>
        <w:rPr>
          <w:rFonts w:ascii="Calibri" w:eastAsia="Calibri" w:hAnsi="Calibri" w:cs="Calibri"/>
          <w:b/>
          <w:bCs/>
          <w:color w:val="1F3864"/>
          <w:sz w:val="30"/>
          <w:szCs w:val="30"/>
        </w:rPr>
        <w:t>Who gets what</w:t>
      </w:r>
    </w:p>
    <w:p w14:paraId="7C48415A" w14:textId="77777777" w:rsidR="00464B9D" w:rsidRDefault="00000000">
      <w:pPr>
        <w:spacing w:after="160" w:line="276" w:lineRule="auto"/>
      </w:pPr>
      <w:r>
        <w:rPr>
          <w:rFonts w:ascii="Calibri" w:eastAsia="Calibri" w:hAnsi="Calibri" w:cs="Calibri"/>
          <w:b/>
          <w:bCs/>
          <w:sz w:val="22"/>
          <w:szCs w:val="22"/>
        </w:rPr>
        <w:t xml:space="preserve">Researchers </w:t>
      </w:r>
      <w:r>
        <w:rPr>
          <w:rFonts w:ascii="Calibri" w:eastAsia="Calibri" w:hAnsi="Calibri" w:cs="Calibri"/>
          <w:sz w:val="22"/>
          <w:szCs w:val="22"/>
        </w:rPr>
        <w:t>get the middle and the end of their projects augmented: dossiers for screening and extraction, live citations while drafting, cite-check before review, and a search trail a methods section can cite.</w:t>
      </w:r>
    </w:p>
    <w:p w14:paraId="7B000E21" w14:textId="77777777" w:rsidR="00464B9D" w:rsidRDefault="00000000">
      <w:pPr>
        <w:spacing w:after="160" w:line="276" w:lineRule="auto"/>
      </w:pPr>
      <w:r>
        <w:rPr>
          <w:rFonts w:ascii="Calibri" w:eastAsia="Calibri" w:hAnsi="Calibri" w:cs="Calibri"/>
          <w:b/>
          <w:bCs/>
          <w:sz w:val="22"/>
          <w:szCs w:val="22"/>
        </w:rPr>
        <w:t xml:space="preserve">Programs and editors </w:t>
      </w:r>
      <w:r>
        <w:rPr>
          <w:rFonts w:ascii="Calibri" w:eastAsia="Calibri" w:hAnsi="Calibri" w:cs="Calibri"/>
          <w:sz w:val="22"/>
          <w:szCs w:val="22"/>
        </w:rPr>
        <w:t>get collections as workspaces: curate a slice of the corpus, approve its briefs, pin vetted answers. Author verification happens once, at ingest. This is a bet; authors may not show up. We test it with one program in the first six months, and if participation is thin, verification folds into the publication checklist and our ambitions shrink to match.</w:t>
      </w:r>
    </w:p>
    <w:p w14:paraId="4C2B1288" w14:textId="77777777" w:rsidR="00464B9D" w:rsidRDefault="00000000">
      <w:pPr>
        <w:spacing w:after="160" w:line="276" w:lineRule="auto"/>
      </w:pPr>
      <w:r>
        <w:rPr>
          <w:rFonts w:ascii="Calibri" w:eastAsia="Calibri" w:hAnsi="Calibri" w:cs="Calibri"/>
          <w:b/>
          <w:bCs/>
          <w:sz w:val="22"/>
          <w:szCs w:val="22"/>
        </w:rPr>
        <w:t xml:space="preserve">Communications </w:t>
      </w:r>
      <w:r>
        <w:rPr>
          <w:rFonts w:ascii="Calibri" w:eastAsia="Calibri" w:hAnsi="Calibri" w:cs="Calibri"/>
          <w:sz w:val="22"/>
          <w:szCs w:val="22"/>
        </w:rPr>
        <w:t>gets What WRI Says: the current institutional position with its provenance, its caveats, and its experts, fast enough for a reporter's deadline. Comms fields the questions the public actually asks, which also makes them the question loop's richest internal source.</w:t>
      </w:r>
    </w:p>
    <w:p w14:paraId="2B72BFB4" w14:textId="77777777" w:rsidR="00464B9D" w:rsidRDefault="00000000">
      <w:pPr>
        <w:spacing w:after="160" w:line="276" w:lineRule="auto"/>
      </w:pPr>
      <w:r>
        <w:rPr>
          <w:rFonts w:ascii="Calibri" w:eastAsia="Calibri" w:hAnsi="Calibri" w:cs="Calibri"/>
          <w:b/>
          <w:bCs/>
          <w:sz w:val="22"/>
          <w:szCs w:val="22"/>
        </w:rPr>
        <w:t xml:space="preserve">Policymakers and partners </w:t>
      </w:r>
      <w:r>
        <w:rPr>
          <w:rFonts w:ascii="Calibri" w:eastAsia="Calibri" w:hAnsi="Calibri" w:cs="Calibri"/>
          <w:sz w:val="22"/>
          <w:szCs w:val="22"/>
        </w:rPr>
        <w:t>get current evidence in citable form, fitted to their genres, the two-page briefing note and the overnight negotiation brief, plus a straight answer about what WRI does not know, and a path to the expert behind the number.</w:t>
      </w:r>
    </w:p>
    <w:p w14:paraId="6C311D20" w14:textId="462D41E9" w:rsidR="00464B9D" w:rsidRDefault="00000000">
      <w:pPr>
        <w:spacing w:after="160" w:line="276" w:lineRule="auto"/>
      </w:pPr>
      <w:r>
        <w:rPr>
          <w:rFonts w:ascii="Calibri" w:eastAsia="Calibri" w:hAnsi="Calibri" w:cs="Calibri"/>
          <w:b/>
          <w:bCs/>
          <w:sz w:val="22"/>
          <w:szCs w:val="22"/>
        </w:rPr>
        <w:t xml:space="preserve">Research Integrity </w:t>
      </w:r>
      <w:r>
        <w:rPr>
          <w:rFonts w:ascii="Calibri" w:eastAsia="Calibri" w:hAnsi="Calibri" w:cs="Calibri"/>
          <w:sz w:val="22"/>
          <w:szCs w:val="22"/>
        </w:rPr>
        <w:t xml:space="preserve">gets a system it can certify rather than an output stream it can’t read. WRI already runs this model for publications: only what passes review carries the logo. The certified tier extends the rule to answers as well as early drafts. Research Integrity sets corpus inclusion criteria, evaluation thresholds, refusal behavior, provenance display, and correction turnaround, then audits the harness that enforces them. Above the certified bar, users get synthesis; below it, sources and passages. The limited public edition is whatever clears the bar.</w:t>
      </w:r>
    </w:p>
    <w:p w14:paraId="3337526E" w14:textId="77777777" w:rsidR="00464B9D" w:rsidRDefault="00000000">
      <w:pPr>
        <w:pStyle w:val="Heading1"/>
        <w:spacing w:before="320" w:after="160"/>
      </w:pPr>
      <w:r>
        <w:rPr>
          <w:rFonts w:ascii="Calibri" w:eastAsia="Calibri" w:hAnsi="Calibri" w:cs="Calibri"/>
          <w:b/>
          <w:bCs/>
          <w:color w:val="1F3864"/>
          <w:sz w:val="30"/>
          <w:szCs w:val="30"/>
        </w:rPr>
        <w:t>The timeline</w:t>
      </w:r>
    </w:p>
    <w:p w14:paraId="6C621EE6" w14:textId="77777777" w:rsidR="00464B9D" w:rsidRDefault="00000000">
      <w:pPr>
        <w:pStyle w:val="Heading2"/>
        <w:spacing w:before="240" w:after="120"/>
      </w:pPr>
      <w:r>
        <w:rPr>
          <w:rFonts w:ascii="Calibri" w:eastAsia="Calibri" w:hAnsi="Calibri" w:cs="Calibri"/>
          <w:b/>
          <w:bCs/>
          <w:color w:val="2E5395"/>
          <w:sz w:val="25"/>
          <w:szCs w:val="25"/>
        </w:rPr>
        <w:t>The line from today</w:t>
      </w:r>
    </w:p>
    <w:p w14:paraId="0B484EB3" w14:textId="77777777" w:rsidR="00464B9D" w:rsidRDefault="00000000">
      <w:pPr>
        <w:spacing w:after="160" w:line="276" w:lineRule="auto"/>
      </w:pPr>
      <w:r>
        <w:rPr>
          <w:rFonts w:ascii="Calibri" w:eastAsia="Calibri" w:hAnsi="Calibri" w:cs="Calibri"/>
          <w:sz w:val="22"/>
          <w:szCs w:val="22"/>
        </w:rPr>
        <w:t>The near-term trajectory is already drawn. Today: two modes, Cite and Answer, 170 English documents, a handful of concurrent users. By late 2026: self-serve document management, query expansion and suggestions, multilingual retrieval, the first 30 to 50 non-English documents, about fifteen concurrent users, subsecond Cite latency. Through 2027: programs beyond Cities come aboard, then all of WRI; the corpus grows to 300 to 500 documents in any language; queries and the interface work in Spanish, Chinese, and Portuguese; and by year end the first external users arrive. An application plan for an external-facing AskWRI is due around March 2027.</w:t>
      </w:r>
    </w:p>
    <w:p w14:paraId="6FFFE724" w14:textId="77777777" w:rsidR="00464B9D" w:rsidRDefault="00000000">
      <w:pPr>
        <w:spacing w:after="160" w:line="276" w:lineRule="auto"/>
      </w:pPr>
      <w:r>
        <w:rPr>
          <w:rFonts w:ascii="Calibri" w:eastAsia="Calibri" w:hAnsi="Calibri" w:cs="Calibri"/>
          <w:sz w:val="22"/>
          <w:szCs w:val="22"/>
        </w:rPr>
        <w:lastRenderedPageBreak/>
        <w:t>The horizons below ride on that substrate and pace themselves to it. H1 ends where the app plan begins: its cost model and verification results are the plan's inputs. H2's partner workspaces are built to receive the first external users at the end of 2027. H3's certification is what lets anything public carry WRI's name. Each horizon widens the audience one ring: researchers, then programs and partners, then the public edge.</w:t>
      </w:r>
    </w:p>
    <w:tbl>
      <w:tblPr>
        <w:tblW w:w="1007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96"/>
        <w:gridCol w:w="2016"/>
        <w:gridCol w:w="1727"/>
        <w:gridCol w:w="5040"/>
      </w:tblGrid>
      <w:tr w:rsidR="00464B9D" w14:paraId="3C90F125" w14:textId="77777777">
        <w:tc>
          <w:tcPr>
            <w:tcW w:w="1296" w:type="dxa"/>
            <w:shd w:val="clear" w:color="auto" w:fill="1F3864"/>
            <w:tcMar>
              <w:top w:w="80" w:type="dxa"/>
              <w:left w:w="120" w:type="dxa"/>
              <w:bottom w:w="80" w:type="dxa"/>
              <w:right w:w="120" w:type="dxa"/>
            </w:tcMar>
          </w:tcPr>
          <w:p w14:paraId="4753402C" w14:textId="77777777" w:rsidR="00464B9D" w:rsidRDefault="00000000">
            <w:pPr>
              <w:spacing w:line="260" w:lineRule="auto"/>
            </w:pPr>
            <w:r>
              <w:rPr>
                <w:rFonts w:ascii="Calibri" w:eastAsia="Calibri" w:hAnsi="Calibri" w:cs="Calibri"/>
                <w:b/>
                <w:bCs/>
                <w:color w:val="FFFFFF"/>
              </w:rPr>
              <w:t>Horizon</w:t>
            </w:r>
          </w:p>
        </w:tc>
        <w:tc>
          <w:tcPr>
            <w:tcW w:w="2016" w:type="dxa"/>
            <w:shd w:val="clear" w:color="auto" w:fill="1F3864"/>
            <w:tcMar>
              <w:top w:w="80" w:type="dxa"/>
              <w:left w:w="120" w:type="dxa"/>
              <w:bottom w:w="80" w:type="dxa"/>
              <w:right w:w="120" w:type="dxa"/>
            </w:tcMar>
          </w:tcPr>
          <w:p w14:paraId="5FD1A7A2" w14:textId="77777777" w:rsidR="00464B9D" w:rsidRDefault="00000000">
            <w:pPr>
              <w:spacing w:line="260" w:lineRule="auto"/>
            </w:pPr>
            <w:r>
              <w:rPr>
                <w:rFonts w:ascii="Calibri" w:eastAsia="Calibri" w:hAnsi="Calibri" w:cs="Calibri"/>
                <w:b/>
                <w:bCs/>
                <w:color w:val="FFFFFF"/>
              </w:rPr>
              <w:t>Theme</w:t>
            </w:r>
          </w:p>
        </w:tc>
        <w:tc>
          <w:tcPr>
            <w:tcW w:w="1727" w:type="dxa"/>
            <w:shd w:val="clear" w:color="auto" w:fill="1F3864"/>
            <w:tcMar>
              <w:top w:w="80" w:type="dxa"/>
              <w:left w:w="120" w:type="dxa"/>
              <w:bottom w:w="80" w:type="dxa"/>
              <w:right w:w="120" w:type="dxa"/>
            </w:tcMar>
          </w:tcPr>
          <w:p w14:paraId="0918CEEB" w14:textId="77777777" w:rsidR="00464B9D" w:rsidRDefault="00000000">
            <w:pPr>
              <w:spacing w:line="260" w:lineRule="auto"/>
            </w:pPr>
            <w:r>
              <w:rPr>
                <w:rFonts w:ascii="Calibri" w:eastAsia="Calibri" w:hAnsi="Calibri" w:cs="Calibri"/>
                <w:b/>
                <w:bCs/>
                <w:color w:val="FFFFFF"/>
              </w:rPr>
              <w:t>When</w:t>
            </w:r>
          </w:p>
        </w:tc>
        <w:tc>
          <w:tcPr>
            <w:tcW w:w="5040" w:type="dxa"/>
            <w:shd w:val="clear" w:color="auto" w:fill="1F3864"/>
            <w:tcMar>
              <w:top w:w="80" w:type="dxa"/>
              <w:left w:w="120" w:type="dxa"/>
              <w:bottom w:w="80" w:type="dxa"/>
              <w:right w:w="120" w:type="dxa"/>
            </w:tcMar>
          </w:tcPr>
          <w:p w14:paraId="17C6B16A" w14:textId="77777777" w:rsidR="00464B9D" w:rsidRDefault="00000000">
            <w:pPr>
              <w:spacing w:line="260" w:lineRule="auto"/>
            </w:pPr>
            <w:r>
              <w:rPr>
                <w:rFonts w:ascii="Calibri" w:eastAsia="Calibri" w:hAnsi="Calibri" w:cs="Calibri"/>
                <w:b/>
                <w:bCs/>
                <w:color w:val="FFFFFF"/>
              </w:rPr>
              <w:t>Major functional chunks</w:t>
            </w:r>
          </w:p>
        </w:tc>
      </w:tr>
      <w:tr w:rsidR="00464B9D" w14:paraId="0CF68D9F" w14:textId="77777777">
        <w:tc>
          <w:tcPr>
            <w:tcW w:w="1296" w:type="dxa"/>
            <w:tcMar>
              <w:top w:w="80" w:type="dxa"/>
              <w:left w:w="120" w:type="dxa"/>
              <w:bottom w:w="80" w:type="dxa"/>
              <w:right w:w="120" w:type="dxa"/>
            </w:tcMar>
          </w:tcPr>
          <w:p w14:paraId="1F7FF6C7" w14:textId="77777777" w:rsidR="00464B9D" w:rsidRDefault="00000000">
            <w:pPr>
              <w:spacing w:line="260" w:lineRule="auto"/>
            </w:pPr>
            <w:r>
              <w:rPr>
                <w:rFonts w:ascii="Calibri" w:eastAsia="Calibri" w:hAnsi="Calibri" w:cs="Calibri"/>
                <w:color w:val="000000"/>
              </w:rPr>
              <w:t>H1 — Verify</w:t>
            </w:r>
          </w:p>
        </w:tc>
        <w:tc>
          <w:tcPr>
            <w:tcW w:w="2016" w:type="dxa"/>
            <w:tcMar>
              <w:top w:w="80" w:type="dxa"/>
              <w:left w:w="120" w:type="dxa"/>
              <w:bottom w:w="80" w:type="dxa"/>
              <w:right w:w="120" w:type="dxa"/>
            </w:tcMar>
          </w:tcPr>
          <w:p w14:paraId="0B2AFE12" w14:textId="77777777" w:rsidR="00464B9D" w:rsidRDefault="00000000">
            <w:pPr>
              <w:spacing w:line="260" w:lineRule="auto"/>
            </w:pPr>
            <w:r>
              <w:rPr>
                <w:rFonts w:ascii="Calibri" w:eastAsia="Calibri" w:hAnsi="Calibri" w:cs="Calibri"/>
                <w:color w:val="000000"/>
              </w:rPr>
              <w:t>Prove the verification lane</w:t>
            </w:r>
          </w:p>
        </w:tc>
        <w:tc>
          <w:tcPr>
            <w:tcW w:w="1727" w:type="dxa"/>
            <w:tcMar>
              <w:top w:w="80" w:type="dxa"/>
              <w:left w:w="120" w:type="dxa"/>
              <w:bottom w:w="80" w:type="dxa"/>
              <w:right w:w="120" w:type="dxa"/>
            </w:tcMar>
          </w:tcPr>
          <w:p w14:paraId="0B61C0D9" w14:textId="77777777" w:rsidR="00464B9D" w:rsidRDefault="00000000">
            <w:pPr>
              <w:spacing w:line="260" w:lineRule="auto"/>
            </w:pPr>
            <w:r>
              <w:rPr>
                <w:rFonts w:ascii="Calibri" w:eastAsia="Calibri" w:hAnsi="Calibri" w:cs="Calibri"/>
                <w:color w:val="000000"/>
              </w:rPr>
              <w:t>Oct 2026 – Mar 2027</w:t>
            </w:r>
          </w:p>
        </w:tc>
        <w:tc>
          <w:tcPr>
            <w:tcW w:w="5040" w:type="dxa"/>
            <w:tcMar>
              <w:top w:w="80" w:type="dxa"/>
              <w:left w:w="120" w:type="dxa"/>
              <w:bottom w:w="80" w:type="dxa"/>
              <w:right w:w="120" w:type="dxa"/>
            </w:tcMar>
          </w:tcPr>
          <w:p w14:paraId="4030032C" w14:textId="77777777" w:rsidR="00464B9D" w:rsidRDefault="00000000">
            <w:pPr>
              <w:spacing w:line="260" w:lineRule="auto"/>
            </w:pPr>
            <w:r>
              <w:rPr>
                <w:rFonts w:ascii="Calibri" w:eastAsia="Calibri" w:hAnsi="Calibri" w:cs="Calibri"/>
                <w:color w:val="000000"/>
              </w:rPr>
              <w:t>Cite-check internal beta inside one program's review process, covering supported and uncited claims; superseded and contradicted verdicts arrive with the claim layer in H2 · answer permalinks and versioning · question telemetry v1 and the first quarterly gaps memo · author verification at ingest, one-program pilot · judgment-loop capture and always-on evals designed in from the start · cost model per query and per brief, feeding the March 2027 external app plan</w:t>
            </w:r>
          </w:p>
        </w:tc>
      </w:tr>
      <w:tr w:rsidR="00464B9D" w14:paraId="160E4E5C" w14:textId="77777777">
        <w:tc>
          <w:tcPr>
            <w:tcW w:w="1296" w:type="dxa"/>
            <w:tcMar>
              <w:top w:w="80" w:type="dxa"/>
              <w:left w:w="120" w:type="dxa"/>
              <w:bottom w:w="80" w:type="dxa"/>
              <w:right w:w="120" w:type="dxa"/>
            </w:tcMar>
          </w:tcPr>
          <w:p w14:paraId="69A3D00C" w14:textId="77777777" w:rsidR="00464B9D" w:rsidRDefault="00000000">
            <w:pPr>
              <w:spacing w:line="260" w:lineRule="auto"/>
            </w:pPr>
            <w:r>
              <w:rPr>
                <w:rFonts w:ascii="Calibri" w:eastAsia="Calibri" w:hAnsi="Calibri" w:cs="Calibri"/>
                <w:color w:val="000000"/>
              </w:rPr>
              <w:t>H2 — Live</w:t>
            </w:r>
          </w:p>
        </w:tc>
        <w:tc>
          <w:tcPr>
            <w:tcW w:w="2016" w:type="dxa"/>
            <w:tcMar>
              <w:top w:w="80" w:type="dxa"/>
              <w:left w:w="120" w:type="dxa"/>
              <w:bottom w:w="80" w:type="dxa"/>
              <w:right w:w="120" w:type="dxa"/>
            </w:tcMar>
          </w:tcPr>
          <w:p w14:paraId="4C713A8B" w14:textId="77777777" w:rsidR="00464B9D" w:rsidRDefault="00000000">
            <w:pPr>
              <w:spacing w:line="260" w:lineRule="auto"/>
            </w:pPr>
            <w:r>
              <w:rPr>
                <w:rFonts w:ascii="Calibri" w:eastAsia="Calibri" w:hAnsi="Calibri" w:cs="Calibri"/>
                <w:color w:val="000000"/>
              </w:rPr>
              <w:t>The middle of the arc; first external surfaces</w:t>
            </w:r>
          </w:p>
        </w:tc>
        <w:tc>
          <w:tcPr>
            <w:tcW w:w="1727" w:type="dxa"/>
            <w:tcMar>
              <w:top w:w="80" w:type="dxa"/>
              <w:left w:w="120" w:type="dxa"/>
              <w:bottom w:w="80" w:type="dxa"/>
              <w:right w:w="120" w:type="dxa"/>
            </w:tcMar>
          </w:tcPr>
          <w:p w14:paraId="2EDFCCB3" w14:textId="77777777" w:rsidR="00464B9D" w:rsidRDefault="00000000">
            <w:pPr>
              <w:spacing w:line="260" w:lineRule="auto"/>
            </w:pPr>
            <w:r>
              <w:rPr>
                <w:rFonts w:ascii="Calibri" w:eastAsia="Calibri" w:hAnsi="Calibri" w:cs="Calibri"/>
                <w:color w:val="000000"/>
              </w:rPr>
              <w:t>Apr – Sep 2027</w:t>
            </w:r>
          </w:p>
        </w:tc>
        <w:tc>
          <w:tcPr>
            <w:tcW w:w="5040" w:type="dxa"/>
            <w:tcMar>
              <w:top w:w="80" w:type="dxa"/>
              <w:left w:w="120" w:type="dxa"/>
              <w:bottom w:w="80" w:type="dxa"/>
              <w:right w:w="120" w:type="dxa"/>
            </w:tcMar>
          </w:tcPr>
          <w:p w14:paraId="5ABCBF93" w14:textId="77777777" w:rsidR="00464B9D" w:rsidRDefault="00000000">
            <w:pPr>
              <w:spacing w:line="260" w:lineRule="auto"/>
            </w:pPr>
            <w:r>
              <w:rPr>
                <w:rFonts w:ascii="Calibri" w:eastAsia="Calibri" w:hAnsi="Calibri" w:cs="Calibri"/>
                <w:color w:val="000000"/>
              </w:rPr>
              <w:t>Dossiers v1: saved question, screened set, correctable grid, with diffing · standing briefs with program approval · What WRI Says internal beta for Comms and policy staff · first country evidence pack in a partner pilot · partner workspaces with scoped collections, ready for external users by year end · Expertise@WRI internal v1 · claim layer v1: supersession and disagreement, upgrading cite-check to its full verdicts · retrieval API so other tools cite WRI accurately</w:t>
            </w:r>
          </w:p>
        </w:tc>
      </w:tr>
      <w:tr w:rsidR="00464B9D" w14:paraId="10C2D2A5" w14:textId="77777777">
        <w:tc>
          <w:tcPr>
            <w:tcW w:w="1296" w:type="dxa"/>
            <w:tcMar>
              <w:top w:w="80" w:type="dxa"/>
              <w:left w:w="120" w:type="dxa"/>
              <w:bottom w:w="80" w:type="dxa"/>
              <w:right w:w="120" w:type="dxa"/>
            </w:tcMar>
          </w:tcPr>
          <w:p w14:paraId="3DE0DEBD" w14:textId="77777777" w:rsidR="00464B9D" w:rsidRDefault="00000000">
            <w:pPr>
              <w:spacing w:line="260" w:lineRule="auto"/>
            </w:pPr>
            <w:r>
              <w:rPr>
                <w:rFonts w:ascii="Calibri" w:eastAsia="Calibri" w:hAnsi="Calibri" w:cs="Calibri"/>
                <w:color w:val="000000"/>
              </w:rPr>
              <w:t>H3 — Certify</w:t>
            </w:r>
          </w:p>
        </w:tc>
        <w:tc>
          <w:tcPr>
            <w:tcW w:w="2016" w:type="dxa"/>
            <w:tcMar>
              <w:top w:w="80" w:type="dxa"/>
              <w:left w:w="120" w:type="dxa"/>
              <w:bottom w:w="80" w:type="dxa"/>
              <w:right w:w="120" w:type="dxa"/>
            </w:tcMar>
          </w:tcPr>
          <w:p w14:paraId="76CDBECA" w14:textId="77777777" w:rsidR="00464B9D" w:rsidRDefault="00000000">
            <w:pPr>
              <w:spacing w:line="260" w:lineRule="auto"/>
            </w:pPr>
            <w:r>
              <w:rPr>
                <w:rFonts w:ascii="Calibri" w:eastAsia="Calibri" w:hAnsi="Calibri" w:cs="Calibri"/>
                <w:color w:val="000000"/>
              </w:rPr>
              <w:t>Certified public edition; methods and evidence depth</w:t>
            </w:r>
          </w:p>
        </w:tc>
        <w:tc>
          <w:tcPr>
            <w:tcW w:w="1727" w:type="dxa"/>
            <w:tcMar>
              <w:top w:w="80" w:type="dxa"/>
              <w:left w:w="120" w:type="dxa"/>
              <w:bottom w:w="80" w:type="dxa"/>
              <w:right w:w="120" w:type="dxa"/>
            </w:tcMar>
          </w:tcPr>
          <w:p w14:paraId="4E1D4C2F" w14:textId="77777777" w:rsidR="00464B9D" w:rsidRDefault="00000000">
            <w:pPr>
              <w:spacing w:line="260" w:lineRule="auto"/>
            </w:pPr>
            <w:r>
              <w:rPr>
                <w:rFonts w:ascii="Calibri" w:eastAsia="Calibri" w:hAnsi="Calibri" w:cs="Calibri"/>
                <w:color w:val="000000"/>
              </w:rPr>
              <w:t>Oct 2027 – Jun 2028</w:t>
            </w:r>
          </w:p>
        </w:tc>
        <w:tc>
          <w:tcPr>
            <w:tcW w:w="5040" w:type="dxa"/>
            <w:tcMar>
              <w:top w:w="80" w:type="dxa"/>
              <w:left w:w="120" w:type="dxa"/>
              <w:bottom w:w="80" w:type="dxa"/>
              <w:right w:w="120" w:type="dxa"/>
            </w:tcMar>
          </w:tcPr>
          <w:p w14:paraId="55008A34" w14:textId="77777777" w:rsidR="00464B9D" w:rsidRDefault="00000000">
            <w:pPr>
              <w:spacing w:line="260" w:lineRule="auto"/>
            </w:pPr>
            <w:r>
              <w:rPr>
                <w:rFonts w:ascii="Calibri" w:eastAsia="Calibri" w:hAnsi="Calibri" w:cs="Calibri"/>
                <w:color w:val="000000"/>
              </w:rPr>
              <w:t>Research Integrity certification of the pipeline · limited public edition, What WRI Says first, defined by the certified tier · methods index and drift detection · evidence profiles on claims · Expertise@WRI public, opt-in · numeric questions routed to Climate Watch, Global Forest Watch, and Aqueduct instead of parsed PDF tables · search-trail export for methods sections</w:t>
            </w:r>
          </w:p>
        </w:tc>
      </w:tr>
    </w:tbl>
    <w:p w14:paraId="1D17D10C" w14:textId="77777777" w:rsidR="00464B9D" w:rsidRDefault="00000000">
      <w:pPr>
        <w:spacing w:before="240" w:after="120"/>
      </w:pPr>
      <w:r>
        <w:rPr>
          <w:rFonts w:ascii="Calibri" w:eastAsia="Calibri" w:hAnsi="Calibri" w:cs="Calibri"/>
          <w:b/>
          <w:bCs/>
          <w:color w:val="2E5395"/>
          <w:sz w:val="25"/>
          <w:szCs w:val="25"/>
        </w:rPr>
        <w:t>What this quarter's work becomes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40"/>
        <w:gridCol w:w="5040"/>
      </w:tblGrid>
      <w:tr w:rsidR="00464B9D" w14:paraId="08138E0A" w14:textId="77777777">
        <w:tc>
          <w:tcPr>
            <w:tcW w:w="5040" w:type="dxa"/>
            <w:shd w:val="clear" w:color="auto" w:fill="1F3864"/>
            <w:tcMar>
              <w:top w:w="80" w:type="dxa"/>
              <w:left w:w="120" w:type="dxa"/>
              <w:bottom w:w="80" w:type="dxa"/>
              <w:right w:w="120" w:type="dxa"/>
            </w:tcMar>
          </w:tcPr>
          <w:p w14:paraId="35BB6950" w14:textId="77777777" w:rsidR="00464B9D" w:rsidRDefault="00000000">
            <w:pPr>
              <w:spacing w:line="260" w:lineRule="auto"/>
            </w:pPr>
            <w:r>
              <w:rPr>
                <w:rFonts w:ascii="Calibri" w:eastAsia="Calibri" w:hAnsi="Calibri" w:cs="Calibri"/>
                <w:b/>
                <w:bCs/>
                <w:color w:val="FFFFFF"/>
              </w:rPr>
              <w:t>Near-term work (Jul–Sep 2026 roadmap)</w:t>
            </w:r>
          </w:p>
        </w:tc>
        <w:tc>
          <w:tcPr>
            <w:tcW w:w="5040" w:type="dxa"/>
            <w:shd w:val="clear" w:color="auto" w:fill="1F3864"/>
            <w:tcMar>
              <w:top w:w="80" w:type="dxa"/>
              <w:left w:w="120" w:type="dxa"/>
              <w:bottom w:w="80" w:type="dxa"/>
              <w:right w:w="120" w:type="dxa"/>
            </w:tcMar>
          </w:tcPr>
          <w:p w14:paraId="71C4057D" w14:textId="77777777" w:rsidR="00464B9D" w:rsidRDefault="00000000">
            <w:pPr>
              <w:spacing w:line="260" w:lineRule="auto"/>
            </w:pPr>
            <w:r>
              <w:rPr>
                <w:rFonts w:ascii="Calibri" w:eastAsia="Calibri" w:hAnsi="Calibri" w:cs="Calibri"/>
                <w:b/>
                <w:bCs/>
                <w:color w:val="FFFFFF"/>
              </w:rPr>
              <w:t>What it becomes</w:t>
            </w:r>
          </w:p>
        </w:tc>
      </w:tr>
      <w:tr w:rsidR="00464B9D" w14:paraId="447A9685" w14:textId="77777777">
        <w:tc>
          <w:tcPr>
            <w:tcW w:w="5040" w:type="dxa"/>
            <w:tcMar>
              <w:top w:w="80" w:type="dxa"/>
              <w:left w:w="120" w:type="dxa"/>
              <w:bottom w:w="80" w:type="dxa"/>
              <w:right w:w="120" w:type="dxa"/>
            </w:tcMar>
          </w:tcPr>
          <w:p w14:paraId="713CD23F" w14:textId="77777777" w:rsidR="00464B9D" w:rsidRDefault="00000000">
            <w:pPr>
              <w:spacing w:line="260" w:lineRule="auto"/>
            </w:pPr>
            <w:r>
              <w:rPr>
                <w:rFonts w:ascii="Calibri" w:eastAsia="Calibri" w:hAnsi="Calibri" w:cs="Calibri"/>
                <w:color w:val="000000"/>
              </w:rPr>
              <w:t>Cite mode and its golden set</w:t>
            </w:r>
          </w:p>
        </w:tc>
        <w:tc>
          <w:tcPr>
            <w:tcW w:w="5040" w:type="dxa"/>
            <w:tcMar>
              <w:top w:w="80" w:type="dxa"/>
              <w:left w:w="120" w:type="dxa"/>
              <w:bottom w:w="80" w:type="dxa"/>
              <w:right w:w="120" w:type="dxa"/>
            </w:tcMar>
          </w:tcPr>
          <w:p w14:paraId="455AB911" w14:textId="77777777" w:rsidR="00464B9D" w:rsidRDefault="00000000">
            <w:pPr>
              <w:spacing w:line="260" w:lineRule="auto"/>
            </w:pPr>
            <w:r>
              <w:rPr>
                <w:rFonts w:ascii="Calibri" w:eastAsia="Calibri" w:hAnsi="Calibri" w:cs="Calibri"/>
                <w:color w:val="000000"/>
              </w:rPr>
              <w:t>Cite-check for drafts (H1)</w:t>
            </w:r>
          </w:p>
        </w:tc>
      </w:tr>
      <w:tr w:rsidR="00464B9D" w14:paraId="24169684" w14:textId="77777777">
        <w:tc>
          <w:tcPr>
            <w:tcW w:w="5040" w:type="dxa"/>
            <w:tcMar>
              <w:top w:w="80" w:type="dxa"/>
              <w:left w:w="120" w:type="dxa"/>
              <w:bottom w:w="80" w:type="dxa"/>
              <w:right w:w="120" w:type="dxa"/>
            </w:tcMar>
          </w:tcPr>
          <w:p w14:paraId="2DED41E3" w14:textId="77777777" w:rsidR="00464B9D" w:rsidRDefault="00000000">
            <w:pPr>
              <w:spacing w:line="260" w:lineRule="auto"/>
            </w:pPr>
            <w:r>
              <w:rPr>
                <w:rFonts w:ascii="Calibri" w:eastAsia="Calibri" w:hAnsi="Calibri" w:cs="Calibri"/>
                <w:color w:val="000000"/>
              </w:rPr>
              <w:t>Postgres store; versioning and lifecycle</w:t>
            </w:r>
          </w:p>
        </w:tc>
        <w:tc>
          <w:tcPr>
            <w:tcW w:w="5040" w:type="dxa"/>
            <w:tcMar>
              <w:top w:w="80" w:type="dxa"/>
              <w:left w:w="120" w:type="dxa"/>
              <w:bottom w:w="80" w:type="dxa"/>
              <w:right w:w="120" w:type="dxa"/>
            </w:tcMar>
          </w:tcPr>
          <w:p w14:paraId="02056594" w14:textId="77777777" w:rsidR="00464B9D" w:rsidRDefault="00000000">
            <w:pPr>
              <w:spacing w:line="260" w:lineRule="auto"/>
            </w:pPr>
            <w:r>
              <w:rPr>
                <w:rFonts w:ascii="Calibri" w:eastAsia="Calibri" w:hAnsi="Calibri" w:cs="Calibri"/>
                <w:color w:val="000000"/>
              </w:rPr>
              <w:t>Answer permalinks (H1)</w:t>
            </w:r>
          </w:p>
        </w:tc>
      </w:tr>
      <w:tr w:rsidR="00464B9D" w14:paraId="5D68DAAA" w14:textId="77777777">
        <w:tc>
          <w:tcPr>
            <w:tcW w:w="5040" w:type="dxa"/>
            <w:tcMar>
              <w:top w:w="80" w:type="dxa"/>
              <w:left w:w="120" w:type="dxa"/>
              <w:bottom w:w="80" w:type="dxa"/>
              <w:right w:w="120" w:type="dxa"/>
            </w:tcMar>
          </w:tcPr>
          <w:p w14:paraId="1198FED4" w14:textId="77777777" w:rsidR="00464B9D" w:rsidRDefault="00000000">
            <w:pPr>
              <w:spacing w:line="260" w:lineRule="auto"/>
            </w:pPr>
            <w:r>
              <w:rPr>
                <w:rFonts w:ascii="Calibri" w:eastAsia="Calibri" w:hAnsi="Calibri" w:cs="Calibri"/>
                <w:color w:val="000000"/>
              </w:rPr>
              <w:t>Corpus transparency features</w:t>
            </w:r>
          </w:p>
        </w:tc>
        <w:tc>
          <w:tcPr>
            <w:tcW w:w="5040" w:type="dxa"/>
            <w:tcMar>
              <w:top w:w="80" w:type="dxa"/>
              <w:left w:w="120" w:type="dxa"/>
              <w:bottom w:w="80" w:type="dxa"/>
              <w:right w:w="120" w:type="dxa"/>
            </w:tcMar>
          </w:tcPr>
          <w:p w14:paraId="3574D053" w14:textId="77777777" w:rsidR="00464B9D" w:rsidRDefault="00000000">
            <w:pPr>
              <w:spacing w:line="260" w:lineRule="auto"/>
            </w:pPr>
            <w:r>
              <w:rPr>
                <w:rFonts w:ascii="Calibri" w:eastAsia="Calibri" w:hAnsi="Calibri" w:cs="Calibri"/>
                <w:color w:val="000000"/>
              </w:rPr>
              <w:t>The question loop (H1)</w:t>
            </w:r>
          </w:p>
        </w:tc>
      </w:tr>
      <w:tr w:rsidR="00464B9D" w14:paraId="4590BF63" w14:textId="77777777">
        <w:tc>
          <w:tcPr>
            <w:tcW w:w="5040" w:type="dxa"/>
            <w:tcMar>
              <w:top w:w="80" w:type="dxa"/>
              <w:left w:w="120" w:type="dxa"/>
              <w:bottom w:w="80" w:type="dxa"/>
              <w:right w:w="120" w:type="dxa"/>
            </w:tcMar>
          </w:tcPr>
          <w:p w14:paraId="1A9995C9" w14:textId="77777777" w:rsidR="00464B9D" w:rsidRDefault="00000000">
            <w:pPr>
              <w:spacing w:line="260" w:lineRule="auto"/>
            </w:pPr>
            <w:r>
              <w:rPr>
                <w:rFonts w:ascii="Calibri" w:eastAsia="Calibri" w:hAnsi="Calibri" w:cs="Calibri"/>
                <w:color w:val="000000"/>
              </w:rPr>
              <w:t>Answer mode, collections, and tagging</w:t>
            </w:r>
          </w:p>
        </w:tc>
        <w:tc>
          <w:tcPr>
            <w:tcW w:w="5040" w:type="dxa"/>
            <w:tcMar>
              <w:top w:w="80" w:type="dxa"/>
              <w:left w:w="120" w:type="dxa"/>
              <w:bottom w:w="80" w:type="dxa"/>
              <w:right w:w="120" w:type="dxa"/>
            </w:tcMar>
          </w:tcPr>
          <w:p w14:paraId="1113F453" w14:textId="77777777" w:rsidR="00464B9D" w:rsidRDefault="00000000">
            <w:pPr>
              <w:spacing w:line="260" w:lineRule="auto"/>
            </w:pPr>
            <w:r>
              <w:rPr>
                <w:rFonts w:ascii="Calibri" w:eastAsia="Calibri" w:hAnsi="Calibri" w:cs="Calibri"/>
                <w:color w:val="000000"/>
              </w:rPr>
              <w:t>Dossiers (H2)</w:t>
            </w:r>
          </w:p>
        </w:tc>
      </w:tr>
      <w:tr w:rsidR="00464B9D" w14:paraId="78DF7370" w14:textId="77777777">
        <w:tc>
          <w:tcPr>
            <w:tcW w:w="5040" w:type="dxa"/>
            <w:tcMar>
              <w:top w:w="80" w:type="dxa"/>
              <w:left w:w="120" w:type="dxa"/>
              <w:bottom w:w="80" w:type="dxa"/>
              <w:right w:w="120" w:type="dxa"/>
            </w:tcMar>
          </w:tcPr>
          <w:p w14:paraId="5D0B0B62" w14:textId="77777777" w:rsidR="00464B9D" w:rsidRDefault="00000000">
            <w:pPr>
              <w:spacing w:line="260" w:lineRule="auto"/>
            </w:pPr>
            <w:r>
              <w:rPr>
                <w:rFonts w:ascii="Calibri" w:eastAsia="Calibri" w:hAnsi="Calibri" w:cs="Calibri"/>
                <w:color w:val="000000"/>
              </w:rPr>
              <w:t>Self-serve admin and collections</w:t>
            </w:r>
          </w:p>
        </w:tc>
        <w:tc>
          <w:tcPr>
            <w:tcW w:w="5040" w:type="dxa"/>
            <w:tcMar>
              <w:top w:w="80" w:type="dxa"/>
              <w:left w:w="120" w:type="dxa"/>
              <w:bottom w:w="80" w:type="dxa"/>
              <w:right w:w="120" w:type="dxa"/>
            </w:tcMar>
          </w:tcPr>
          <w:p w14:paraId="0BC0A751" w14:textId="77777777" w:rsidR="00464B9D" w:rsidRDefault="00000000">
            <w:pPr>
              <w:spacing w:line="260" w:lineRule="auto"/>
            </w:pPr>
            <w:r>
              <w:rPr>
                <w:rFonts w:ascii="Calibri" w:eastAsia="Calibri" w:hAnsi="Calibri" w:cs="Calibri"/>
                <w:color w:val="000000"/>
              </w:rPr>
              <w:t>Partner workspaces (H2)</w:t>
            </w:r>
          </w:p>
        </w:tc>
      </w:tr>
      <w:tr w:rsidR="00464B9D" w14:paraId="38E6A5D9" w14:textId="77777777">
        <w:tc>
          <w:tcPr>
            <w:tcW w:w="5040" w:type="dxa"/>
            <w:tcMar>
              <w:top w:w="80" w:type="dxa"/>
              <w:left w:w="120" w:type="dxa"/>
              <w:bottom w:w="80" w:type="dxa"/>
              <w:right w:w="120" w:type="dxa"/>
            </w:tcMar>
          </w:tcPr>
          <w:p w14:paraId="2F5C858D" w14:textId="77777777" w:rsidR="00464B9D" w:rsidRDefault="00000000">
            <w:pPr>
              <w:spacing w:line="260" w:lineRule="auto"/>
            </w:pPr>
            <w:r>
              <w:rPr>
                <w:rFonts w:ascii="Calibri" w:eastAsia="Calibri" w:hAnsi="Calibri" w:cs="Calibri"/>
                <w:color w:val="000000"/>
              </w:rPr>
              <w:t>Supersession and variant linking (Phase 7)</w:t>
            </w:r>
          </w:p>
        </w:tc>
        <w:tc>
          <w:tcPr>
            <w:tcW w:w="5040" w:type="dxa"/>
            <w:tcMar>
              <w:top w:w="80" w:type="dxa"/>
              <w:left w:w="120" w:type="dxa"/>
              <w:bottom w:w="80" w:type="dxa"/>
              <w:right w:w="120" w:type="dxa"/>
            </w:tcMar>
          </w:tcPr>
          <w:p w14:paraId="0B7C416D" w14:textId="77777777" w:rsidR="00464B9D" w:rsidRDefault="00000000">
            <w:pPr>
              <w:spacing w:line="260" w:lineRule="auto"/>
            </w:pPr>
            <w:r>
              <w:rPr>
                <w:rFonts w:ascii="Calibri" w:eastAsia="Calibri" w:hAnsi="Calibri" w:cs="Calibri"/>
                <w:color w:val="000000"/>
              </w:rPr>
              <w:t>Claim layer and What WRI Says (H2)</w:t>
            </w:r>
          </w:p>
        </w:tc>
      </w:tr>
      <w:tr w:rsidR="00464B9D" w14:paraId="6031615C" w14:textId="77777777">
        <w:tc>
          <w:tcPr>
            <w:tcW w:w="5040" w:type="dxa"/>
            <w:tcMar>
              <w:top w:w="80" w:type="dxa"/>
              <w:left w:w="120" w:type="dxa"/>
              <w:bottom w:w="80" w:type="dxa"/>
              <w:right w:w="120" w:type="dxa"/>
            </w:tcMar>
          </w:tcPr>
          <w:p w14:paraId="037558F7" w14:textId="77777777" w:rsidR="00464B9D" w:rsidRDefault="00000000">
            <w:pPr>
              <w:spacing w:line="260" w:lineRule="auto"/>
            </w:pPr>
            <w:r>
              <w:rPr>
                <w:rFonts w:ascii="Calibri" w:eastAsia="Calibri" w:hAnsi="Calibri" w:cs="Calibri"/>
                <w:color w:val="000000"/>
              </w:rPr>
              <w:t>Author metadata and audit log</w:t>
            </w:r>
          </w:p>
        </w:tc>
        <w:tc>
          <w:tcPr>
            <w:tcW w:w="5040" w:type="dxa"/>
            <w:tcMar>
              <w:top w:w="80" w:type="dxa"/>
              <w:left w:w="120" w:type="dxa"/>
              <w:bottom w:w="80" w:type="dxa"/>
              <w:right w:w="120" w:type="dxa"/>
            </w:tcMar>
          </w:tcPr>
          <w:p w14:paraId="47E2BB1F" w14:textId="77777777" w:rsidR="00464B9D" w:rsidRDefault="00000000">
            <w:pPr>
              <w:spacing w:line="260" w:lineRule="auto"/>
            </w:pPr>
            <w:r>
              <w:rPr>
                <w:rFonts w:ascii="Calibri" w:eastAsia="Calibri" w:hAnsi="Calibri" w:cs="Calibri"/>
                <w:color w:val="000000"/>
              </w:rPr>
              <w:t>Expertise@WRI and the judgment loop (H2)</w:t>
            </w:r>
          </w:p>
        </w:tc>
      </w:tr>
      <w:tr w:rsidR="00464B9D" w14:paraId="1BE96FA4" w14:textId="77777777">
        <w:tc>
          <w:tcPr>
            <w:tcW w:w="5040" w:type="dxa"/>
            <w:tcMar>
              <w:top w:w="80" w:type="dxa"/>
              <w:left w:w="120" w:type="dxa"/>
              <w:bottom w:w="80" w:type="dxa"/>
              <w:right w:w="120" w:type="dxa"/>
            </w:tcMar>
          </w:tcPr>
          <w:p w14:paraId="6171031A" w14:textId="77777777" w:rsidR="00464B9D" w:rsidRDefault="00000000">
            <w:pPr>
              <w:spacing w:line="260" w:lineRule="auto"/>
            </w:pPr>
            <w:r>
              <w:rPr>
                <w:rFonts w:ascii="Calibri" w:eastAsia="Calibri" w:hAnsi="Calibri" w:cs="Calibri"/>
                <w:color w:val="000000"/>
              </w:rPr>
              <w:t>Higher-fidelity parsing (Phase 6)</w:t>
            </w:r>
          </w:p>
        </w:tc>
        <w:tc>
          <w:tcPr>
            <w:tcW w:w="5040" w:type="dxa"/>
            <w:tcMar>
              <w:top w:w="80" w:type="dxa"/>
              <w:left w:w="120" w:type="dxa"/>
              <w:bottom w:w="80" w:type="dxa"/>
              <w:right w:w="120" w:type="dxa"/>
            </w:tcMar>
          </w:tcPr>
          <w:p w14:paraId="4790DFE0" w14:textId="77777777" w:rsidR="00464B9D" w:rsidRDefault="00000000">
            <w:pPr>
              <w:spacing w:line="260" w:lineRule="auto"/>
            </w:pPr>
            <w:r>
              <w:rPr>
                <w:rFonts w:ascii="Calibri" w:eastAsia="Calibri" w:hAnsi="Calibri" w:cs="Calibri"/>
                <w:color w:val="000000"/>
              </w:rPr>
              <w:t>Methods index and evidence profiles (H3)</w:t>
            </w:r>
          </w:p>
        </w:tc>
      </w:tr>
      <w:tr w:rsidR="00464B9D" w14:paraId="69D64E86" w14:textId="77777777">
        <w:tc>
          <w:tcPr>
            <w:tcW w:w="5040" w:type="dxa"/>
            <w:tcMar>
              <w:top w:w="80" w:type="dxa"/>
              <w:left w:w="120" w:type="dxa"/>
              <w:bottom w:w="80" w:type="dxa"/>
              <w:right w:w="120" w:type="dxa"/>
            </w:tcMar>
          </w:tcPr>
          <w:p w14:paraId="656CA331" w14:textId="77777777" w:rsidR="00464B9D" w:rsidRDefault="00000000">
            <w:pPr>
              <w:spacing w:line="260" w:lineRule="auto"/>
            </w:pPr>
            <w:r>
              <w:rPr>
                <w:rFonts w:ascii="Calibri" w:eastAsia="Calibri" w:hAnsi="Calibri" w:cs="Calibri"/>
                <w:color w:val="000000"/>
              </w:rPr>
              <w:lastRenderedPageBreak/>
              <w:t>Evaluation harness and thresholds</w:t>
            </w:r>
          </w:p>
        </w:tc>
        <w:tc>
          <w:tcPr>
            <w:tcW w:w="5040" w:type="dxa"/>
            <w:tcMar>
              <w:top w:w="80" w:type="dxa"/>
              <w:left w:w="120" w:type="dxa"/>
              <w:bottom w:w="80" w:type="dxa"/>
              <w:right w:w="120" w:type="dxa"/>
            </w:tcMar>
          </w:tcPr>
          <w:p w14:paraId="13BD8CFC" w14:textId="77777777" w:rsidR="00464B9D" w:rsidRDefault="00000000">
            <w:pPr>
              <w:spacing w:line="260" w:lineRule="auto"/>
            </w:pPr>
            <w:r>
              <w:rPr>
                <w:rFonts w:ascii="Calibri" w:eastAsia="Calibri" w:hAnsi="Calibri" w:cs="Calibri"/>
                <w:color w:val="000000"/>
              </w:rPr>
              <w:t>Research Integrity certification and the public edition (H3)</w:t>
            </w:r>
          </w:p>
        </w:tc>
      </w:tr>
      <w:tr w:rsidR="00464B9D" w14:paraId="4848BE8D" w14:textId="77777777">
        <w:tc>
          <w:tcPr>
            <w:tcW w:w="5040" w:type="dxa"/>
            <w:tcMar>
              <w:top w:w="80" w:type="dxa"/>
              <w:left w:w="120" w:type="dxa"/>
              <w:bottom w:w="80" w:type="dxa"/>
              <w:right w:w="120" w:type="dxa"/>
            </w:tcMar>
          </w:tcPr>
          <w:p w14:paraId="5D8F669C" w14:textId="77777777" w:rsidR="00464B9D" w:rsidRDefault="00000000">
            <w:pPr>
              <w:spacing w:line="260" w:lineRule="auto"/>
            </w:pPr>
            <w:r>
              <w:rPr>
                <w:rFonts w:ascii="Calibri" w:eastAsia="Calibri" w:hAnsi="Calibri" w:cs="Calibri"/>
                <w:color w:val="000000"/>
              </w:rPr>
              <w:t>Multilingual retrieval</w:t>
            </w:r>
          </w:p>
        </w:tc>
        <w:tc>
          <w:tcPr>
            <w:tcW w:w="5040" w:type="dxa"/>
            <w:tcMar>
              <w:top w:w="80" w:type="dxa"/>
              <w:left w:w="120" w:type="dxa"/>
              <w:bottom w:w="80" w:type="dxa"/>
              <w:right w:w="120" w:type="dxa"/>
            </w:tcMar>
          </w:tcPr>
          <w:p w14:paraId="61605925" w14:textId="77777777" w:rsidR="00464B9D" w:rsidRDefault="00000000">
            <w:pPr>
              <w:spacing w:line="260" w:lineRule="auto"/>
            </w:pPr>
            <w:r>
              <w:rPr>
                <w:rFonts w:ascii="Calibri" w:eastAsia="Calibri" w:hAnsi="Calibri" w:cs="Calibri"/>
                <w:color w:val="000000"/>
              </w:rPr>
              <w:t>Localized briefs and partner packs (H2–H3)</w:t>
            </w:r>
          </w:p>
        </w:tc>
      </w:tr>
    </w:tbl>
    <w:p w14:paraId="29C30675" w14:textId="77777777" w:rsidR="00464B9D" w:rsidRDefault="00000000">
      <w:pPr>
        <w:pStyle w:val="Heading1"/>
        <w:spacing w:before="320" w:after="160"/>
      </w:pPr>
      <w:r>
        <w:rPr>
          <w:rFonts w:ascii="Calibri" w:eastAsia="Calibri" w:hAnsi="Calibri" w:cs="Calibri"/>
          <w:b/>
          <w:bCs/>
          <w:color w:val="1F3864"/>
          <w:sz w:val="30"/>
          <w:szCs w:val="30"/>
        </w:rPr>
        <w:t>Appetite</w:t>
      </w:r>
    </w:p>
    <w:p w14:paraId="39DB8B2C" w14:textId="77777777" w:rsidR="00464B9D" w:rsidRDefault="00000000">
      <w:pPr>
        <w:spacing w:after="160" w:line="276" w:lineRule="auto"/>
      </w:pPr>
      <w:r>
        <w:rPr>
          <w:rFonts w:ascii="Calibri" w:eastAsia="Calibri" w:hAnsi="Calibri" w:cs="Calibri"/>
          <w:sz w:val="22"/>
          <w:szCs w:val="22"/>
        </w:rPr>
        <w:t>The binding constraint is evaluation capacity. Every trust feature above adds human review load, and the near-term roadmap already calls eval staffing its tightest constraint. Strawman ask: one evaluation lead and one corpus steward, funded for the full two years, before any H2 external surface ships. If that capacity never materializes, we cut the external horizons rather than stretch the internal team and ship an uncertified public edition. The judgment loop lightens the load over time, since corrections accumulate as a side effect of ordinary work, but it needs owners to mine it.</w:t>
      </w:r>
    </w:p>
    <w:p w14:paraId="3676FA91" w14:textId="77777777" w:rsidR="00464B9D" w:rsidRDefault="00000000">
      <w:pPr>
        <w:spacing w:after="160" w:line="276" w:lineRule="auto"/>
      </w:pPr>
      <w:r>
        <w:rPr>
          <w:rFonts w:ascii="Calibri" w:eastAsia="Calibri" w:hAnsi="Calibri" w:cs="Calibri"/>
          <w:sz w:val="22"/>
          <w:szCs w:val="22"/>
        </w:rPr>
        <w:t>Internal-scale inference is cheap. Partner and public scale is not, which is why the cost model is H1 work, due before any partner commitment and sized against the hosting and inference grants we pursue.</w:t>
      </w:r>
    </w:p>
    <w:p w14:paraId="0D774F84" w14:textId="77777777" w:rsidR="00464B9D" w:rsidRDefault="00000000">
      <w:pPr>
        <w:pStyle w:val="Heading1"/>
        <w:spacing w:before="320" w:after="160"/>
      </w:pPr>
      <w:r>
        <w:rPr>
          <w:rFonts w:ascii="Calibri" w:eastAsia="Calibri" w:hAnsi="Calibri" w:cs="Calibri"/>
          <w:b/>
          <w:bCs/>
          <w:color w:val="1F3864"/>
          <w:sz w:val="30"/>
          <w:szCs w:val="30"/>
        </w:rPr>
        <w:t>What we will not do</w:t>
      </w:r>
    </w:p>
    <w:p w14:paraId="35322F54" w14:textId="130465A7" w:rsidR="00464B9D" w:rsidRDefault="00000000">
      <w:pPr>
        <w:spacing w:after="160" w:line="276" w:lineRule="auto"/>
      </w:pPr>
      <w:r>
        <w:rPr>
          <w:rFonts w:ascii="Calibri" w:eastAsia="Calibri" w:hAnsi="Calibri" w:cs="Calibri"/>
          <w:sz w:val="22"/>
          <w:szCs w:val="22"/>
        </w:rPr>
        <w:t xml:space="preserve">We will not search the open web or the open literature; that ground is taken, and walking onto it dilutes the warranty. We will not run autonomous research agents beyond the corpus. We will not train foundation models; the judgment loop tunes our own pipeline and nothing larger. We will not generate hypotheses; the tool points at gaps and thin evidence, and people do the thinking. We will not build a platform for other organizations' corpora until a second WRI-adjacent tenant proves the seams. And we will not compete on conversation. We build the record and rent the models.</w:t>
      </w:r>
    </w:p>
    <w:p w14:paraId="614E8214" w14:textId="77777777" w:rsidR="00464B9D" w:rsidRDefault="00000000">
      <w:pPr>
        <w:pStyle w:val="Heading1"/>
        <w:spacing w:before="320" w:after="160"/>
      </w:pPr>
      <w:r>
        <w:rPr>
          <w:rFonts w:ascii="Calibri" w:eastAsia="Calibri" w:hAnsi="Calibri" w:cs="Calibri"/>
          <w:b/>
          <w:bCs/>
          <w:color w:val="1F3864"/>
          <w:sz w:val="30"/>
          <w:szCs w:val="30"/>
        </w:rPr>
        <w:t>What must be true</w:t>
      </w:r>
    </w:p>
    <w:p w14:paraId="1BE12DEE" w14:textId="0E345A61" w:rsidR="00464B9D" w:rsidRDefault="00000000">
      <w:pPr>
        <w:spacing w:after="160" w:line="276" w:lineRule="auto"/>
      </w:pPr>
      <w:r>
        <w:rPr>
          <w:rFonts w:ascii="Calibri" w:eastAsia="Calibri" w:hAnsi="Calibri" w:cs="Calibri"/>
          <w:sz w:val="22"/>
          <w:szCs w:val="22"/>
        </w:rPr>
        <w:t xml:space="preserve">Each assumption has a test and a date. Numbers marked strawman are for argument, to be reset when the Alpha usage study is complete.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12"/>
        <w:gridCol w:w="5184"/>
        <w:gridCol w:w="1584"/>
      </w:tblGrid>
      <w:tr w:rsidR="00464B9D" w14:paraId="2F91F2D8" w14:textId="77777777">
        <w:tc>
          <w:tcPr>
            <w:tcW w:w="3312" w:type="dxa"/>
            <w:shd w:val="clear" w:color="auto" w:fill="1F3864"/>
            <w:tcMar>
              <w:top w:w="80" w:type="dxa"/>
              <w:left w:w="120" w:type="dxa"/>
              <w:bottom w:w="80" w:type="dxa"/>
              <w:right w:w="120" w:type="dxa"/>
            </w:tcMar>
          </w:tcPr>
          <w:p w14:paraId="28ABD62F" w14:textId="77777777" w:rsidR="00464B9D" w:rsidRDefault="00000000">
            <w:pPr>
              <w:spacing w:line="260" w:lineRule="auto"/>
            </w:pPr>
            <w:r>
              <w:rPr>
                <w:rFonts w:ascii="Calibri" w:eastAsia="Calibri" w:hAnsi="Calibri" w:cs="Calibri"/>
                <w:b/>
                <w:bCs/>
                <w:color w:val="FFFFFF"/>
              </w:rPr>
              <w:t>Assumption</w:t>
            </w:r>
          </w:p>
        </w:tc>
        <w:tc>
          <w:tcPr>
            <w:tcW w:w="5184" w:type="dxa"/>
            <w:shd w:val="clear" w:color="auto" w:fill="1F3864"/>
            <w:tcMar>
              <w:top w:w="80" w:type="dxa"/>
              <w:left w:w="120" w:type="dxa"/>
              <w:bottom w:w="80" w:type="dxa"/>
              <w:right w:w="120" w:type="dxa"/>
            </w:tcMar>
          </w:tcPr>
          <w:p w14:paraId="634490EE" w14:textId="77777777" w:rsidR="00464B9D" w:rsidRDefault="00000000">
            <w:pPr>
              <w:spacing w:line="260" w:lineRule="auto"/>
            </w:pPr>
            <w:r>
              <w:rPr>
                <w:rFonts w:ascii="Calibri" w:eastAsia="Calibri" w:hAnsi="Calibri" w:cs="Calibri"/>
                <w:b/>
                <w:bCs/>
                <w:color w:val="FFFFFF"/>
              </w:rPr>
              <w:t>Test</w:t>
            </w:r>
          </w:p>
        </w:tc>
        <w:tc>
          <w:tcPr>
            <w:tcW w:w="1584" w:type="dxa"/>
            <w:shd w:val="clear" w:color="auto" w:fill="1F3864"/>
            <w:tcMar>
              <w:top w:w="80" w:type="dxa"/>
              <w:left w:w="120" w:type="dxa"/>
              <w:bottom w:w="80" w:type="dxa"/>
              <w:right w:w="120" w:type="dxa"/>
            </w:tcMar>
          </w:tcPr>
          <w:p w14:paraId="5878DBB7" w14:textId="77777777" w:rsidR="00464B9D" w:rsidRDefault="00000000">
            <w:pPr>
              <w:spacing w:line="260" w:lineRule="auto"/>
            </w:pPr>
            <w:r>
              <w:rPr>
                <w:rFonts w:ascii="Calibri" w:eastAsia="Calibri" w:hAnsi="Calibri" w:cs="Calibri"/>
                <w:b/>
                <w:bCs/>
                <w:color w:val="FFFFFF"/>
              </w:rPr>
              <w:t>When</w:t>
            </w:r>
          </w:p>
        </w:tc>
      </w:tr>
      <w:tr w:rsidR="00464B9D" w14:paraId="5A02EC07" w14:textId="77777777">
        <w:tc>
          <w:tcPr>
            <w:tcW w:w="3312" w:type="dxa"/>
            <w:tcMar>
              <w:top w:w="80" w:type="dxa"/>
              <w:left w:w="120" w:type="dxa"/>
              <w:bottom w:w="80" w:type="dxa"/>
              <w:right w:w="120" w:type="dxa"/>
            </w:tcMar>
          </w:tcPr>
          <w:p w14:paraId="0D1E0983" w14:textId="77777777" w:rsidR="00464B9D" w:rsidRDefault="00000000">
            <w:pPr>
              <w:spacing w:line="260" w:lineRule="auto"/>
            </w:pPr>
            <w:r>
              <w:rPr>
                <w:rFonts w:ascii="Calibri" w:eastAsia="Calibri" w:hAnsi="Calibri" w:cs="Calibri"/>
                <w:color w:val="000000"/>
              </w:rPr>
              <w:t>Alpha users do work an answer engine helps with</w:t>
            </w:r>
          </w:p>
        </w:tc>
        <w:tc>
          <w:tcPr>
            <w:tcW w:w="5184" w:type="dxa"/>
            <w:tcMar>
              <w:top w:w="80" w:type="dxa"/>
              <w:left w:w="120" w:type="dxa"/>
              <w:bottom w:w="80" w:type="dxa"/>
              <w:right w:w="120" w:type="dxa"/>
            </w:tcMar>
          </w:tcPr>
          <w:p w14:paraId="545F8D2D" w14:textId="77777777" w:rsidR="00464B9D" w:rsidRDefault="00000000">
            <w:pPr>
              <w:spacing w:line="260" w:lineRule="auto"/>
            </w:pPr>
            <w:r>
              <w:rPr>
                <w:rFonts w:ascii="Calibri" w:eastAsia="Calibri" w:hAnsi="Calibri" w:cs="Calibri"/>
                <w:color w:val="000000"/>
              </w:rPr>
              <w:t>Usage study and interviews before H1 priorities lock</w:t>
            </w:r>
          </w:p>
        </w:tc>
        <w:tc>
          <w:tcPr>
            <w:tcW w:w="1584" w:type="dxa"/>
            <w:tcMar>
              <w:top w:w="80" w:type="dxa"/>
              <w:left w:w="120" w:type="dxa"/>
              <w:bottom w:w="80" w:type="dxa"/>
              <w:right w:w="120" w:type="dxa"/>
            </w:tcMar>
          </w:tcPr>
          <w:p w14:paraId="70B7E617" w14:textId="77777777" w:rsidR="00464B9D" w:rsidRDefault="00000000">
            <w:pPr>
              <w:spacing w:line="260" w:lineRule="auto"/>
            </w:pPr>
            <w:r>
              <w:rPr>
                <w:rFonts w:ascii="Calibri" w:eastAsia="Calibri" w:hAnsi="Calibri" w:cs="Calibri"/>
                <w:color w:val="000000"/>
              </w:rPr>
              <w:t>Now – H1</w:t>
            </w:r>
          </w:p>
        </w:tc>
      </w:tr>
      <w:tr w:rsidR="00464B9D" w14:paraId="7E87198A" w14:textId="77777777">
        <w:tc>
          <w:tcPr>
            <w:tcW w:w="3312" w:type="dxa"/>
            <w:tcMar>
              <w:top w:w="80" w:type="dxa"/>
              <w:left w:w="120" w:type="dxa"/>
              <w:bottom w:w="80" w:type="dxa"/>
              <w:right w:w="120" w:type="dxa"/>
            </w:tcMar>
          </w:tcPr>
          <w:p w14:paraId="3D25A322" w14:textId="77777777" w:rsidR="00464B9D" w:rsidRDefault="00000000">
            <w:pPr>
              <w:spacing w:line="260" w:lineRule="auto"/>
            </w:pPr>
            <w:r>
              <w:rPr>
                <w:rFonts w:ascii="Calibri" w:eastAsia="Calibri" w:hAnsi="Calibri" w:cs="Calibri"/>
                <w:color w:val="000000"/>
              </w:rPr>
              <w:t>Authors will verify their own work</w:t>
            </w:r>
          </w:p>
        </w:tc>
        <w:tc>
          <w:tcPr>
            <w:tcW w:w="5184" w:type="dxa"/>
            <w:tcMar>
              <w:top w:w="80" w:type="dxa"/>
              <w:left w:w="120" w:type="dxa"/>
              <w:bottom w:w="80" w:type="dxa"/>
              <w:right w:w="120" w:type="dxa"/>
            </w:tcMar>
          </w:tcPr>
          <w:p w14:paraId="67F019FA" w14:textId="77777777" w:rsidR="00464B9D" w:rsidRDefault="00000000">
            <w:pPr>
              <w:spacing w:line="260" w:lineRule="auto"/>
            </w:pPr>
            <w:r>
              <w:rPr>
                <w:rFonts w:ascii="Calibri" w:eastAsia="Calibri" w:hAnsi="Calibri" w:cs="Calibri"/>
                <w:color w:val="000000"/>
              </w:rPr>
              <w:t>One-program pilot; if under half of contacted authors respond after two rounds, verification becomes a checklist step</w:t>
            </w:r>
          </w:p>
        </w:tc>
        <w:tc>
          <w:tcPr>
            <w:tcW w:w="1584" w:type="dxa"/>
            <w:tcMar>
              <w:top w:w="80" w:type="dxa"/>
              <w:left w:w="120" w:type="dxa"/>
              <w:bottom w:w="80" w:type="dxa"/>
              <w:right w:w="120" w:type="dxa"/>
            </w:tcMar>
          </w:tcPr>
          <w:p w14:paraId="012188BB" w14:textId="77777777" w:rsidR="00464B9D" w:rsidRDefault="00000000">
            <w:pPr>
              <w:spacing w:line="260" w:lineRule="auto"/>
            </w:pPr>
            <w:r>
              <w:rPr>
                <w:rFonts w:ascii="Calibri" w:eastAsia="Calibri" w:hAnsi="Calibri" w:cs="Calibri"/>
                <w:color w:val="000000"/>
              </w:rPr>
              <w:t>H1</w:t>
            </w:r>
          </w:p>
        </w:tc>
      </w:tr>
      <w:tr w:rsidR="00464B9D" w14:paraId="34D4C7F3" w14:textId="77777777">
        <w:tc>
          <w:tcPr>
            <w:tcW w:w="3312" w:type="dxa"/>
            <w:tcMar>
              <w:top w:w="80" w:type="dxa"/>
              <w:left w:w="120" w:type="dxa"/>
              <w:bottom w:w="80" w:type="dxa"/>
              <w:right w:w="120" w:type="dxa"/>
            </w:tcMar>
          </w:tcPr>
          <w:p w14:paraId="1FEBB866" w14:textId="77777777" w:rsidR="00464B9D" w:rsidRDefault="00000000">
            <w:pPr>
              <w:spacing w:line="260" w:lineRule="auto"/>
            </w:pPr>
            <w:r>
              <w:rPr>
                <w:rFonts w:ascii="Calibri" w:eastAsia="Calibri" w:hAnsi="Calibri" w:cs="Calibri"/>
                <w:color w:val="000000"/>
              </w:rPr>
              <w:t>Cite-check earns real use</w:t>
            </w:r>
          </w:p>
        </w:tc>
        <w:tc>
          <w:tcPr>
            <w:tcW w:w="5184" w:type="dxa"/>
            <w:tcMar>
              <w:top w:w="80" w:type="dxa"/>
              <w:left w:w="120" w:type="dxa"/>
              <w:bottom w:w="80" w:type="dxa"/>
              <w:right w:w="120" w:type="dxa"/>
            </w:tcMar>
          </w:tcPr>
          <w:p w14:paraId="310DEA43" w14:textId="77777777" w:rsidR="00464B9D" w:rsidRDefault="00000000">
            <w:pPr>
              <w:spacing w:line="260" w:lineRule="auto"/>
            </w:pPr>
            <w:r>
              <w:rPr>
                <w:rFonts w:ascii="Calibri" w:eastAsia="Calibri" w:hAnsi="Calibri" w:cs="Calibri"/>
                <w:color w:val="000000"/>
              </w:rPr>
              <w:t>Used in 5+ real publication reviews by end of H1 (strawman), with repeat requests</w:t>
            </w:r>
          </w:p>
        </w:tc>
        <w:tc>
          <w:tcPr>
            <w:tcW w:w="1584" w:type="dxa"/>
            <w:tcMar>
              <w:top w:w="80" w:type="dxa"/>
              <w:left w:w="120" w:type="dxa"/>
              <w:bottom w:w="80" w:type="dxa"/>
              <w:right w:w="120" w:type="dxa"/>
            </w:tcMar>
          </w:tcPr>
          <w:p w14:paraId="7DE0D192" w14:textId="77777777" w:rsidR="00464B9D" w:rsidRDefault="00000000">
            <w:pPr>
              <w:spacing w:line="260" w:lineRule="auto"/>
            </w:pPr>
            <w:r>
              <w:rPr>
                <w:rFonts w:ascii="Calibri" w:eastAsia="Calibri" w:hAnsi="Calibri" w:cs="Calibri"/>
                <w:color w:val="000000"/>
              </w:rPr>
              <w:t>H1</w:t>
            </w:r>
          </w:p>
        </w:tc>
      </w:tr>
      <w:tr w:rsidR="00464B9D" w14:paraId="6E514685" w14:textId="77777777">
        <w:tc>
          <w:tcPr>
            <w:tcW w:w="3312" w:type="dxa"/>
            <w:tcMar>
              <w:top w:w="80" w:type="dxa"/>
              <w:left w:w="120" w:type="dxa"/>
              <w:bottom w:w="80" w:type="dxa"/>
              <w:right w:w="120" w:type="dxa"/>
            </w:tcMar>
          </w:tcPr>
          <w:p w14:paraId="62077D22" w14:textId="77777777" w:rsidR="00464B9D" w:rsidRDefault="00000000">
            <w:pPr>
              <w:spacing w:line="260" w:lineRule="auto"/>
            </w:pPr>
            <w:r>
              <w:rPr>
                <w:rFonts w:ascii="Calibri" w:eastAsia="Calibri" w:hAnsi="Calibri" w:cs="Calibri"/>
                <w:color w:val="000000"/>
              </w:rPr>
              <w:t>Researchers keep dossiers alive</w:t>
            </w:r>
          </w:p>
        </w:tc>
        <w:tc>
          <w:tcPr>
            <w:tcW w:w="5184" w:type="dxa"/>
            <w:tcMar>
              <w:top w:w="80" w:type="dxa"/>
              <w:left w:w="120" w:type="dxa"/>
              <w:bottom w:w="80" w:type="dxa"/>
              <w:right w:w="120" w:type="dxa"/>
            </w:tcMar>
          </w:tcPr>
          <w:p w14:paraId="5458629C" w14:textId="77777777" w:rsidR="00464B9D" w:rsidRDefault="00000000">
            <w:pPr>
              <w:spacing w:line="260" w:lineRule="auto"/>
            </w:pPr>
            <w:r>
              <w:rPr>
                <w:rFonts w:ascii="Calibri" w:eastAsia="Calibri" w:hAnsi="Calibri" w:cs="Calibri"/>
                <w:color w:val="000000"/>
              </w:rPr>
              <w:t>Two-team pilot; if grids go stale within a quarter, dossiers become generate-on-demand only</w:t>
            </w:r>
          </w:p>
        </w:tc>
        <w:tc>
          <w:tcPr>
            <w:tcW w:w="1584" w:type="dxa"/>
            <w:tcMar>
              <w:top w:w="80" w:type="dxa"/>
              <w:left w:w="120" w:type="dxa"/>
              <w:bottom w:w="80" w:type="dxa"/>
              <w:right w:w="120" w:type="dxa"/>
            </w:tcMar>
          </w:tcPr>
          <w:p w14:paraId="5DCBCBAB" w14:textId="77777777" w:rsidR="00464B9D" w:rsidRDefault="00000000">
            <w:pPr>
              <w:spacing w:line="260" w:lineRule="auto"/>
            </w:pPr>
            <w:r>
              <w:rPr>
                <w:rFonts w:ascii="Calibri" w:eastAsia="Calibri" w:hAnsi="Calibri" w:cs="Calibri"/>
                <w:color w:val="000000"/>
              </w:rPr>
              <w:t>H2</w:t>
            </w:r>
          </w:p>
        </w:tc>
      </w:tr>
      <w:tr w:rsidR="00464B9D" w14:paraId="264D7937" w14:textId="77777777">
        <w:tc>
          <w:tcPr>
            <w:tcW w:w="3312" w:type="dxa"/>
            <w:tcMar>
              <w:top w:w="80" w:type="dxa"/>
              <w:left w:w="120" w:type="dxa"/>
              <w:bottom w:w="80" w:type="dxa"/>
              <w:right w:w="120" w:type="dxa"/>
            </w:tcMar>
          </w:tcPr>
          <w:p w14:paraId="3F0B4FA2" w14:textId="77777777" w:rsidR="00464B9D" w:rsidRDefault="00000000">
            <w:pPr>
              <w:spacing w:line="260" w:lineRule="auto"/>
            </w:pPr>
            <w:r>
              <w:rPr>
                <w:rFonts w:ascii="Calibri" w:eastAsia="Calibri" w:hAnsi="Calibri" w:cs="Calibri"/>
                <w:color w:val="000000"/>
              </w:rPr>
              <w:t>Comms and policymakers use What WRI Says</w:t>
            </w:r>
          </w:p>
        </w:tc>
        <w:tc>
          <w:tcPr>
            <w:tcW w:w="5184" w:type="dxa"/>
            <w:tcMar>
              <w:top w:w="80" w:type="dxa"/>
              <w:left w:w="120" w:type="dxa"/>
              <w:bottom w:w="80" w:type="dxa"/>
              <w:right w:w="120" w:type="dxa"/>
            </w:tcMar>
          </w:tcPr>
          <w:p w14:paraId="2FFAC24F" w14:textId="77777777" w:rsidR="00464B9D" w:rsidRDefault="00000000">
            <w:pPr>
              <w:spacing w:line="260" w:lineRule="auto"/>
            </w:pPr>
            <w:r>
              <w:rPr>
                <w:rFonts w:ascii="Calibri" w:eastAsia="Calibri" w:hAnsi="Calibri" w:cs="Calibri"/>
                <w:color w:val="000000"/>
              </w:rPr>
              <w:t>Internal beta with the Comms team; if it does not enter their daily workflow in a quarter, the public edition loses its flagship</w:t>
            </w:r>
          </w:p>
        </w:tc>
        <w:tc>
          <w:tcPr>
            <w:tcW w:w="1584" w:type="dxa"/>
            <w:tcMar>
              <w:top w:w="80" w:type="dxa"/>
              <w:left w:w="120" w:type="dxa"/>
              <w:bottom w:w="80" w:type="dxa"/>
              <w:right w:w="120" w:type="dxa"/>
            </w:tcMar>
          </w:tcPr>
          <w:p w14:paraId="41FD1CFA" w14:textId="77777777" w:rsidR="00464B9D" w:rsidRDefault="00000000">
            <w:pPr>
              <w:spacing w:line="260" w:lineRule="auto"/>
            </w:pPr>
            <w:r>
              <w:rPr>
                <w:rFonts w:ascii="Calibri" w:eastAsia="Calibri" w:hAnsi="Calibri" w:cs="Calibri"/>
                <w:color w:val="000000"/>
              </w:rPr>
              <w:t>H2</w:t>
            </w:r>
          </w:p>
        </w:tc>
      </w:tr>
      <w:tr w:rsidR="00464B9D" w14:paraId="237860B3" w14:textId="77777777">
        <w:tc>
          <w:tcPr>
            <w:tcW w:w="3312" w:type="dxa"/>
            <w:tcMar>
              <w:top w:w="80" w:type="dxa"/>
              <w:left w:w="120" w:type="dxa"/>
              <w:bottom w:w="80" w:type="dxa"/>
              <w:right w:w="120" w:type="dxa"/>
            </w:tcMar>
          </w:tcPr>
          <w:p w14:paraId="052FF705" w14:textId="77777777" w:rsidR="00464B9D" w:rsidRDefault="00000000">
            <w:pPr>
              <w:spacing w:line="260" w:lineRule="auto"/>
            </w:pPr>
            <w:r>
              <w:rPr>
                <w:rFonts w:ascii="Calibri" w:eastAsia="Calibri" w:hAnsi="Calibri" w:cs="Calibri"/>
                <w:color w:val="000000"/>
              </w:rPr>
              <w:lastRenderedPageBreak/>
              <w:t>Experts accept being surfaced</w:t>
            </w:r>
          </w:p>
        </w:tc>
        <w:tc>
          <w:tcPr>
            <w:tcW w:w="5184" w:type="dxa"/>
            <w:tcMar>
              <w:top w:w="80" w:type="dxa"/>
              <w:left w:w="120" w:type="dxa"/>
              <w:bottom w:w="80" w:type="dxa"/>
              <w:right w:w="120" w:type="dxa"/>
            </w:tcMar>
          </w:tcPr>
          <w:p w14:paraId="1C242B99" w14:textId="77777777" w:rsidR="00464B9D" w:rsidRDefault="00000000">
            <w:pPr>
              <w:spacing w:line="260" w:lineRule="auto"/>
            </w:pPr>
            <w:r>
              <w:rPr>
                <w:rFonts w:ascii="Calibri" w:eastAsia="Calibri" w:hAnsi="Calibri" w:cs="Calibri"/>
                <w:color w:val="000000"/>
              </w:rPr>
              <w:t>Expertise@WRI internal pilot; public listing is opt-in only</w:t>
            </w:r>
          </w:p>
        </w:tc>
        <w:tc>
          <w:tcPr>
            <w:tcW w:w="1584" w:type="dxa"/>
            <w:tcMar>
              <w:top w:w="80" w:type="dxa"/>
              <w:left w:w="120" w:type="dxa"/>
              <w:bottom w:w="80" w:type="dxa"/>
              <w:right w:w="120" w:type="dxa"/>
            </w:tcMar>
          </w:tcPr>
          <w:p w14:paraId="32A94993" w14:textId="77777777" w:rsidR="00464B9D" w:rsidRDefault="00000000">
            <w:pPr>
              <w:spacing w:line="260" w:lineRule="auto"/>
            </w:pPr>
            <w:r>
              <w:rPr>
                <w:rFonts w:ascii="Calibri" w:eastAsia="Calibri" w:hAnsi="Calibri" w:cs="Calibri"/>
                <w:color w:val="000000"/>
              </w:rPr>
              <w:t>H2</w:t>
            </w:r>
          </w:p>
        </w:tc>
      </w:tr>
      <w:tr w:rsidR="00464B9D" w14:paraId="53047802" w14:textId="77777777">
        <w:tc>
          <w:tcPr>
            <w:tcW w:w="3312" w:type="dxa"/>
            <w:tcMar>
              <w:top w:w="80" w:type="dxa"/>
              <w:left w:w="120" w:type="dxa"/>
              <w:bottom w:w="80" w:type="dxa"/>
              <w:right w:w="120" w:type="dxa"/>
            </w:tcMar>
          </w:tcPr>
          <w:p w14:paraId="5C2273C4" w14:textId="77777777" w:rsidR="00464B9D" w:rsidRDefault="00000000">
            <w:pPr>
              <w:spacing w:line="260" w:lineRule="auto"/>
            </w:pPr>
            <w:r>
              <w:rPr>
                <w:rFonts w:ascii="Calibri" w:eastAsia="Calibri" w:hAnsi="Calibri" w:cs="Calibri"/>
                <w:color w:val="000000"/>
              </w:rPr>
              <w:t>The faithfulness gap persists</w:t>
            </w:r>
          </w:p>
        </w:tc>
        <w:tc>
          <w:tcPr>
            <w:tcW w:w="5184" w:type="dxa"/>
            <w:tcMar>
              <w:top w:w="80" w:type="dxa"/>
              <w:left w:w="120" w:type="dxa"/>
              <w:bottom w:w="80" w:type="dxa"/>
              <w:right w:w="120" w:type="dxa"/>
            </w:tcMar>
          </w:tcPr>
          <w:p w14:paraId="30BFFDA5" w14:textId="77777777" w:rsidR="00464B9D" w:rsidRDefault="00000000">
            <w:pPr>
              <w:spacing w:line="260" w:lineRule="auto"/>
            </w:pPr>
            <w:r>
              <w:rPr>
                <w:rFonts w:ascii="Calibri" w:eastAsia="Calibri" w:hAnsi="Calibri" w:cs="Calibri"/>
                <w:color w:val="000000"/>
              </w:rPr>
              <w:t>Evals run always-on; end-to-end benchmarks rerun on every model or pipeline change; at parity, shrink verification and keep corpus, boundary, methods, and API</w:t>
            </w:r>
          </w:p>
        </w:tc>
        <w:tc>
          <w:tcPr>
            <w:tcW w:w="1584" w:type="dxa"/>
            <w:tcMar>
              <w:top w:w="80" w:type="dxa"/>
              <w:left w:w="120" w:type="dxa"/>
              <w:bottom w:w="80" w:type="dxa"/>
              <w:right w:w="120" w:type="dxa"/>
            </w:tcMar>
          </w:tcPr>
          <w:p w14:paraId="50727BCE" w14:textId="77777777" w:rsidR="00464B9D" w:rsidRDefault="00000000">
            <w:pPr>
              <w:spacing w:line="260" w:lineRule="auto"/>
            </w:pPr>
            <w:r>
              <w:rPr>
                <w:rFonts w:ascii="Calibri" w:eastAsia="Calibri" w:hAnsi="Calibri" w:cs="Calibri"/>
                <w:color w:val="000000"/>
              </w:rPr>
              <w:t>Continuous</w:t>
            </w:r>
          </w:p>
        </w:tc>
      </w:tr>
      <w:tr w:rsidR="00464B9D" w14:paraId="55BDD43F" w14:textId="77777777">
        <w:tc>
          <w:tcPr>
            <w:tcW w:w="3312" w:type="dxa"/>
            <w:tcMar>
              <w:top w:w="80" w:type="dxa"/>
              <w:left w:w="120" w:type="dxa"/>
              <w:bottom w:w="80" w:type="dxa"/>
              <w:right w:w="120" w:type="dxa"/>
            </w:tcMar>
          </w:tcPr>
          <w:p w14:paraId="6D7CCD53" w14:textId="77777777" w:rsidR="00464B9D" w:rsidRDefault="00000000">
            <w:pPr>
              <w:spacing w:line="260" w:lineRule="auto"/>
            </w:pPr>
            <w:r>
              <w:rPr>
                <w:rFonts w:ascii="Calibri" w:eastAsia="Calibri" w:hAnsi="Calibri" w:cs="Calibri"/>
                <w:color w:val="000000"/>
              </w:rPr>
              <w:t>Eval capacity exists</w:t>
            </w:r>
          </w:p>
        </w:tc>
        <w:tc>
          <w:tcPr>
            <w:tcW w:w="5184" w:type="dxa"/>
            <w:tcMar>
              <w:top w:w="80" w:type="dxa"/>
              <w:left w:w="120" w:type="dxa"/>
              <w:bottom w:w="80" w:type="dxa"/>
              <w:right w:w="120" w:type="dxa"/>
            </w:tcMar>
          </w:tcPr>
          <w:p w14:paraId="67DDD8DE" w14:textId="77777777" w:rsidR="00464B9D" w:rsidRDefault="00000000">
            <w:pPr>
              <w:spacing w:line="260" w:lineRule="auto"/>
            </w:pPr>
            <w:r>
              <w:rPr>
                <w:rFonts w:ascii="Calibri" w:eastAsia="Calibri" w:hAnsi="Calibri" w:cs="Calibri"/>
                <w:color w:val="000000"/>
              </w:rPr>
              <w:t>Two roles funded before H2 externals ship; horizons gate on staffing</w:t>
            </w:r>
          </w:p>
        </w:tc>
        <w:tc>
          <w:tcPr>
            <w:tcW w:w="1584" w:type="dxa"/>
            <w:tcMar>
              <w:top w:w="80" w:type="dxa"/>
              <w:left w:w="120" w:type="dxa"/>
              <w:bottom w:w="80" w:type="dxa"/>
              <w:right w:w="120" w:type="dxa"/>
            </w:tcMar>
          </w:tcPr>
          <w:p w14:paraId="44D5B642" w14:textId="77777777" w:rsidR="00464B9D" w:rsidRDefault="00000000">
            <w:pPr>
              <w:spacing w:line="260" w:lineRule="auto"/>
            </w:pPr>
            <w:r>
              <w:rPr>
                <w:rFonts w:ascii="Calibri" w:eastAsia="Calibri" w:hAnsi="Calibri" w:cs="Calibri"/>
                <w:color w:val="000000"/>
              </w:rPr>
              <w:t>Standing</w:t>
            </w:r>
          </w:p>
        </w:tc>
      </w:tr>
    </w:tbl>
    <w:p w14:paraId="1A3352EF" w14:textId="77777777" w:rsidR="007C79AA" w:rsidRDefault="007C79AA">
      <w:pPr>
        <w:spacing w:after="160" w:line="276" w:lineRule="auto"/>
        <w:rPr>
          <w:rFonts w:ascii="Calibri" w:eastAsia="Calibri" w:hAnsi="Calibri" w:cs="Calibri"/>
          <w:sz w:val="22"/>
          <w:szCs w:val="22"/>
        </w:rPr>
      </w:pPr>
    </w:p>
    <w:p w14:paraId="6E845FA8" w14:textId="2ABC7077" w:rsidR="00464B9D" w:rsidRDefault="00000000">
      <w:pPr>
        <w:spacing w:after="160" w:line="276" w:lineRule="auto"/>
      </w:pPr>
      <w:r>
        <w:rPr>
          <w:rFonts w:ascii="Calibri" w:eastAsia="Calibri" w:hAnsi="Calibri" w:cs="Calibri"/>
          <w:sz w:val="22"/>
          <w:szCs w:val="22"/>
        </w:rPr>
        <w:t>And a kill line, so the plan narrows instead of swelling. Three signals, checked in September 2027: cite-check has run in ten real reviews; a quarter of active researchers in pilot programs use the tool weekly (strawman); at least one brief or What WRI Says answer has been cited in a document we did not write. If two of the three fail, we cut back to the researcher tool and stop the external program.</w:t>
      </w:r>
    </w:p>
    <w:sectPr w:rsidR="00464B9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674211"/>
    <w:multiLevelType w:val="hybridMultilevel"/>
    <w:tmpl w:val="811C7896"/>
    <w:lvl w:ilvl="0" w:tplc="A5EE2230">
      <w:start w:val="1"/>
      <w:numFmt w:val="bullet"/>
      <w:lvlText w:val="●"/>
      <w:lvlJc w:val="left"/>
      <w:pPr>
        <w:ind w:left="720" w:hanging="360"/>
      </w:pPr>
    </w:lvl>
    <w:lvl w:ilvl="1" w:tplc="DB167BD6">
      <w:start w:val="1"/>
      <w:numFmt w:val="bullet"/>
      <w:lvlText w:val="○"/>
      <w:lvlJc w:val="left"/>
      <w:pPr>
        <w:ind w:left="1440" w:hanging="360"/>
      </w:pPr>
    </w:lvl>
    <w:lvl w:ilvl="2" w:tplc="40405EDC">
      <w:start w:val="1"/>
      <w:numFmt w:val="bullet"/>
      <w:lvlText w:val="■"/>
      <w:lvlJc w:val="left"/>
      <w:pPr>
        <w:ind w:left="2160" w:hanging="360"/>
      </w:pPr>
    </w:lvl>
    <w:lvl w:ilvl="3" w:tplc="937C7EF2">
      <w:start w:val="1"/>
      <w:numFmt w:val="bullet"/>
      <w:lvlText w:val="●"/>
      <w:lvlJc w:val="left"/>
      <w:pPr>
        <w:ind w:left="2880" w:hanging="360"/>
      </w:pPr>
    </w:lvl>
    <w:lvl w:ilvl="4" w:tplc="83283A5E">
      <w:start w:val="1"/>
      <w:numFmt w:val="bullet"/>
      <w:lvlText w:val="○"/>
      <w:lvlJc w:val="left"/>
      <w:pPr>
        <w:ind w:left="3600" w:hanging="360"/>
      </w:pPr>
    </w:lvl>
    <w:lvl w:ilvl="5" w:tplc="A4ACFBAC">
      <w:start w:val="1"/>
      <w:numFmt w:val="bullet"/>
      <w:lvlText w:val="■"/>
      <w:lvlJc w:val="left"/>
      <w:pPr>
        <w:ind w:left="4320" w:hanging="360"/>
      </w:pPr>
    </w:lvl>
    <w:lvl w:ilvl="6" w:tplc="B8205520">
      <w:start w:val="1"/>
      <w:numFmt w:val="bullet"/>
      <w:lvlText w:val="●"/>
      <w:lvlJc w:val="left"/>
      <w:pPr>
        <w:ind w:left="5040" w:hanging="360"/>
      </w:pPr>
    </w:lvl>
    <w:lvl w:ilvl="7" w:tplc="01FC9510">
      <w:start w:val="1"/>
      <w:numFmt w:val="bullet"/>
      <w:lvlText w:val="●"/>
      <w:lvlJc w:val="left"/>
      <w:pPr>
        <w:ind w:left="5760" w:hanging="360"/>
      </w:pPr>
    </w:lvl>
    <w:lvl w:ilvl="8" w:tplc="13562244">
      <w:start w:val="1"/>
      <w:numFmt w:val="bullet"/>
      <w:lvlText w:val="●"/>
      <w:lvlJc w:val="left"/>
      <w:pPr>
        <w:ind w:left="6480" w:hanging="360"/>
      </w:pPr>
    </w:lvl>
  </w:abstractNum>
  <w:abstractNum w:abstractNumId="1" w15:restartNumberingAfterBreak="0">
    <w:nsid w:val="16D523D7"/>
    <w:multiLevelType w:val="hybridMultilevel"/>
    <w:tmpl w:val="2F9E4E5A"/>
    <w:lvl w:ilvl="0" w:tplc="6B368948">
      <w:start w:val="1"/>
      <w:numFmt w:val="bullet"/>
      <w:lvlText w:val="•"/>
      <w:lvlJc w:val="left"/>
      <w:pPr>
        <w:ind w:left="360" w:hanging="200"/>
      </w:pPr>
    </w:lvl>
    <w:lvl w:ilvl="1" w:tplc="0BA653B0">
      <w:numFmt w:val="decimal"/>
      <w:lvlText w:val=""/>
      <w:lvlJc w:val="left"/>
    </w:lvl>
    <w:lvl w:ilvl="2" w:tplc="E2EE5A84">
      <w:numFmt w:val="decimal"/>
      <w:lvlText w:val=""/>
      <w:lvlJc w:val="left"/>
    </w:lvl>
    <w:lvl w:ilvl="3" w:tplc="E026CCBA">
      <w:numFmt w:val="decimal"/>
      <w:lvlText w:val=""/>
      <w:lvlJc w:val="left"/>
    </w:lvl>
    <w:lvl w:ilvl="4" w:tplc="9CE6B420">
      <w:numFmt w:val="decimal"/>
      <w:lvlText w:val=""/>
      <w:lvlJc w:val="left"/>
    </w:lvl>
    <w:lvl w:ilvl="5" w:tplc="B5A87D6C">
      <w:numFmt w:val="decimal"/>
      <w:lvlText w:val=""/>
      <w:lvlJc w:val="left"/>
    </w:lvl>
    <w:lvl w:ilvl="6" w:tplc="3D461D1C">
      <w:numFmt w:val="decimal"/>
      <w:lvlText w:val=""/>
      <w:lvlJc w:val="left"/>
    </w:lvl>
    <w:lvl w:ilvl="7" w:tplc="067E8D76">
      <w:numFmt w:val="decimal"/>
      <w:lvlText w:val=""/>
      <w:lvlJc w:val="left"/>
    </w:lvl>
    <w:lvl w:ilvl="8" w:tplc="79F64B78">
      <w:numFmt w:val="decimal"/>
      <w:lvlText w:val=""/>
      <w:lvlJc w:val="left"/>
    </w:lvl>
  </w:abstractNum>
  <w:num w:numId="1" w16cid:durableId="15668380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9D"/>
    <w:rsid w:val="000D7471"/>
    <w:rsid w:val="000E4033"/>
    <w:rsid w:val="00154AA3"/>
    <w:rsid w:val="00202D1D"/>
    <w:rsid w:val="00464B9D"/>
    <w:rsid w:val="0047674E"/>
    <w:rsid w:val="00705F24"/>
    <w:rsid w:val="007C79AA"/>
    <w:rsid w:val="008678A4"/>
    <w:rsid w:val="00B210B6"/>
    <w:rsid w:val="00FA0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C970E"/>
  <w15:docId w15:val="{6D1B7FA7-AC9A-2549-94DA-449DD5F1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3310</Words>
  <Characters>18869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Gutelius</cp:lastModifiedBy>
  <cp:revision>6</cp:revision>
  <dcterms:created xsi:type="dcterms:W3CDTF">2026-07-14T22:24:00Z</dcterms:created>
  <dcterms:modified xsi:type="dcterms:W3CDTF">2026-07-14T23:47:00Z</dcterms:modified>
</cp:coreProperties>
</file>