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6C5CE7"/>
          <w:sz w:val="72"/>
          <w:szCs w:val="72"/>
        </w:rPr>
        <w:t xml:space="preserve">WriFe</w:t>
      </w:r>
    </w:p>
    <w:p>
      <w:pPr>
        <w:spacing w:after="160" w:before="0"/>
        <w:jc w:val="center"/>
      </w:pPr>
      <w:r>
        <w:rPr>
          <w:rFonts w:ascii="Arial" w:cs="Arial" w:eastAsia="Arial" w:hAnsi="Arial"/>
          <w:b/>
          <w:bCs/>
          <w:color w:val="2D3436"/>
          <w:sz w:val="36"/>
          <w:szCs w:val="36"/>
        </w:rPr>
        <w:t xml:space="preserve">PWP Studio — Platform Review &amp; App Market Strategy</w:t>
      </w:r>
    </w:p>
    <w:p>
      <w:pPr>
        <w:spacing w:after="80" w:before="0"/>
        <w:jc w:val="center"/>
      </w:pPr>
      <w:r>
        <w:rPr>
          <w:rFonts w:ascii="Arial" w:cs="Arial" w:eastAsia="Arial" w:hAnsi="Arial"/>
          <w:color w:val="636E72"/>
          <w:sz w:val="22"/>
          <w:szCs w:val="22"/>
        </w:rPr>
        <w:t xml:space="preserve">Confidential — 5 May 2026</w:t>
      </w:r>
    </w:p>
    <w:p>
      <w:pPr>
        <w:spacing w:after="0" w:before="4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none" w:color="FFFFFF" w:sz="0"/>
              <w:left w:val="none" w:color="FFFFFF" w:sz="0"/>
              <w:bottom w:val="none" w:color="FFFFFF" w:sz="0"/>
              <w:right w:val="none" w:color="FFFFFF" w:sz="0"/>
            </w:tcBorders>
            <w:shd w:fill="EDE9FF" w:val="clear"/>
            <w:tcMar>
              <w:top w:type="dxa" w:w="120"/>
              <w:left w:type="dxa" w:w="200"/>
              <w:bottom w:type="dxa" w:w="120"/>
              <w:right w:type="dxa" w:w="200"/>
            </w:tcMar>
          </w:tcPr>
          <w:p>
            <w:pPr>
              <w:jc w:val="center"/>
            </w:pPr>
            <w:r>
              <w:rPr>
                <w:rFonts w:ascii="Arial" w:cs="Arial" w:eastAsia="Arial" w:hAnsi="Arial"/>
                <w:b/>
                <w:bCs/>
                <w:color w:val="6C5CE7"/>
                <w:sz w:val="20"/>
                <w:szCs w:val="20"/>
              </w:rPr>
              <w:t xml:space="preserve">Live URL</w:t>
            </w:r>
          </w:p>
          <w:p>
            <w:pPr>
              <w:jc w:val="center"/>
            </w:pPr>
            <w:r>
              <w:rPr>
                <w:rFonts w:ascii="Arial" w:cs="Arial" w:eastAsia="Arial" w:hAnsi="Arial"/>
                <w:color w:val="2D3436"/>
                <w:sz w:val="19"/>
                <w:szCs w:val="19"/>
              </w:rPr>
              <w:t xml:space="preserve">pwp-studio.wrife.co.uk</w:t>
            </w:r>
          </w:p>
        </w:tc>
        <w:tc>
          <w:tcPr>
            <w:tcW w:type="dxa" w:w="3500"/>
            <w:tcBorders>
              <w:top w:val="none" w:color="FFFFFF" w:sz="0"/>
              <w:left w:val="none" w:color="FFFFFF" w:sz="0"/>
              <w:bottom w:val="none" w:color="FFFFFF" w:sz="0"/>
              <w:right w:val="none" w:color="FFFFFF" w:sz="0"/>
            </w:tcBorders>
            <w:shd w:fill="E0FAF4" w:val="clear"/>
            <w:tcMar>
              <w:top w:type="dxa" w:w="120"/>
              <w:left w:type="dxa" w:w="200"/>
              <w:bottom w:type="dxa" w:w="120"/>
              <w:right w:type="dxa" w:w="200"/>
            </w:tcMar>
          </w:tcPr>
          <w:p>
            <w:pPr>
              <w:jc w:val="center"/>
            </w:pPr>
            <w:r>
              <w:rPr>
                <w:rFonts w:ascii="Arial" w:cs="Arial" w:eastAsia="Arial" w:hAnsi="Arial"/>
                <w:b/>
                <w:bCs/>
                <w:color w:val="00B894"/>
                <w:sz w:val="20"/>
                <w:szCs w:val="20"/>
              </w:rPr>
              <w:t xml:space="preserve">Supabase Project</w:t>
            </w:r>
          </w:p>
          <w:p>
            <w:pPr>
              <w:jc w:val="center"/>
            </w:pPr>
            <w:r>
              <w:rPr>
                <w:rFonts w:ascii="Arial" w:cs="Arial" w:eastAsia="Arial" w:hAnsi="Arial"/>
                <w:color w:val="2D3436"/>
                <w:sz w:val="19"/>
                <w:szCs w:val="19"/>
              </w:rPr>
              <w:t xml:space="preserve">nxhkpqngnxshgotvuujb</w:t>
            </w:r>
          </w:p>
        </w:tc>
      </w:tr>
    </w:tbl>
    <w:p>
      <w:pPr>
        <w:spacing w:after="0" w:before="400"/>
      </w:pPr>
      <w:r>
        <w:t xml:space="preserve"/>
      </w:r>
    </w:p>
    <w:p>
      <w:pPr>
        <w:spacing w:after="40" w:before="80"/>
        <w:jc w:val="center"/>
      </w:pPr>
      <w:r>
        <w:rPr>
          <w:rFonts w:ascii="Arial" w:cs="Arial" w:eastAsia="Arial" w:hAnsi="Arial"/>
          <w:b/>
          <w:bCs/>
          <w:color w:val="2D3436"/>
          <w:sz w:val="26"/>
          <w:szCs w:val="26"/>
        </w:rPr>
        <w:t xml:space="preserve">Contents</w:t>
      </w:r>
    </w:p>
    <w:p>
      <w:pPr>
        <w:spacing w:after="40" w:before="40"/>
        <w:jc w:val="center"/>
      </w:pPr>
      <w:r>
        <w:rPr>
          <w:rFonts w:ascii="Arial" w:cs="Arial" w:eastAsia="Arial" w:hAnsi="Arial"/>
          <w:color w:val="636E72"/>
          <w:sz w:val="21"/>
          <w:szCs w:val="21"/>
        </w:rPr>
        <w:t xml:space="preserve">1.  Integration Status — PWP Studio on wrife.co.uk</w:t>
      </w:r>
    </w:p>
    <w:p>
      <w:pPr>
        <w:spacing w:after="40" w:before="40"/>
        <w:jc w:val="center"/>
      </w:pPr>
      <w:r>
        <w:rPr>
          <w:rFonts w:ascii="Arial" w:cs="Arial" w:eastAsia="Arial" w:hAnsi="Arial"/>
          <w:color w:val="636E72"/>
          <w:sz w:val="21"/>
          <w:szCs w:val="21"/>
        </w:rPr>
        <w:t xml:space="preserve">2.  Phase &amp; Feature Status Summary</w:t>
      </w:r>
    </w:p>
    <w:p>
      <w:pPr>
        <w:spacing w:after="40" w:before="40"/>
        <w:jc w:val="center"/>
      </w:pPr>
      <w:r>
        <w:rPr>
          <w:rFonts w:ascii="Arial" w:cs="Arial" w:eastAsia="Arial" w:hAnsi="Arial"/>
          <w:color w:val="636E72"/>
          <w:sz w:val="21"/>
          <w:szCs w:val="21"/>
        </w:rPr>
        <w:t xml:space="preserve">3.  Daily Test Results Review</w:t>
      </w:r>
    </w:p>
    <w:p>
      <w:pPr>
        <w:spacing w:after="40" w:before="40"/>
        <w:jc w:val="center"/>
      </w:pPr>
      <w:r>
        <w:rPr>
          <w:rFonts w:ascii="Arial" w:cs="Arial" w:eastAsia="Arial" w:hAnsi="Arial"/>
          <w:color w:val="636E72"/>
          <w:sz w:val="21"/>
          <w:szCs w:val="21"/>
        </w:rPr>
        <w:t xml:space="preserve">4.  Bug Register &amp; Root Cause Analysis</w:t>
      </w:r>
    </w:p>
    <w:p>
      <w:pPr>
        <w:spacing w:after="40" w:before="40"/>
        <w:jc w:val="center"/>
      </w:pPr>
      <w:r>
        <w:rPr>
          <w:rFonts w:ascii="Arial" w:cs="Arial" w:eastAsia="Arial" w:hAnsi="Arial"/>
          <w:color w:val="636E72"/>
          <w:sz w:val="21"/>
          <w:szCs w:val="21"/>
        </w:rPr>
        <w:t xml:space="preserve">5.  Pedagogical Alignment — Formula Chain Progression</w:t>
      </w:r>
    </w:p>
    <w:p>
      <w:pPr>
        <w:spacing w:after="40" w:before="40"/>
        <w:jc w:val="center"/>
      </w:pPr>
      <w:r>
        <w:rPr>
          <w:rFonts w:ascii="Arial" w:cs="Arial" w:eastAsia="Arial" w:hAnsi="Arial"/>
          <w:color w:val="636E72"/>
          <w:sz w:val="21"/>
          <w:szCs w:val="21"/>
        </w:rPr>
        <w:t xml:space="preserve">6.  Google Play Store Direct Sign-Up Strategy</w:t>
      </w:r>
    </w:p>
    <w:p>
      <w:pPr>
        <w:spacing w:after="40" w:before="40"/>
        <w:jc w:val="center"/>
      </w:pPr>
      <w:r>
        <w:rPr>
          <w:rFonts w:ascii="Arial" w:cs="Arial" w:eastAsia="Arial" w:hAnsi="Arial"/>
          <w:color w:val="636E72"/>
          <w:sz w:val="21"/>
          <w:szCs w:val="21"/>
        </w:rPr>
        <w:t xml:space="preserve">7.  Consolidated Action Plan</w:t>
      </w:r>
    </w:p>
    <w:p>
      <w:r>
        <w:br w:type="page"/>
      </w:r>
    </w:p>
    <w:p>
      <w:pPr>
        <w:pStyle w:val="Heading1"/>
        <w:spacing w:after="160" w:before="400"/>
      </w:pPr>
      <w:r>
        <w:rPr>
          <w:rFonts w:ascii="Arial" w:cs="Arial" w:eastAsia="Arial" w:hAnsi="Arial"/>
          <w:b/>
          <w:bCs/>
          <w:color w:val="6C5CE7"/>
          <w:sz w:val="36"/>
          <w:szCs w:val="36"/>
        </w:rPr>
        <w:t xml:space="preserve">1. Integration Status — PWP Studio on wrife.co.uk</w:t>
      </w:r>
    </w:p>
    <w:p>
      <w:pPr>
        <w:spacing w:after="120" w:before="80"/>
      </w:pPr>
      <w:r>
        <w:rPr>
          <w:rFonts w:ascii="Arial" w:cs="Arial" w:eastAsia="Arial" w:hAnsi="Arial"/>
          <w:color w:val="2D3436"/>
          <w:sz w:val="22"/>
          <w:szCs w:val="22"/>
        </w:rPr>
        <w:t xml:space="preserve">WriFe operates two live surfaces that are now connected but architecturally distinct: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6C5CE7" w:sz="1"/>
              <w:left w:val="single" w:color="6C5CE7" w:sz="1"/>
              <w:bottom w:val="single" w:color="6C5CE7" w:sz="1"/>
              <w:right w:val="single" w:color="6C5CE7" w:sz="1"/>
            </w:tcBorders>
            <w:shd w:fill="6C5CE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Surface</w:t>
            </w:r>
          </w:p>
        </w:tc>
        <w:tc>
          <w:tcPr>
            <w:tcW w:type="dxa" w:w="4000"/>
            <w:tcBorders>
              <w:top w:val="single" w:color="6C5CE7" w:sz="1"/>
              <w:left w:val="single" w:color="6C5CE7" w:sz="1"/>
              <w:bottom w:val="single" w:color="6C5CE7" w:sz="1"/>
              <w:right w:val="single" w:color="6C5CE7" w:sz="1"/>
            </w:tcBorders>
            <w:shd w:fill="6C5CE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URL / Deployment</w:t>
            </w:r>
          </w:p>
        </w:tc>
        <w:tc>
          <w:tcPr>
            <w:tcW w:type="dxa" w:w="3360"/>
            <w:tcBorders>
              <w:top w:val="single" w:color="6C5CE7" w:sz="1"/>
              <w:left w:val="single" w:color="6C5CE7" w:sz="1"/>
              <w:bottom w:val="single" w:color="6C5CE7" w:sz="1"/>
              <w:right w:val="single" w:color="6C5CE7" w:sz="1"/>
            </w:tcBorders>
            <w:shd w:fill="6C5CE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 Role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C5CE7"/>
                <w:sz w:val="20"/>
                <w:szCs w:val="20"/>
              </w:rPr>
              <w:t xml:space="preserve">wrife.co.uk</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436"/>
                <w:sz w:val="20"/>
                <w:szCs w:val="20"/>
              </w:rPr>
              <w:t xml:space="preserve">Vercel / wrife-website repo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436"/>
                <w:sz w:val="20"/>
                <w:szCs w:val="20"/>
              </w:rPr>
              <w:t xml:space="preserve">Marketing site, school/parent information, pricing</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6C5CE7"/>
                <w:sz w:val="20"/>
                <w:szCs w:val="20"/>
              </w:rPr>
              <w:t xml:space="preserve">pwp-studio.wrife.co.uk</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D3436"/>
                <w:sz w:val="20"/>
                <w:szCs w:val="20"/>
              </w:rPr>
              <w:t xml:space="preserve">Vercel / wrifeapp repo (main branch)</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D3436"/>
                <w:sz w:val="20"/>
                <w:szCs w:val="20"/>
              </w:rPr>
              <w:t xml:space="preserve">Live learning app: all pupil, teacher, parent, admin roles</w:t>
            </w:r>
          </w:p>
        </w:tc>
      </w:tr>
    </w:tbl>
    <w:p>
      <w:pPr>
        <w:spacing w:after="0" w:before="120"/>
      </w:pPr>
      <w:r>
        <w:t xml:space="preserve"/>
      </w:r>
    </w:p>
    <w:p>
      <w:pPr>
        <w:pStyle w:val="Heading2"/>
        <w:pBdr>
          <w:bottom w:val="single" w:color="6C5CE7" w:sz="4" w:space="4"/>
        </w:pBdr>
        <w:spacing w:after="120" w:before="320"/>
      </w:pPr>
      <w:r>
        <w:rPr>
          <w:rFonts w:ascii="Arial" w:cs="Arial" w:eastAsia="Arial" w:hAnsi="Arial"/>
          <w:b/>
          <w:bCs/>
          <w:color w:val="2D3436"/>
          <w:sz w:val="28"/>
          <w:szCs w:val="28"/>
        </w:rPr>
        <w:t xml:space="preserve">What the integration achieves</w:t>
      </w:r>
    </w:p>
    <w:p>
      <w:pPr>
        <w:spacing w:after="120" w:before="80"/>
      </w:pPr>
      <w:r>
        <w:rPr>
          <w:rFonts w:ascii="Arial" w:cs="Arial" w:eastAsia="Arial" w:hAnsi="Arial"/>
          <w:color w:val="2D3436"/>
          <w:sz w:val="22"/>
          <w:szCs w:val="22"/>
        </w:rPr>
        <w:t xml:space="preserve">Pupils who are enrolled on the wrife.co.uk platform can navigate directly to pwp-studio.wrife.co.uk to access their practice sessions. The main site links outward to the Studio app, and account credentials are shared via the same Supabase project (nxhkpqngnxshgotvuujb), so a pupil or teacher who exists in wrife.co.uk is already recognised by the Studio without a separate registration.</w:t>
      </w:r>
    </w:p>
    <w:p>
      <w:pPr>
        <w:spacing w:after="0" w:before="80"/>
      </w:pPr>
      <w:r>
        <w:t xml:space="preserve"/>
      </w:r>
    </w:p>
    <w:p>
      <w:pPr>
        <w:pStyle w:val="Heading2"/>
        <w:pBdr>
          <w:bottom w:val="single" w:color="6C5CE7" w:sz="4" w:space="4"/>
        </w:pBdr>
        <w:spacing w:after="120" w:before="320"/>
      </w:pPr>
      <w:r>
        <w:rPr>
          <w:rFonts w:ascii="Arial" w:cs="Arial" w:eastAsia="Arial" w:hAnsi="Arial"/>
          <w:b/>
          <w:bCs/>
          <w:color w:val="2D3436"/>
          <w:sz w:val="28"/>
          <w:szCs w:val="28"/>
        </w:rPr>
        <w:t xml:space="preserve">What is not yet integrated</w:t>
      </w:r>
    </w:p>
    <w:p>
      <w:pPr>
        <w:pStyle w:val="ListParagraph"/>
        <w:numPr>
          <w:ilvl w:val="0"/>
          <w:numId w:val="2"/>
        </w:numPr>
        <w:spacing w:after="40" w:before="40"/>
      </w:pPr>
      <w:r>
        <w:rPr>
          <w:rFonts w:ascii="Arial" w:cs="Arial" w:eastAsia="Arial" w:hAnsi="Arial"/>
          <w:color w:val="2D3436"/>
          <w:sz w:val="22"/>
          <w:szCs w:val="22"/>
        </w:rPr>
        <w:t xml:space="preserve">Single-sign-on redirect — there is no automatic SSO handoff between the two domains; users must log in separately at pwp-studio.wrife.co.uk even if already signed in at wrife.co.uk.</w:t>
      </w:r>
    </w:p>
    <w:p>
      <w:pPr>
        <w:pStyle w:val="ListParagraph"/>
        <w:numPr>
          <w:ilvl w:val="0"/>
          <w:numId w:val="2"/>
        </w:numPr>
        <w:spacing w:after="40" w:before="40"/>
      </w:pPr>
      <w:r>
        <w:rPr>
          <w:rFonts w:ascii="Arial" w:cs="Arial" w:eastAsia="Arial" w:hAnsi="Arial"/>
          <w:color w:val="2D3436"/>
          <w:sz w:val="22"/>
          <w:szCs w:val="22"/>
        </w:rPr>
        <w:t xml:space="preserve">Shared navigation — the two sites have separate headers and there is no persistent nav element linking them. Pupils arriving at the Studio for the first time may not know how to return to wrife.co.uk.</w:t>
      </w:r>
    </w:p>
    <w:p>
      <w:pPr>
        <w:pStyle w:val="ListParagraph"/>
        <w:numPr>
          <w:ilvl w:val="0"/>
          <w:numId w:val="2"/>
        </w:numPr>
        <w:spacing w:after="40" w:before="40"/>
      </w:pPr>
      <w:r>
        <w:rPr>
          <w:rFonts w:ascii="Arial" w:cs="Arial" w:eastAsia="Arial" w:hAnsi="Arial"/>
          <w:color w:val="2D3436"/>
          <w:sz w:val="22"/>
          <w:szCs w:val="22"/>
        </w:rPr>
        <w:t xml:space="preserve">School self-service sign-up (/school/apply) — documented in the roadmap but not yet built. Schools still require manual provisioning through the admin panel.</w:t>
      </w:r>
    </w:p>
    <w:p>
      <w:pPr>
        <w:pStyle w:val="ListParagraph"/>
        <w:numPr>
          <w:ilvl w:val="0"/>
          <w:numId w:val="2"/>
        </w:numPr>
        <w:spacing w:after="40" w:before="40"/>
      </w:pPr>
      <w:r>
        <w:rPr>
          <w:rFonts w:ascii="Arial" w:cs="Arial" w:eastAsia="Arial" w:hAnsi="Arial"/>
          <w:color w:val="2D3436"/>
          <w:sz w:val="22"/>
          <w:szCs w:val="22"/>
        </w:rPr>
        <w:t xml:space="preserve">Quota enforcement — teacher and pupil count limits against a school’s subscription tier exist in the data model but the enforcement Edge Function logic has not been written.</w:t>
      </w:r>
    </w:p>
    <w:p>
      <w:pPr>
        <w:spacing w:after="0" w:before="80"/>
      </w:pPr>
      <w:r>
        <w:t xml:space="preserve"/>
      </w:r>
    </w:p>
    <w:p>
      <w:pPr>
        <w:pBdr>
          <w:left w:val="single" w:color="0984E3" w:sz="12"/>
        </w:pBdr>
        <w:spacing w:after="80" w:before="80"/>
        <w:ind w:left="360"/>
      </w:pPr>
      <w:r>
        <w:rPr>
          <w:rFonts w:ascii="Arial" w:cs="Arial" w:eastAsia="Arial" w:hAnsi="Arial"/>
          <w:i/>
          <w:iCs/>
          <w:color w:val="2D3436"/>
          <w:sz w:val="20"/>
          <w:szCs w:val="20"/>
        </w:rPr>
        <w:t xml:space="preserve">The Supabase Auth configuration must list both wrife.co.uk and pwp-studio.wrife.co.uk under Allowed Redirect URLs to avoid email-confirmation failures when users arrive from the marketing site.</w:t>
      </w:r>
    </w:p>
    <w:p>
      <w:r>
        <w:br w:type="page"/>
      </w:r>
    </w:p>
    <w:p>
      <w:pPr>
        <w:pStyle w:val="Heading1"/>
        <w:spacing w:after="160" w:before="400"/>
      </w:pPr>
      <w:r>
        <w:rPr>
          <w:rFonts w:ascii="Arial" w:cs="Arial" w:eastAsia="Arial" w:hAnsi="Arial"/>
          <w:b/>
          <w:bCs/>
          <w:color w:val="6C5CE7"/>
          <w:sz w:val="36"/>
          <w:szCs w:val="36"/>
        </w:rPr>
        <w:t xml:space="preserve">2. Phase &amp; Feature Status Summary</w:t>
      </w:r>
    </w:p>
    <w:p>
      <w:pPr>
        <w:spacing w:after="120" w:before="80"/>
      </w:pPr>
      <w:r>
        <w:rPr>
          <w:rFonts w:ascii="Arial" w:cs="Arial" w:eastAsia="Arial" w:hAnsi="Arial"/>
          <w:color w:val="2D3436"/>
          <w:sz w:val="22"/>
          <w:szCs w:val="22"/>
        </w:rPr>
        <w:t xml:space="preserve">The table below summarises every major phase of development and its current status as of the most recent deployment (29 April 2026 — Session 18).</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80"/>
        <w:gridCol w:w="1880"/>
      </w:tblGrid>
      <w:tr>
        <w:trPr>
          <w:tblHeader/>
        </w:trPr>
        <w:tc>
          <w:tcPr>
            <w:tcW w:type="dxa" w:w="2800"/>
            <w:tcBorders>
              <w:top w:val="single" w:color="6C5CE7" w:sz="1"/>
              <w:left w:val="single" w:color="6C5CE7" w:sz="1"/>
              <w:bottom w:val="single" w:color="6C5CE7" w:sz="1"/>
              <w:right w:val="single" w:color="6C5CE7" w:sz="1"/>
            </w:tcBorders>
            <w:shd w:fill="6C5CE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 Feature</w:t>
            </w:r>
          </w:p>
        </w:tc>
        <w:tc>
          <w:tcPr>
            <w:tcW w:type="dxa" w:w="2800"/>
            <w:tcBorders>
              <w:top w:val="single" w:color="6C5CE7" w:sz="1"/>
              <w:left w:val="single" w:color="6C5CE7" w:sz="1"/>
              <w:bottom w:val="single" w:color="6C5CE7" w:sz="1"/>
              <w:right w:val="single" w:color="6C5CE7" w:sz="1"/>
            </w:tcBorders>
            <w:shd w:fill="6C5CE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880"/>
            <w:tcBorders>
              <w:top w:val="single" w:color="6C5CE7" w:sz="1"/>
              <w:left w:val="single" w:color="6C5CE7" w:sz="1"/>
              <w:bottom w:val="single" w:color="6C5CE7" w:sz="1"/>
              <w:right w:val="single" w:color="6C5CE7" w:sz="1"/>
            </w:tcBorders>
            <w:shd w:fill="6C5CE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1880"/>
            <w:tcBorders>
              <w:top w:val="single" w:color="6C5CE7" w:sz="1"/>
              <w:left w:val="single" w:color="6C5CE7" w:sz="1"/>
              <w:bottom w:val="single" w:color="6C5CE7" w:sz="1"/>
              <w:right w:val="single" w:color="6C5CE7" w:sz="1"/>
            </w:tcBorders>
            <w:shd w:fill="6C5CE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D3436"/>
                <w:sz w:val="20"/>
                <w:szCs w:val="20"/>
              </w:rPr>
              <w:t xml:space="preserve">Phase 1: DB Foundation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436"/>
                <w:sz w:val="20"/>
                <w:szCs w:val="20"/>
              </w:rPr>
              <w:t xml:space="preserve">Schema, RLS, migrations, type generation</w:t>
            </w:r>
          </w:p>
        </w:tc>
        <w:tc>
          <w:tcPr>
            <w:tcW w:type="dxa" w:w="1880"/>
            <w:tcBorders>
              <w:top w:val="single" w:color="CCCCCC" w:sz="1"/>
              <w:left w:val="single" w:color="CCCCCC" w:sz="1"/>
              <w:bottom w:val="single" w:color="CCCCCC" w:sz="1"/>
              <w:right w:val="single" w:color="CCCCCC" w:sz="1"/>
            </w:tcBorders>
            <w:shd w:fill="00B894" w:val="clear"/>
            <w:tcMar>
              <w:top w:type="dxa" w:w="60"/>
              <w:left w:type="dxa" w:w="80"/>
              <w:bottom w:type="dxa" w:w="60"/>
              <w:right w:type="dxa" w:w="80"/>
            </w:tcMar>
          </w:tcPr>
          <w:p>
            <w:pPr>
              <w:jc w:val="center"/>
            </w:pPr>
            <w:r>
              <w:rPr>
                <w:rFonts w:ascii="Arial" w:cs="Arial" w:eastAsia="Arial" w:hAnsi="Arial"/>
                <w:b/>
                <w:bCs/>
                <w:color w:val="FFFFFF"/>
                <w:sz w:val="18"/>
                <w:szCs w:val="18"/>
              </w:rPr>
              <w:t xml:space="preserve">LIVE</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2D3436"/>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D3436"/>
                <w:sz w:val="20"/>
                <w:szCs w:val="20"/>
              </w:rPr>
              <w:t xml:space="preserve">Phase 2: Formula Mastery Engine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D3436"/>
                <w:sz w:val="20"/>
                <w:szCs w:val="20"/>
              </w:rPr>
              <w:t xml:space="preserve">Concept cards, mastery tracking, scaffold stages</w:t>
            </w:r>
          </w:p>
        </w:tc>
        <w:tc>
          <w:tcPr>
            <w:tcW w:type="dxa" w:w="1880"/>
            <w:tcBorders>
              <w:top w:val="single" w:color="CCCCCC" w:sz="1"/>
              <w:left w:val="single" w:color="CCCCCC" w:sz="1"/>
              <w:bottom w:val="single" w:color="CCCCCC" w:sz="1"/>
              <w:right w:val="single" w:color="CCCCCC" w:sz="1"/>
            </w:tcBorders>
            <w:shd w:fill="00B894" w:val="clear"/>
            <w:tcMar>
              <w:top w:type="dxa" w:w="60"/>
              <w:left w:type="dxa" w:w="80"/>
              <w:bottom w:type="dxa" w:w="60"/>
              <w:right w:type="dxa" w:w="80"/>
            </w:tcMar>
          </w:tcPr>
          <w:p>
            <w:pPr>
              <w:jc w:val="center"/>
            </w:pPr>
            <w:r>
              <w:rPr>
                <w:rFonts w:ascii="Arial" w:cs="Arial" w:eastAsia="Arial" w:hAnsi="Arial"/>
                <w:b/>
                <w:bCs/>
                <w:color w:val="FFFFFF"/>
                <w:sz w:val="18"/>
                <w:szCs w:val="18"/>
              </w:rPr>
              <w:t xml:space="preserve">LIVE</w:t>
            </w:r>
          </w:p>
        </w:tc>
        <w:tc>
          <w:tcPr>
            <w:tcW w:type="dxa" w:w="188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2D3436"/>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D3436"/>
                <w:sz w:val="20"/>
                <w:szCs w:val="20"/>
              </w:rPr>
              <w:t xml:space="preserve">Phase 3: Session Content AI</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436"/>
                <w:sz w:val="20"/>
                <w:szCs w:val="20"/>
              </w:rPr>
              <w:t xml:space="preserve">generate-session-content Edge Function, curated word banks, inspiration sentence</w:t>
            </w:r>
          </w:p>
        </w:tc>
        <w:tc>
          <w:tcPr>
            <w:tcW w:type="dxa" w:w="1880"/>
            <w:tcBorders>
              <w:top w:val="single" w:color="CCCCCC" w:sz="1"/>
              <w:left w:val="single" w:color="CCCCCC" w:sz="1"/>
              <w:bottom w:val="single" w:color="CCCCCC" w:sz="1"/>
              <w:right w:val="single" w:color="CCCCCC" w:sz="1"/>
            </w:tcBorders>
            <w:shd w:fill="00B894" w:val="clear"/>
            <w:tcMar>
              <w:top w:type="dxa" w:w="60"/>
              <w:left w:type="dxa" w:w="80"/>
              <w:bottom w:type="dxa" w:w="60"/>
              <w:right w:type="dxa" w:w="80"/>
            </w:tcMar>
          </w:tcPr>
          <w:p>
            <w:pPr>
              <w:jc w:val="center"/>
            </w:pPr>
            <w:r>
              <w:rPr>
                <w:rFonts w:ascii="Arial" w:cs="Arial" w:eastAsia="Arial" w:hAnsi="Arial"/>
                <w:b/>
                <w:bCs/>
                <w:color w:val="FFFFFF"/>
                <w:sz w:val="18"/>
                <w:szCs w:val="18"/>
              </w:rPr>
              <w:t xml:space="preserve">LIVE</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2D3436"/>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D3436"/>
                <w:sz w:val="20"/>
                <w:szCs w:val="20"/>
              </w:rPr>
              <w:t xml:space="preserve">Phase 4: Paragraph Builder Progression</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D3436"/>
                <w:sz w:val="20"/>
                <w:szCs w:val="20"/>
              </w:rPr>
              <w:t xml:space="preserve">Genre cascade, LSC scaffold, paragraph unlock logic</w:t>
            </w:r>
          </w:p>
        </w:tc>
        <w:tc>
          <w:tcPr>
            <w:tcW w:type="dxa" w:w="1880"/>
            <w:tcBorders>
              <w:top w:val="single" w:color="CCCCCC" w:sz="1"/>
              <w:left w:val="single" w:color="CCCCCC" w:sz="1"/>
              <w:bottom w:val="single" w:color="CCCCCC" w:sz="1"/>
              <w:right w:val="single" w:color="CCCCCC" w:sz="1"/>
            </w:tcBorders>
            <w:shd w:fill="00B894" w:val="clear"/>
            <w:tcMar>
              <w:top w:type="dxa" w:w="60"/>
              <w:left w:type="dxa" w:w="80"/>
              <w:bottom w:type="dxa" w:w="60"/>
              <w:right w:type="dxa" w:w="80"/>
            </w:tcMar>
          </w:tcPr>
          <w:p>
            <w:pPr>
              <w:jc w:val="center"/>
            </w:pPr>
            <w:r>
              <w:rPr>
                <w:rFonts w:ascii="Arial" w:cs="Arial" w:eastAsia="Arial" w:hAnsi="Arial"/>
                <w:b/>
                <w:bCs/>
                <w:color w:val="FFFFFF"/>
                <w:sz w:val="18"/>
                <w:szCs w:val="18"/>
              </w:rPr>
              <w:t xml:space="preserve">LIVE</w:t>
            </w:r>
          </w:p>
        </w:tc>
        <w:tc>
          <w:tcPr>
            <w:tcW w:type="dxa" w:w="188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2D3436"/>
                <w:sz w:val="20"/>
                <w:szCs w:val="20"/>
              </w:rPr>
              <w:t xml:space="preserve">Bug—see §3</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D3436"/>
                <w:sz w:val="20"/>
                <w:szCs w:val="20"/>
              </w:rPr>
              <w:t xml:space="preserve">Phase 5: Writing Studio Auto-suggest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436"/>
                <w:sz w:val="20"/>
                <w:szCs w:val="20"/>
              </w:rPr>
              <w:t xml:space="preserve">Readiness check, teacher notification, studio unlock flow</w:t>
            </w:r>
          </w:p>
        </w:tc>
        <w:tc>
          <w:tcPr>
            <w:tcW w:type="dxa" w:w="1880"/>
            <w:tcBorders>
              <w:top w:val="single" w:color="CCCCCC" w:sz="1"/>
              <w:left w:val="single" w:color="CCCCCC" w:sz="1"/>
              <w:bottom w:val="single" w:color="CCCCCC" w:sz="1"/>
              <w:right w:val="single" w:color="CCCCCC" w:sz="1"/>
            </w:tcBorders>
            <w:shd w:fill="00B894" w:val="clear"/>
            <w:tcMar>
              <w:top w:type="dxa" w:w="60"/>
              <w:left w:type="dxa" w:w="80"/>
              <w:bottom w:type="dxa" w:w="60"/>
              <w:right w:type="dxa" w:w="80"/>
            </w:tcMar>
          </w:tcPr>
          <w:p>
            <w:pPr>
              <w:jc w:val="center"/>
            </w:pPr>
            <w:r>
              <w:rPr>
                <w:rFonts w:ascii="Arial" w:cs="Arial" w:eastAsia="Arial" w:hAnsi="Arial"/>
                <w:b/>
                <w:bCs/>
                <w:color w:val="FFFFFF"/>
                <w:sz w:val="18"/>
                <w:szCs w:val="18"/>
              </w:rPr>
              <w:t xml:space="preserve">LIVE</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2D3436"/>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D3436"/>
                <w:sz w:val="20"/>
                <w:szCs w:val="20"/>
              </w:rPr>
              <w:t xml:space="preserve">Phase 6: Writing Studio UI</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D3436"/>
                <w:sz w:val="20"/>
                <w:szCs w:val="20"/>
              </w:rPr>
              <w:t xml:space="preserve">tiptap editor, word count, AI assessment, rubric display</w:t>
            </w:r>
          </w:p>
        </w:tc>
        <w:tc>
          <w:tcPr>
            <w:tcW w:type="dxa" w:w="1880"/>
            <w:tcBorders>
              <w:top w:val="single" w:color="CCCCCC" w:sz="1"/>
              <w:left w:val="single" w:color="CCCCCC" w:sz="1"/>
              <w:bottom w:val="single" w:color="CCCCCC" w:sz="1"/>
              <w:right w:val="single" w:color="CCCCCC" w:sz="1"/>
            </w:tcBorders>
            <w:shd w:fill="F39C12"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PARTIAL</w:t>
            </w:r>
          </w:p>
        </w:tc>
        <w:tc>
          <w:tcPr>
            <w:tcW w:type="dxa" w:w="188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2D3436"/>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D3436"/>
                <w:sz w:val="20"/>
                <w:szCs w:val="20"/>
              </w:rPr>
              <w:t xml:space="preserve">Gamification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436"/>
                <w:sz w:val="20"/>
                <w:szCs w:val="20"/>
              </w:rPr>
              <w:t xml:space="preserve">XP, badges, streaks, XP Shop, level timeline</w:t>
            </w:r>
          </w:p>
        </w:tc>
        <w:tc>
          <w:tcPr>
            <w:tcW w:type="dxa" w:w="1880"/>
            <w:tcBorders>
              <w:top w:val="single" w:color="CCCCCC" w:sz="1"/>
              <w:left w:val="single" w:color="CCCCCC" w:sz="1"/>
              <w:bottom w:val="single" w:color="CCCCCC" w:sz="1"/>
              <w:right w:val="single" w:color="CCCCCC" w:sz="1"/>
            </w:tcBorders>
            <w:shd w:fill="F39C12"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PARTIAL</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2D3436"/>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D3436"/>
                <w:sz w:val="20"/>
                <w:szCs w:val="20"/>
              </w:rPr>
              <w:t xml:space="preserve">Teacher Dashboard</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D3436"/>
                <w:sz w:val="20"/>
                <w:szCs w:val="20"/>
              </w:rPr>
              <w:t xml:space="preserve">Class progress, Pending Review, Analytics, Word Banks, Programme tab</w:t>
            </w:r>
          </w:p>
        </w:tc>
        <w:tc>
          <w:tcPr>
            <w:tcW w:type="dxa" w:w="1880"/>
            <w:tcBorders>
              <w:top w:val="single" w:color="CCCCCC" w:sz="1"/>
              <w:left w:val="single" w:color="CCCCCC" w:sz="1"/>
              <w:bottom w:val="single" w:color="CCCCCC" w:sz="1"/>
              <w:right w:val="single" w:color="CCCCCC" w:sz="1"/>
            </w:tcBorders>
            <w:shd w:fill="00B894" w:val="clear"/>
            <w:tcMar>
              <w:top w:type="dxa" w:w="60"/>
              <w:left w:type="dxa" w:w="80"/>
              <w:bottom w:type="dxa" w:w="60"/>
              <w:right w:type="dxa" w:w="80"/>
            </w:tcMar>
          </w:tcPr>
          <w:p>
            <w:pPr>
              <w:jc w:val="center"/>
            </w:pPr>
            <w:r>
              <w:rPr>
                <w:rFonts w:ascii="Arial" w:cs="Arial" w:eastAsia="Arial" w:hAnsi="Arial"/>
                <w:b/>
                <w:bCs/>
                <w:color w:val="FFFFFF"/>
                <w:sz w:val="18"/>
                <w:szCs w:val="18"/>
              </w:rPr>
              <w:t xml:space="preserve">LIVE</w:t>
            </w:r>
          </w:p>
        </w:tc>
        <w:tc>
          <w:tcPr>
            <w:tcW w:type="dxa" w:w="188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2D3436"/>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D3436"/>
                <w:sz w:val="20"/>
                <w:szCs w:val="20"/>
              </w:rPr>
              <w:t xml:space="preserve">Admin Panel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436"/>
                <w:sz w:val="20"/>
                <w:szCs w:val="20"/>
              </w:rPr>
              <w:t xml:space="preserve">Schools, Teachers, Users, Access tabs, tier management</w:t>
            </w:r>
          </w:p>
        </w:tc>
        <w:tc>
          <w:tcPr>
            <w:tcW w:type="dxa" w:w="1880"/>
            <w:tcBorders>
              <w:top w:val="single" w:color="CCCCCC" w:sz="1"/>
              <w:left w:val="single" w:color="CCCCCC" w:sz="1"/>
              <w:bottom w:val="single" w:color="CCCCCC" w:sz="1"/>
              <w:right w:val="single" w:color="CCCCCC" w:sz="1"/>
            </w:tcBorders>
            <w:shd w:fill="00B894" w:val="clear"/>
            <w:tcMar>
              <w:top w:type="dxa" w:w="60"/>
              <w:left w:type="dxa" w:w="80"/>
              <w:bottom w:type="dxa" w:w="60"/>
              <w:right w:type="dxa" w:w="80"/>
            </w:tcMar>
          </w:tcPr>
          <w:p>
            <w:pPr>
              <w:jc w:val="center"/>
            </w:pPr>
            <w:r>
              <w:rPr>
                <w:rFonts w:ascii="Arial" w:cs="Arial" w:eastAsia="Arial" w:hAnsi="Arial"/>
                <w:b/>
                <w:bCs/>
                <w:color w:val="FFFFFF"/>
                <w:sz w:val="18"/>
                <w:szCs w:val="18"/>
              </w:rPr>
              <w:t xml:space="preserve">LIVE</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2D3436"/>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D3436"/>
                <w:sz w:val="20"/>
                <w:szCs w:val="20"/>
              </w:rPr>
              <w:t xml:space="preserve">Parent View</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D3436"/>
                <w:sz w:val="20"/>
                <w:szCs w:val="20"/>
              </w:rPr>
              <w:t xml:space="preserve">Read-only child progress; children linked by teacher</w:t>
            </w:r>
          </w:p>
        </w:tc>
        <w:tc>
          <w:tcPr>
            <w:tcW w:type="dxa" w:w="1880"/>
            <w:tcBorders>
              <w:top w:val="single" w:color="CCCCCC" w:sz="1"/>
              <w:left w:val="single" w:color="CCCCCC" w:sz="1"/>
              <w:bottom w:val="single" w:color="CCCCCC" w:sz="1"/>
              <w:right w:val="single" w:color="CCCCCC" w:sz="1"/>
            </w:tcBorders>
            <w:shd w:fill="00B894" w:val="clear"/>
            <w:tcMar>
              <w:top w:type="dxa" w:w="60"/>
              <w:left w:type="dxa" w:w="80"/>
              <w:bottom w:type="dxa" w:w="60"/>
              <w:right w:type="dxa" w:w="80"/>
            </w:tcMar>
          </w:tcPr>
          <w:p>
            <w:pPr>
              <w:jc w:val="center"/>
            </w:pPr>
            <w:r>
              <w:rPr>
                <w:rFonts w:ascii="Arial" w:cs="Arial" w:eastAsia="Arial" w:hAnsi="Arial"/>
                <w:b/>
                <w:bCs/>
                <w:color w:val="FFFFFF"/>
                <w:sz w:val="18"/>
                <w:szCs w:val="18"/>
              </w:rPr>
              <w:t xml:space="preserve">LIVE</w:t>
            </w:r>
          </w:p>
        </w:tc>
        <w:tc>
          <w:tcPr>
            <w:tcW w:type="dxa" w:w="188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2D3436"/>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D3436"/>
                <w:sz w:val="20"/>
                <w:szCs w:val="20"/>
              </w:rPr>
              <w:t xml:space="preserve">Onboarding (Teacher)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436"/>
                <w:sz w:val="20"/>
                <w:szCs w:val="20"/>
              </w:rPr>
              <w:t xml:space="preserve">3-step wizard: school, profile, ready</w:t>
            </w:r>
          </w:p>
        </w:tc>
        <w:tc>
          <w:tcPr>
            <w:tcW w:type="dxa" w:w="1880"/>
            <w:tcBorders>
              <w:top w:val="single" w:color="CCCCCC" w:sz="1"/>
              <w:left w:val="single" w:color="CCCCCC" w:sz="1"/>
              <w:bottom w:val="single" w:color="CCCCCC" w:sz="1"/>
              <w:right w:val="single" w:color="CCCCCC" w:sz="1"/>
            </w:tcBorders>
            <w:shd w:fill="00B894" w:val="clear"/>
            <w:tcMar>
              <w:top w:type="dxa" w:w="60"/>
              <w:left w:type="dxa" w:w="80"/>
              <w:bottom w:type="dxa" w:w="60"/>
              <w:right w:type="dxa" w:w="80"/>
            </w:tcMar>
          </w:tcPr>
          <w:p>
            <w:pPr>
              <w:jc w:val="center"/>
            </w:pPr>
            <w:r>
              <w:rPr>
                <w:rFonts w:ascii="Arial" w:cs="Arial" w:eastAsia="Arial" w:hAnsi="Arial"/>
                <w:b/>
                <w:bCs/>
                <w:color w:val="FFFFFF"/>
                <w:sz w:val="18"/>
                <w:szCs w:val="18"/>
              </w:rPr>
              <w:t xml:space="preserve">LIVE</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2D3436"/>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D3436"/>
                <w:sz w:val="20"/>
                <w:szCs w:val="20"/>
              </w:rPr>
              <w:t xml:space="preserve">Pupil Onboarding</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D3436"/>
                <w:sz w:val="20"/>
                <w:szCs w:val="20"/>
              </w:rPr>
              <w:t xml:space="preserve">Welcome modal, pupil_progress row auto-creation</w:t>
            </w:r>
          </w:p>
        </w:tc>
        <w:tc>
          <w:tcPr>
            <w:tcW w:type="dxa" w:w="1880"/>
            <w:tcBorders>
              <w:top w:val="single" w:color="CCCCCC" w:sz="1"/>
              <w:left w:val="single" w:color="CCCCCC" w:sz="1"/>
              <w:bottom w:val="single" w:color="CCCCCC" w:sz="1"/>
              <w:right w:val="single" w:color="CCCCCC" w:sz="1"/>
            </w:tcBorders>
            <w:shd w:fill="E17055" w:val="clear"/>
            <w:tcMar>
              <w:top w:type="dxa" w:w="60"/>
              <w:left w:type="dxa" w:w="80"/>
              <w:bottom w:type="dxa" w:w="60"/>
              <w:right w:type="dxa" w:w="80"/>
            </w:tcMar>
          </w:tcPr>
          <w:p>
            <w:pPr>
              <w:jc w:val="center"/>
            </w:pPr>
            <w:r>
              <w:rPr>
                <w:rFonts w:ascii="Arial" w:cs="Arial" w:eastAsia="Arial" w:hAnsi="Arial"/>
                <w:b/>
                <w:bCs/>
                <w:color w:val="FFFFFF"/>
                <w:sz w:val="18"/>
                <w:szCs w:val="18"/>
              </w:rPr>
              <w:t xml:space="preserve">BUG</w:t>
            </w:r>
          </w:p>
        </w:tc>
        <w:tc>
          <w:tcPr>
            <w:tcW w:type="dxa" w:w="188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2D3436"/>
                <w:sz w:val="20"/>
                <w:szCs w:val="20"/>
              </w:rPr>
              <w:t xml:space="preserve">CRITICAL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D3436"/>
                <w:sz w:val="20"/>
                <w:szCs w:val="20"/>
              </w:rPr>
              <w:t xml:space="preserve">Offline / PWA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436"/>
                <w:sz w:val="20"/>
                <w:szCs w:val="20"/>
              </w:rPr>
              <w:t xml:space="preserve">Service worker, IndexedDB queue, Workbox caching</w:t>
            </w:r>
          </w:p>
        </w:tc>
        <w:tc>
          <w:tcPr>
            <w:tcW w:type="dxa" w:w="1880"/>
            <w:tcBorders>
              <w:top w:val="single" w:color="CCCCCC" w:sz="1"/>
              <w:left w:val="single" w:color="CCCCCC" w:sz="1"/>
              <w:bottom w:val="single" w:color="CCCCCC" w:sz="1"/>
              <w:right w:val="single" w:color="CCCCCC" w:sz="1"/>
            </w:tcBorders>
            <w:shd w:fill="F39C12"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PARTIAL</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2D3436"/>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D3436"/>
                <w:sz w:val="20"/>
                <w:szCs w:val="20"/>
              </w:rPr>
              <w:t xml:space="preserve">PDF Export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D3436"/>
                <w:sz w:val="20"/>
                <w:szCs w:val="20"/>
              </w:rPr>
              <w:t xml:space="preserve">Writing Studio certificate, Portfolio download</w:t>
            </w:r>
          </w:p>
        </w:tc>
        <w:tc>
          <w:tcPr>
            <w:tcW w:type="dxa" w:w="1880"/>
            <w:tcBorders>
              <w:top w:val="single" w:color="CCCCCC" w:sz="1"/>
              <w:left w:val="single" w:color="CCCCCC" w:sz="1"/>
              <w:bottom w:val="single" w:color="CCCCCC" w:sz="1"/>
              <w:right w:val="single" w:color="CCCCCC" w:sz="1"/>
            </w:tcBorders>
            <w:shd w:fill="E17055"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NOT STARTED</w:t>
            </w:r>
          </w:p>
        </w:tc>
        <w:tc>
          <w:tcPr>
            <w:tcW w:type="dxa" w:w="188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2D3436"/>
                <w:sz w:val="20"/>
                <w:szCs w:val="20"/>
              </w:rPr>
              <w:t xml:space="preserve">LOW</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D3436"/>
                <w:sz w:val="20"/>
                <w:szCs w:val="20"/>
              </w:rPr>
              <w:t xml:space="preserve">School Self-Service Sign-up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436"/>
                <w:sz w:val="20"/>
                <w:szCs w:val="20"/>
              </w:rPr>
              <w:t xml:space="preserve">/school/apply public form</w:t>
            </w:r>
          </w:p>
        </w:tc>
        <w:tc>
          <w:tcPr>
            <w:tcW w:type="dxa" w:w="1880"/>
            <w:tcBorders>
              <w:top w:val="single" w:color="CCCCCC" w:sz="1"/>
              <w:left w:val="single" w:color="CCCCCC" w:sz="1"/>
              <w:bottom w:val="single" w:color="CCCCCC" w:sz="1"/>
              <w:right w:val="single" w:color="CCCCCC" w:sz="1"/>
            </w:tcBorders>
            <w:shd w:fill="E17055"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NOT STARTED</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2D3436"/>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D3436"/>
                <w:sz w:val="20"/>
                <w:szCs w:val="20"/>
              </w:rPr>
              <w:t xml:space="preserve">E2E Test Suite (Playwright)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D3436"/>
                <w:sz w:val="20"/>
                <w:szCs w:val="20"/>
              </w:rPr>
              <w:t xml:space="preserve">Automated browser tests for all journeys</w:t>
            </w:r>
          </w:p>
        </w:tc>
        <w:tc>
          <w:tcPr>
            <w:tcW w:type="dxa" w:w="1880"/>
            <w:tcBorders>
              <w:top w:val="single" w:color="CCCCCC" w:sz="1"/>
              <w:left w:val="single" w:color="CCCCCC" w:sz="1"/>
              <w:bottom w:val="single" w:color="CCCCCC" w:sz="1"/>
              <w:right w:val="single" w:color="CCCCCC" w:sz="1"/>
            </w:tcBorders>
            <w:shd w:fill="E17055"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NOT STARTED</w:t>
            </w:r>
          </w:p>
        </w:tc>
        <w:tc>
          <w:tcPr>
            <w:tcW w:type="dxa" w:w="188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2D3436"/>
                <w:sz w:val="20"/>
                <w:szCs w:val="20"/>
              </w:rPr>
              <w:t xml:space="preserve">MEDIUM</w:t>
            </w:r>
          </w:p>
        </w:tc>
      </w:tr>
    </w:tbl>
    <w:p>
      <w:r>
        <w:br w:type="page"/>
      </w:r>
    </w:p>
    <w:p>
      <w:pPr>
        <w:pStyle w:val="Heading1"/>
        <w:spacing w:after="160" w:before="400"/>
      </w:pPr>
      <w:r>
        <w:rPr>
          <w:rFonts w:ascii="Arial" w:cs="Arial" w:eastAsia="Arial" w:hAnsi="Arial"/>
          <w:b/>
          <w:bCs/>
          <w:color w:val="6C5CE7"/>
          <w:sz w:val="36"/>
          <w:szCs w:val="36"/>
        </w:rPr>
        <w:t xml:space="preserve">3. Daily Test Results Review</w:t>
      </w:r>
    </w:p>
    <w:p>
      <w:pPr>
        <w:spacing w:after="120" w:before="80"/>
      </w:pPr>
      <w:r>
        <w:rPr>
          <w:rFonts w:ascii="Arial" w:cs="Arial" w:eastAsia="Arial" w:hAnsi="Arial"/>
          <w:color w:val="2D3436"/>
          <w:sz w:val="22"/>
          <w:szCs w:val="22"/>
        </w:rPr>
        <w:t xml:space="preserve">Two test suites were run and reviewed: the automated unit test suite (Vitest) and the manual end-to-end browser test conducted on 27 April 2026.</w:t>
      </w:r>
    </w:p>
    <w:p>
      <w:pPr>
        <w:spacing w:after="0" w:before="80"/>
      </w:pPr>
      <w:r>
        <w:t xml:space="preserve"/>
      </w:r>
    </w:p>
    <w:p>
      <w:pPr>
        <w:pStyle w:val="Heading2"/>
        <w:pBdr>
          <w:bottom w:val="single" w:color="6C5CE7" w:sz="4" w:space="4"/>
        </w:pBdr>
        <w:spacing w:after="120" w:before="320"/>
      </w:pPr>
      <w:r>
        <w:rPr>
          <w:rFonts w:ascii="Arial" w:cs="Arial" w:eastAsia="Arial" w:hAnsi="Arial"/>
          <w:b/>
          <w:bCs/>
          <w:color w:val="2D3436"/>
          <w:sz w:val="28"/>
          <w:szCs w:val="28"/>
        </w:rPr>
        <w:t xml:space="preserve">3.1 Unit Test Suite — Current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400"/>
        <w:gridCol w:w="2360"/>
      </w:tblGrid>
      <w:tr>
        <w:trPr>
          <w:tblHeader/>
        </w:trPr>
        <w:tc>
          <w:tcPr>
            <w:tcW w:type="dxa" w:w="2800"/>
            <w:tcBorders>
              <w:top w:val="single" w:color="2D3436" w:sz="1"/>
              <w:left w:val="single" w:color="2D3436" w:sz="1"/>
              <w:bottom w:val="single" w:color="2D3436" w:sz="1"/>
              <w:right w:val="single" w:color="2D3436" w:sz="1"/>
            </w:tcBorders>
            <w:shd w:fill="2D343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File</w:t>
            </w:r>
          </w:p>
        </w:tc>
        <w:tc>
          <w:tcPr>
            <w:tcW w:type="dxa" w:w="1800"/>
            <w:tcBorders>
              <w:top w:val="single" w:color="2D3436" w:sz="1"/>
              <w:left w:val="single" w:color="2D3436" w:sz="1"/>
              <w:bottom w:val="single" w:color="2D3436" w:sz="1"/>
              <w:right w:val="single" w:color="2D3436" w:sz="1"/>
            </w:tcBorders>
            <w:shd w:fill="2D343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2400"/>
            <w:tcBorders>
              <w:top w:val="single" w:color="2D3436" w:sz="1"/>
              <w:left w:val="single" w:color="2D3436" w:sz="1"/>
              <w:bottom w:val="single" w:color="2D3436" w:sz="1"/>
              <w:right w:val="single" w:color="2D3436" w:sz="1"/>
            </w:tcBorders>
            <w:shd w:fill="2D343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Tests Passed</w:t>
            </w:r>
          </w:p>
        </w:tc>
        <w:tc>
          <w:tcPr>
            <w:tcW w:type="dxa" w:w="2360"/>
            <w:tcBorders>
              <w:top w:val="single" w:color="2D3436" w:sz="1"/>
              <w:left w:val="single" w:color="2D3436" w:sz="1"/>
              <w:bottom w:val="single" w:color="2D3436" w:sz="1"/>
              <w:right w:val="single" w:color="2D3436" w:sz="1"/>
            </w:tcBorders>
            <w:shd w:fill="2D343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436"/>
                <w:sz w:val="19"/>
                <w:szCs w:val="19"/>
              </w:rPr>
              <w:t xml:space="preserve">masteryEngine.test.ts</w:t>
            </w:r>
          </w:p>
        </w:tc>
        <w:tc>
          <w:tcPr>
            <w:tcW w:type="dxa" w:w="1800"/>
            <w:tcBorders>
              <w:top w:val="single" w:color="CCCCCC" w:sz="1"/>
              <w:left w:val="single" w:color="CCCCCC" w:sz="1"/>
              <w:bottom w:val="single" w:color="CCCCCC" w:sz="1"/>
              <w:right w:val="single" w:color="CCCCCC" w:sz="1"/>
            </w:tcBorders>
            <w:shd w:fill="00B894" w:val="clear"/>
            <w:tcMar>
              <w:top w:type="dxa" w:w="60"/>
              <w:left w:type="dxa" w:w="80"/>
              <w:bottom w:type="dxa" w:w="60"/>
              <w:right w:type="dxa" w:w="80"/>
            </w:tcMar>
          </w:tcPr>
          <w:p>
            <w:pPr>
              <w:jc w:val="center"/>
            </w:pPr>
            <w:r>
              <w:rPr>
                <w:rFonts w:ascii="Arial" w:cs="Arial" w:eastAsia="Arial" w:hAnsi="Arial"/>
                <w:b/>
                <w:bCs/>
                <w:color w:val="FFFFFF"/>
                <w:sz w:val="20"/>
                <w:szCs w:val="20"/>
              </w:rPr>
              <w:t xml:space="preserve">PASS</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2D3436"/>
                <w:sz w:val="20"/>
                <w:szCs w:val="20"/>
              </w:rPr>
              <w:t xml:space="preserve">22 / 22</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2D3436"/>
                <w:sz w:val="19"/>
                <w:szCs w:val="19"/>
              </w:rPr>
              <w:t xml:space="preserve">All score extraction, rolling averages, gate logic, scaffold stage computations pass.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D3436"/>
                <w:sz w:val="19"/>
                <w:szCs w:val="19"/>
              </w:rPr>
              <w:t xml:space="preserve">progressionEngine.test.ts</w:t>
            </w:r>
          </w:p>
        </w:tc>
        <w:tc>
          <w:tcPr>
            <w:tcW w:type="dxa" w:w="1800"/>
            <w:tcBorders>
              <w:top w:val="single" w:color="CCCCCC" w:sz="1"/>
              <w:left w:val="single" w:color="CCCCCC" w:sz="1"/>
              <w:bottom w:val="single" w:color="CCCCCC" w:sz="1"/>
              <w:right w:val="single" w:color="CCCCCC" w:sz="1"/>
            </w:tcBorders>
            <w:shd w:fill="E17055" w:val="clear"/>
            <w:tcMar>
              <w:top w:type="dxa" w:w="60"/>
              <w:left w:type="dxa" w:w="80"/>
              <w:bottom w:type="dxa" w:w="60"/>
              <w:right w:type="dxa" w:w="80"/>
            </w:tcMar>
          </w:tcPr>
          <w:p>
            <w:pPr>
              <w:jc w:val="center"/>
            </w:pPr>
            <w:r>
              <w:rPr>
                <w:rFonts w:ascii="Arial" w:cs="Arial" w:eastAsia="Arial" w:hAnsi="Arial"/>
                <w:b/>
                <w:bCs/>
                <w:color w:val="FFFFFF"/>
                <w:sz w:val="20"/>
                <w:szCs w:val="20"/>
              </w:rPr>
              <w:t xml:space="preserve">FAIL</w:t>
            </w:r>
          </w:p>
        </w:tc>
        <w:tc>
          <w:tcPr>
            <w:tcW w:type="dxa" w:w="2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2D3436"/>
                <w:sz w:val="20"/>
                <w:szCs w:val="20"/>
              </w:rPr>
              <w:t xml:space="preserve">22 / 23</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2D3436"/>
                <w:sz w:val="19"/>
                <w:szCs w:val="19"/>
              </w:rPr>
              <w:t xml:space="preserve">1 test failing — see detail below. All other advancement, paragraph unlock, and Writing Studio unlock tests pass.</w:t>
            </w:r>
          </w:p>
        </w:tc>
      </w:tr>
    </w:tbl>
    <w:p>
      <w:pPr>
        <w:spacing w:after="0" w:before="120"/>
      </w:pPr>
      <w:r>
        <w:t xml:space="preserve"/>
      </w:r>
    </w:p>
    <w:p>
      <w:pPr>
        <w:pStyle w:val="Heading3"/>
        <w:spacing w:after="80" w:before="240"/>
      </w:pPr>
      <w:r>
        <w:rPr>
          <w:rFonts w:ascii="Arial" w:cs="Arial" w:eastAsia="Arial" w:hAnsi="Arial"/>
          <w:b/>
          <w:bCs/>
          <w:color w:val="6C5CE7"/>
          <w:sz w:val="24"/>
          <w:szCs w:val="24"/>
        </w:rPr>
        <w:t xml:space="preserve">Failing test — detail</w:t>
      </w:r>
    </w:p>
    <w:p>
      <w:pPr>
        <w:pBdr>
          <w:left w:val="single" w:color="E17055" w:sz="12"/>
        </w:pBdr>
        <w:shd w:fill="FDECEA" w:val="clear"/>
        <w:spacing w:after="80" w:before="80"/>
        <w:ind w:left="360"/>
      </w:pPr>
      <w:r>
        <w:rPr>
          <w:rFonts w:ascii="Courier New" w:cs="Courier New" w:eastAsia="Courier New" w:hAnsi="Courier New"/>
          <w:b/>
          <w:bCs/>
          <w:color w:val="E17055"/>
          <w:sz w:val="20"/>
          <w:szCs w:val="20"/>
        </w:rPr>
        <w:t xml:space="preserve">Test: </w:t>
      </w:r>
      <w:r>
        <w:rPr>
          <w:rFonts w:ascii="Courier New" w:cs="Courier New" w:eastAsia="Courier New" w:hAnsi="Courier New"/>
          <w:color w:val="2D3436"/>
          <w:sz w:val="20"/>
          <w:szCs w:val="20"/>
        </w:rPr>
        <w:t xml:space="preserve">checkParagraphMasteryUnlock — auto-unlocks at L4, no score gate</w:t>
      </w:r>
    </w:p>
    <w:p>
      <w:pPr>
        <w:pBdr>
          <w:left w:val="single" w:color="E17055" w:sz="12"/>
        </w:pBdr>
        <w:shd w:fill="FDECEA" w:val="clear"/>
        <w:spacing w:after="40" w:before="40"/>
        <w:ind w:left="360"/>
      </w:pPr>
      <w:r>
        <w:rPr>
          <w:rFonts w:ascii="Courier New" w:cs="Courier New" w:eastAsia="Courier New" w:hAnsi="Courier New"/>
          <w:b/>
          <w:bCs/>
          <w:color w:val="E17055"/>
          <w:sz w:val="20"/>
          <w:szCs w:val="20"/>
        </w:rPr>
        <w:t xml:space="preserve">Expected: </w:t>
      </w:r>
      <w:r>
        <w:rPr>
          <w:rFonts w:ascii="Courier New" w:cs="Courier New" w:eastAsia="Courier New" w:hAnsi="Courier New"/>
          <w:color w:val="2D3436"/>
          <w:sz w:val="20"/>
          <w:szCs w:val="20"/>
        </w:rPr>
        <w:t xml:space="preserve">checkParagraphMasteryUnlock(4, false, 0) → true</w:t>
      </w:r>
    </w:p>
    <w:p>
      <w:pPr>
        <w:pBdr>
          <w:left w:val="single" w:color="E17055" w:sz="12"/>
        </w:pBdr>
        <w:shd w:fill="FDECEA" w:val="clear"/>
        <w:spacing w:after="120" w:before="40"/>
        <w:ind w:left="360"/>
      </w:pPr>
      <w:r>
        <w:rPr>
          <w:rFonts w:ascii="Courier New" w:cs="Courier New" w:eastAsia="Courier New" w:hAnsi="Courier New"/>
          <w:b/>
          <w:bCs/>
          <w:color w:val="F39C12"/>
          <w:sz w:val="20"/>
          <w:szCs w:val="20"/>
        </w:rPr>
        <w:t xml:space="preserve">Received: </w:t>
      </w:r>
      <w:r>
        <w:rPr>
          <w:rFonts w:ascii="Courier New" w:cs="Courier New" w:eastAsia="Courier New" w:hAnsi="Courier New"/>
          <w:color w:val="2D3436"/>
          <w:sz w:val="20"/>
          <w:szCs w:val="20"/>
        </w:rPr>
        <w:t xml:space="preserve">false</w:t>
      </w:r>
    </w:p>
    <w:p>
      <w:pPr>
        <w:spacing w:after="120" w:before="80"/>
      </w:pPr>
      <w:r>
        <w:rPr>
          <w:rFonts w:ascii="Arial" w:cs="Arial" w:eastAsia="Arial" w:hAnsi="Arial"/>
          <w:color w:val="2D3436"/>
          <w:sz w:val="22"/>
          <w:szCs w:val="22"/>
        </w:rPr>
        <w:t xml:space="preserve">Root cause: The Phase A decision to remove score gates (replacing the old 5×80% mastery gate with a simple 3-session auto-advance model) was applied to shouldAdvance() but was not fully propagated to checkParagraphMasteryUnlock(). That function still enforces all three original criteria: level &gt;= 4 (Criterion A), gatePassed = true (Criterion B), and levelsMasteredCount &gt;= 2 (Criterion C).</w:t>
      </w:r>
    </w:p>
    <w:p>
      <w:pPr>
        <w:spacing w:after="120" w:before="80"/>
      </w:pPr>
      <w:r>
        <w:rPr>
          <w:rFonts w:ascii="Arial" w:cs="Arial" w:eastAsia="Arial" w:hAnsi="Arial"/>
          <w:color w:val="2D3436"/>
          <w:sz w:val="22"/>
          <w:szCs w:val="22"/>
        </w:rPr>
        <w:t xml:space="preserve">Under the Phase A model, a pupil who auto-advances to L4 after 3 sessions will have gatePassed = false and levelsMasteredCount = 0 or 1, so Criterion B and C always fail. The Paragraph Builder will never unlock automatically, despite the design intent that it should.</w:t>
      </w:r>
    </w:p>
    <w:p>
      <w:pPr>
        <w:pBdr>
          <w:left w:val="single" w:color="0984E3" w:sz="12"/>
        </w:pBdr>
        <w:spacing w:after="80" w:before="80"/>
        <w:ind w:left="360"/>
      </w:pPr>
      <w:r>
        <w:rPr>
          <w:rFonts w:ascii="Arial" w:cs="Arial" w:eastAsia="Arial" w:hAnsi="Arial"/>
          <w:i/>
          <w:iCs/>
          <w:color w:val="2D3436"/>
          <w:sz w:val="20"/>
          <w:szCs w:val="20"/>
        </w:rPr>
        <w:t xml:space="preserve">This is not just a test discrepancy — it is a live product bug. Any pupil who reaches L4 through the auto-advance model currently cannot access the Paragraph Builder.</w:t>
      </w:r>
    </w:p>
    <w:p>
      <w:pPr>
        <w:spacing w:after="0" w:before="80"/>
      </w:pPr>
      <w:r>
        <w:t xml:space="preserve"/>
      </w:r>
    </w:p>
    <w:p>
      <w:pPr>
        <w:pStyle w:val="Heading2"/>
        <w:pBdr>
          <w:bottom w:val="single" w:color="6C5CE7" w:sz="4" w:space="4"/>
        </w:pBdr>
        <w:spacing w:after="120" w:before="320"/>
      </w:pPr>
      <w:r>
        <w:rPr>
          <w:rFonts w:ascii="Arial" w:cs="Arial" w:eastAsia="Arial" w:hAnsi="Arial"/>
          <w:b/>
          <w:bCs/>
          <w:color w:val="2D3436"/>
          <w:sz w:val="28"/>
          <w:szCs w:val="28"/>
        </w:rPr>
        <w:t xml:space="preserve">3.2 Manual E2E Browser Test — 27 April 2026</w:t>
      </w:r>
    </w:p>
    <w:p>
      <w:pPr>
        <w:spacing w:after="120" w:before="80"/>
      </w:pPr>
      <w:r>
        <w:rPr>
          <w:rFonts w:ascii="Arial" w:cs="Arial" w:eastAsia="Arial" w:hAnsi="Arial"/>
          <w:color w:val="2D3436"/>
          <w:sz w:val="22"/>
          <w:szCs w:val="22"/>
        </w:rPr>
        <w:t xml:space="preserve">All eight core user journeys were tested against the live deployment at pwp-studio.vercel.app. The overall verdict was functional end-to-end with two blocking bugs and two development-environment-only issues.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0984E3" w:sz="1"/>
              <w:left w:val="single" w:color="0984E3" w:sz="1"/>
              <w:bottom w:val="single" w:color="0984E3" w:sz="1"/>
              <w:right w:val="single" w:color="0984E3" w:sz="1"/>
            </w:tcBorders>
            <w:shd w:fill="0984E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Page / Journey</w:t>
            </w:r>
          </w:p>
        </w:tc>
        <w:tc>
          <w:tcPr>
            <w:tcW w:type="dxa" w:w="3600"/>
            <w:tcBorders>
              <w:top w:val="single" w:color="0984E3" w:sz="1"/>
              <w:left w:val="single" w:color="0984E3" w:sz="1"/>
              <w:bottom w:val="single" w:color="0984E3" w:sz="1"/>
              <w:right w:val="single" w:color="0984E3" w:sz="1"/>
            </w:tcBorders>
            <w:shd w:fill="0984E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Outcome</w:t>
            </w:r>
          </w:p>
        </w:tc>
        <w:tc>
          <w:tcPr>
            <w:tcW w:type="dxa" w:w="2960"/>
            <w:tcBorders>
              <w:top w:val="single" w:color="0984E3" w:sz="1"/>
              <w:left w:val="single" w:color="0984E3" w:sz="1"/>
              <w:bottom w:val="single" w:color="0984E3" w:sz="1"/>
              <w:right w:val="single" w:color="0984E3" w:sz="1"/>
            </w:tcBorders>
            <w:shd w:fill="0984E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D3436"/>
                <w:sz w:val="19"/>
                <w:szCs w:val="19"/>
              </w:rPr>
              <w:t xml:space="preserve">Homepage (/)</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436"/>
                <w:sz w:val="19"/>
                <w:szCs w:val="19"/>
              </w:rPr>
              <w:t xml:space="preserve">✅ Pass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2D3436"/>
                <w:sz w:val="19"/>
                <w:szCs w:val="19"/>
              </w:rPr>
              <w:t xml:space="preserve">Landing page renders; CTAs present; no spinner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D3436"/>
                <w:sz w:val="19"/>
                <w:szCs w:val="19"/>
              </w:rPr>
              <w:t xml:space="preserve">Login (/login)</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D3436"/>
                <w:sz w:val="19"/>
                <w:szCs w:val="19"/>
              </w:rPr>
              <w:t xml:space="preserve">✅ Pass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2D3436"/>
                <w:sz w:val="19"/>
                <w:szCs w:val="19"/>
              </w:rPr>
              <w:t xml:space="preserve">Both tabs work; correct role-based redirect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D3436"/>
                <w:sz w:val="19"/>
                <w:szCs w:val="19"/>
              </w:rPr>
              <w:t xml:space="preserve">Teacher Dashboard (/teacher)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436"/>
                <w:sz w:val="19"/>
                <w:szCs w:val="19"/>
              </w:rPr>
              <w:t xml:space="preserve">✅ Pass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2D3436"/>
                <w:sz w:val="19"/>
                <w:szCs w:val="19"/>
              </w:rPr>
              <w:t xml:space="preserve">All 6 tabs functional; empty states correct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D3436"/>
                <w:sz w:val="19"/>
                <w:szCs w:val="19"/>
              </w:rPr>
              <w:t xml:space="preserve">Pupil Dashboard (/dashboard)</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D3436"/>
                <w:sz w:val="19"/>
                <w:szCs w:val="19"/>
              </w:rPr>
              <w:t xml:space="preserve">✅ Pass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2D3436"/>
                <w:sz w:val="19"/>
                <w:szCs w:val="19"/>
              </w:rPr>
              <w:t xml:space="preserve">XP, level, streak, welcome modal all present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D3436"/>
                <w:sz w:val="19"/>
                <w:szCs w:val="19"/>
              </w:rPr>
              <w:t xml:space="preserve">Formula Practice (/practice)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436"/>
                <w:sz w:val="19"/>
                <w:szCs w:val="19"/>
              </w:rPr>
              <w:t xml:space="preserve">⚠️ Partial</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2D3436"/>
                <w:sz w:val="19"/>
                <w:szCs w:val="19"/>
              </w:rPr>
              <w:t xml:space="preserve">Page loads correctly; drag-and-drop cannot be automated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D3436"/>
                <w:sz w:val="19"/>
                <w:szCs w:val="19"/>
              </w:rPr>
              <w:t xml:space="preserve">Portfolio (/portfolio)</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D3436"/>
                <w:sz w:val="19"/>
                <w:szCs w:val="19"/>
              </w:rPr>
              <w:t xml:space="preserve">✅ Pass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2D3436"/>
                <w:sz w:val="19"/>
                <w:szCs w:val="19"/>
              </w:rPr>
              <w:t xml:space="preserve">Empty state renders correctly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D3436"/>
                <w:sz w:val="19"/>
                <w:szCs w:val="19"/>
              </w:rPr>
              <w:t xml:space="preserve">Settings (/settings)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436"/>
                <w:sz w:val="19"/>
                <w:szCs w:val="19"/>
              </w:rPr>
              <w:t xml:space="preserve">✅ Pass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2D3436"/>
                <w:sz w:val="19"/>
                <w:szCs w:val="19"/>
              </w:rPr>
              <w:t xml:space="preserve">All accessibility controls present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D3436"/>
                <w:sz w:val="19"/>
                <w:szCs w:val="19"/>
              </w:rPr>
              <w:t xml:space="preserve">School Admin (/admin)</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D3436"/>
                <w:sz w:val="19"/>
                <w:szCs w:val="19"/>
              </w:rPr>
              <w:t xml:space="preserve">✅ Pass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2D3436"/>
                <w:sz w:val="19"/>
                <w:szCs w:val="19"/>
              </w:rPr>
              <w:t xml:space="preserve">All 5 tabs functional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D3436"/>
                <w:sz w:val="19"/>
                <w:szCs w:val="19"/>
              </w:rPr>
              <w:t xml:space="preserve">Parent View (/parent)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436"/>
                <w:sz w:val="19"/>
                <w:szCs w:val="19"/>
              </w:rPr>
              <w:t xml:space="preserve">✅ Pass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2D3436"/>
                <w:sz w:val="19"/>
                <w:szCs w:val="19"/>
              </w:rPr>
              <w:t xml:space="preserve">Correct empty state for unlinked account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D3436"/>
                <w:sz w:val="19"/>
                <w:szCs w:val="19"/>
              </w:rPr>
              <w:t xml:space="preserve">Onboarding (/onboarding)</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D3436"/>
                <w:sz w:val="19"/>
                <w:szCs w:val="19"/>
              </w:rPr>
              <w:t xml:space="preserve">✅ Pass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2D3436"/>
                <w:sz w:val="19"/>
                <w:szCs w:val="19"/>
              </w:rPr>
              <w:t xml:space="preserve">3-step wizard renders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D3436"/>
                <w:sz w:val="19"/>
                <w:szCs w:val="19"/>
              </w:rPr>
              <w:t xml:space="preserve">Paragraph Builder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436"/>
                <w:sz w:val="19"/>
                <w:szCs w:val="19"/>
              </w:rPr>
              <w:t xml:space="preserve">➖ Not tested</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2D3436"/>
                <w:sz w:val="19"/>
                <w:szCs w:val="19"/>
              </w:rPr>
              <w:t xml:space="preserve">Locked — test pupil at L1</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D3436"/>
                <w:sz w:val="19"/>
                <w:szCs w:val="19"/>
              </w:rPr>
              <w:t xml:space="preserve">Writing Studio</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D3436"/>
                <w:sz w:val="19"/>
                <w:szCs w:val="19"/>
              </w:rPr>
              <w:t xml:space="preserve">➖ Not tested</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2D3436"/>
                <w:sz w:val="19"/>
                <w:szCs w:val="19"/>
              </w:rPr>
              <w:t xml:space="preserve">Requires teacher assignment</w:t>
            </w:r>
          </w:p>
        </w:tc>
      </w:tr>
    </w:tbl>
    <w:p>
      <w:r>
        <w:br w:type="page"/>
      </w:r>
    </w:p>
    <w:p>
      <w:pPr>
        <w:pStyle w:val="Heading1"/>
        <w:spacing w:after="160" w:before="400"/>
      </w:pPr>
      <w:r>
        <w:rPr>
          <w:rFonts w:ascii="Arial" w:cs="Arial" w:eastAsia="Arial" w:hAnsi="Arial"/>
          <w:b/>
          <w:bCs/>
          <w:color w:val="6C5CE7"/>
          <w:sz w:val="36"/>
          <w:szCs w:val="36"/>
        </w:rPr>
        <w:t xml:space="preserve">4. Bug Register &amp; Root Cause Analysis</w:t>
      </w:r>
    </w:p>
    <w:p>
      <w:pPr>
        <w:spacing w:after="120" w:before="80"/>
      </w:pPr>
      <w:r>
        <w:rPr>
          <w:rFonts w:ascii="Arial" w:cs="Arial" w:eastAsia="Arial" w:hAnsi="Arial"/>
          <w:color w:val="2D3436"/>
          <w:sz w:val="22"/>
          <w:szCs w:val="22"/>
        </w:rPr>
        <w:t xml:space="preserve">The following bugs are outstanding across the unit test failure and the E2E report. They are ranked by product impact.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2400"/>
        <w:gridCol w:w="1800"/>
        <w:gridCol w:w="3000"/>
      </w:tblGrid>
      <w:tr>
        <w:trPr>
          <w:tblHeader/>
        </w:trPr>
        <w:tc>
          <w:tcPr>
            <w:tcW w:type="dxa" w:w="720"/>
            <w:tcBorders>
              <w:top w:val="single" w:color="E17055" w:sz="1"/>
              <w:left w:val="single" w:color="E17055" w:sz="1"/>
              <w:bottom w:val="single" w:color="E17055" w:sz="1"/>
              <w:right w:val="single" w:color="E17055" w:sz="1"/>
            </w:tcBorders>
            <w:shd w:fill="E170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ID</w:t>
            </w:r>
          </w:p>
        </w:tc>
        <w:tc>
          <w:tcPr>
            <w:tcW w:type="dxa" w:w="1440"/>
            <w:tcBorders>
              <w:top w:val="single" w:color="E17055" w:sz="1"/>
              <w:left w:val="single" w:color="E17055" w:sz="1"/>
              <w:bottom w:val="single" w:color="E17055" w:sz="1"/>
              <w:right w:val="single" w:color="E17055" w:sz="1"/>
            </w:tcBorders>
            <w:shd w:fill="E170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Severity</w:t>
            </w:r>
          </w:p>
        </w:tc>
        <w:tc>
          <w:tcPr>
            <w:tcW w:type="dxa" w:w="2400"/>
            <w:tcBorders>
              <w:top w:val="single" w:color="E17055" w:sz="1"/>
              <w:left w:val="single" w:color="E17055" w:sz="1"/>
              <w:bottom w:val="single" w:color="E17055" w:sz="1"/>
              <w:right w:val="single" w:color="E17055" w:sz="1"/>
            </w:tcBorders>
            <w:shd w:fill="E170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Description</w:t>
            </w:r>
          </w:p>
        </w:tc>
        <w:tc>
          <w:tcPr>
            <w:tcW w:type="dxa" w:w="1800"/>
            <w:tcBorders>
              <w:top w:val="single" w:color="E17055" w:sz="1"/>
              <w:left w:val="single" w:color="E17055" w:sz="1"/>
              <w:bottom w:val="single" w:color="E17055" w:sz="1"/>
              <w:right w:val="single" w:color="E17055" w:sz="1"/>
            </w:tcBorders>
            <w:shd w:fill="E170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Component</w:t>
            </w:r>
          </w:p>
        </w:tc>
        <w:tc>
          <w:tcPr>
            <w:tcW w:type="dxa" w:w="3000"/>
            <w:tcBorders>
              <w:top w:val="single" w:color="E17055" w:sz="1"/>
              <w:left w:val="single" w:color="E17055" w:sz="1"/>
              <w:bottom w:val="single" w:color="E17055" w:sz="1"/>
              <w:right w:val="single" w:color="E17055" w:sz="1"/>
            </w:tcBorders>
            <w:shd w:fill="E170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Recommended Fix</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D3436"/>
                <w:sz w:val="18"/>
                <w:szCs w:val="18"/>
              </w:rPr>
              <w:t xml:space="preserve">BUG-005</w:t>
            </w:r>
          </w:p>
        </w:tc>
        <w:tc>
          <w:tcPr>
            <w:tcW w:type="dxa" w:w="1440"/>
            <w:tcBorders>
              <w:top w:val="single" w:color="CCCCCC" w:sz="1"/>
              <w:left w:val="single" w:color="CCCCCC" w:sz="1"/>
              <w:bottom w:val="single" w:color="CCCCCC" w:sz="1"/>
              <w:right w:val="single" w:color="CCCCCC" w:sz="1"/>
            </w:tcBorders>
            <w:shd w:fill="E17055" w:val="clear"/>
            <w:tcMar>
              <w:top w:type="dxa" w:w="60"/>
              <w:left w:type="dxa" w:w="80"/>
              <w:bottom w:type="dxa" w:w="60"/>
              <w:right w:type="dxa" w:w="80"/>
            </w:tcMar>
          </w:tcPr>
          <w:p>
            <w:pPr>
              <w:jc w:val="center"/>
            </w:pPr>
            <w:r>
              <w:rPr>
                <w:rFonts w:ascii="Arial" w:cs="Arial" w:eastAsia="Arial" w:hAnsi="Arial"/>
                <w:b/>
                <w:bCs/>
                <w:color w:val="FFFFFF"/>
                <w:sz w:val="18"/>
                <w:szCs w:val="18"/>
              </w:rPr>
              <w:t xml:space="preserve">CRITICAL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19"/>
                <w:szCs w:val="19"/>
              </w:rPr>
              <w:t xml:space="preserve">checkParagraphMasteryUnlock() returns false at L4 when gatePassed=false — Paragraph Builder never auto-unlocks under Phase A model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19"/>
                <w:szCs w:val="19"/>
              </w:rPr>
              <w:t xml:space="preserve">progressionEngine.ts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2D3436"/>
                <w:sz w:val="19"/>
                <w:szCs w:val="19"/>
              </w:rPr>
              <w:t xml:space="preserve">Remove Criterion B (gatePassed) and Criterion C (levelsMasteredCount &gt;= 2) from the function. Unlock at level &gt;= 4 only. Update test to document the decision.</w:t>
            </w:r>
          </w:p>
        </w:tc>
      </w:tr>
      <w:tr>
        <w:tc>
          <w:tcPr>
            <w:tcW w:type="dxa" w:w="7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D3436"/>
                <w:sz w:val="18"/>
                <w:szCs w:val="18"/>
              </w:rPr>
              <w:t xml:space="preserve">BUG-002</w:t>
            </w:r>
          </w:p>
        </w:tc>
        <w:tc>
          <w:tcPr>
            <w:tcW w:type="dxa" w:w="1440"/>
            <w:tcBorders>
              <w:top w:val="single" w:color="CCCCCC" w:sz="1"/>
              <w:left w:val="single" w:color="CCCCCC" w:sz="1"/>
              <w:bottom w:val="single" w:color="CCCCCC" w:sz="1"/>
              <w:right w:val="single" w:color="CCCCCC" w:sz="1"/>
            </w:tcBorders>
            <w:shd w:fill="F5A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HIGH</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D3436"/>
                <w:sz w:val="19"/>
                <w:szCs w:val="19"/>
              </w:rPr>
              <w:t xml:space="preserve">New pupils have no pupil_progress row — FormulaPage throws "Could not load your formula" immediately after account creation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D3436"/>
                <w:sz w:val="19"/>
                <w:szCs w:val="19"/>
              </w:rPr>
              <w:t xml:space="preserve">DB / useFormulaLevel.ts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2D3436"/>
                <w:sz w:val="19"/>
                <w:szCs w:val="19"/>
              </w:rPr>
              <w:t xml:space="preserve">Add Postgres trigger on INSERT INTO profiles (where role = pupil) to auto-create a pupil_progress row with current_formula_level = 1, total_xp = 0. Alternatively, handle the missing row in useFormulaLevel and create it on first visit.</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D3436"/>
                <w:sz w:val="18"/>
                <w:szCs w:val="18"/>
              </w:rPr>
              <w:t xml:space="preserve">BUG-001</w:t>
            </w:r>
          </w:p>
        </w:tc>
        <w:tc>
          <w:tcPr>
            <w:tcW w:type="dxa" w:w="1440"/>
            <w:tcBorders>
              <w:top w:val="single" w:color="CCCCCC" w:sz="1"/>
              <w:left w:val="single" w:color="CCCCCC" w:sz="1"/>
              <w:bottom w:val="single" w:color="CCCCCC" w:sz="1"/>
              <w:right w:val="single" w:color="CCCCCC" w:sz="1"/>
            </w:tcBorders>
            <w:shd w:fill="F39C12" w:val="clear"/>
            <w:tcMar>
              <w:top w:type="dxa" w:w="60"/>
              <w:left w:type="dxa" w:w="80"/>
              <w:bottom w:type="dxa" w:w="60"/>
              <w:right w:type="dxa" w:w="80"/>
            </w:tcMar>
          </w:tcPr>
          <w:p>
            <w:pPr>
              <w:jc w:val="center"/>
            </w:pPr>
            <w:r>
              <w:rPr>
                <w:rFonts w:ascii="Arial" w:cs="Arial" w:eastAsia="Arial" w:hAnsi="Arial"/>
                <w:b/>
                <w:bCs/>
                <w:color w:val="FFFFFF"/>
                <w:sz w:val="18"/>
                <w:szCs w:val="18"/>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19"/>
                <w:szCs w:val="19"/>
              </w:rPr>
              <w:t xml:space="preserve">Cold-start hard-navigate to pupil sub-pages (/practice, /paragraph, /studio) redirects to /dashboard after 5s auth timeout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19"/>
                <w:szCs w:val="19"/>
              </w:rPr>
              <w:t xml:space="preserve">App.tsx / AuthInitialiser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2D3436"/>
                <w:sz w:val="19"/>
                <w:szCs w:val="19"/>
              </w:rPr>
              <w:t xml:space="preserve">Persist the last-known profile to localStorage on successful fetch. On cold start, read the cached profile immediately so ProtectedRoute renders the page, then refresh from DB in the background (stale-while-revalidate).</w:t>
            </w:r>
          </w:p>
        </w:tc>
      </w:tr>
      <w:tr>
        <w:tc>
          <w:tcPr>
            <w:tcW w:type="dxa" w:w="7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2D3436"/>
                <w:sz w:val="18"/>
                <w:szCs w:val="18"/>
              </w:rPr>
              <w:t xml:space="preserve">BUG-003</w:t>
            </w:r>
          </w:p>
        </w:tc>
        <w:tc>
          <w:tcPr>
            <w:tcW w:type="dxa" w:w="1440"/>
            <w:tcBorders>
              <w:top w:val="single" w:color="CCCCCC" w:sz="1"/>
              <w:left w:val="single" w:color="CCCCCC" w:sz="1"/>
              <w:bottom w:val="single" w:color="CCCCCC" w:sz="1"/>
              <w:right w:val="single" w:color="CCCCCC" w:sz="1"/>
            </w:tcBorders>
            <w:shd w:fill="E0E0E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LOW</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D3436"/>
                <w:sz w:val="19"/>
                <w:szCs w:val="19"/>
              </w:rPr>
              <w:t xml:space="preserve">SQL-seeded auth.users rows with NULL token columns fail GoTrue login with HTTP 500</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D3436"/>
                <w:sz w:val="19"/>
                <w:szCs w:val="19"/>
              </w:rPr>
              <w:t xml:space="preserve">supabase/seed.sql (dev only)</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2D3436"/>
                <w:sz w:val="19"/>
                <w:szCs w:val="19"/>
              </w:rPr>
              <w:t xml:space="preserve">Always set confirmation_token, recovery_token, email_change_token_new to empty string (’’) rather than NULL when seeding test users via SQL. Fixed in seed.sql this session but should be added to developer docs.</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D3436"/>
                <w:sz w:val="18"/>
                <w:szCs w:val="18"/>
              </w:rPr>
              <w:t xml:space="preserve">BUG-004</w:t>
            </w:r>
          </w:p>
        </w:tc>
        <w:tc>
          <w:tcPr>
            <w:tcW w:type="dxa" w:w="1440"/>
            <w:tcBorders>
              <w:top w:val="single" w:color="CCCCCC" w:sz="1"/>
              <w:left w:val="single" w:color="CCCCCC" w:sz="1"/>
              <w:bottom w:val="single" w:color="CCCCCC" w:sz="1"/>
              <w:right w:val="single" w:color="CCCCCC" w:sz="1"/>
            </w:tcBorders>
            <w:shd w:fill="E0E0E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19"/>
                <w:szCs w:val="19"/>
              </w:rPr>
              <w:t xml:space="preserve">Sign-up email validation rejects test domains (@testschool.edu, @testschool.com)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19"/>
                <w:szCs w:val="19"/>
              </w:rPr>
              <w:t xml:space="preserve">Supabase Auth config (dev/test)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2D3436"/>
                <w:sz w:val="19"/>
                <w:szCs w:val="19"/>
              </w:rPr>
              <w:t xml:space="preserve">These domains appear on Supabase’s blocklist. Use .sch.uk or real school domains for integration testing. Not a product bug — document in the test guide.</w:t>
            </w:r>
          </w:p>
        </w:tc>
      </w:tr>
    </w:tbl>
    <w:p>
      <w:pPr>
        <w:spacing w:after="0" w:before="120"/>
      </w:pPr>
      <w:r>
        <w:t xml:space="preserve"/>
      </w:r>
    </w:p>
    <w:p>
      <w:pPr>
        <w:pStyle w:val="Heading2"/>
        <w:pBdr>
          <w:bottom w:val="single" w:color="6C5CE7" w:sz="4" w:space="4"/>
        </w:pBdr>
        <w:spacing w:after="120" w:before="320"/>
      </w:pPr>
      <w:r>
        <w:rPr>
          <w:rFonts w:ascii="Arial" w:cs="Arial" w:eastAsia="Arial" w:hAnsi="Arial"/>
          <w:b/>
          <w:bCs/>
          <w:color w:val="2D3436"/>
          <w:sz w:val="28"/>
          <w:szCs w:val="28"/>
        </w:rPr>
        <w:t xml:space="preserve">Drag-and-drop test coverage gap</w:t>
      </w:r>
    </w:p>
    <w:p>
      <w:pPr>
        <w:spacing w:after="120" w:before="80"/>
      </w:pPr>
      <w:r>
        <w:rPr>
          <w:rFonts w:ascii="Arial" w:cs="Arial" w:eastAsia="Arial" w:hAnsi="Arial"/>
          <w:color w:val="2D3436"/>
          <w:sz w:val="22"/>
          <w:szCs w:val="22"/>
        </w:rPr>
        <w:t xml:space="preserve">The @dnd-kit library requires a genuine pointer device (real or Playwright-simulated mouse events) to activate its drag sensor. Automated browser testing using simulated events cannot exercise the tile-placement workflow. This is not a bug but a test infrastructure gap. Two mitigations are recommended: (1) add a keyboard-accessible "Quick fill" button to FormulaBuilder that places tiles into slots without drag-and-drop, satisfying both accessibility (WCAG 2.1) and testability requirements; (2) add Playwright tests that use the mouse move/down/up sequence, which @dnd-kit's pointer sensor can detect.</w:t>
      </w:r>
    </w:p>
    <w:p>
      <w:r>
        <w:br w:type="page"/>
      </w:r>
    </w:p>
    <w:p>
      <w:pPr>
        <w:pStyle w:val="Heading1"/>
        <w:spacing w:after="160" w:before="400"/>
      </w:pPr>
      <w:r>
        <w:rPr>
          <w:rFonts w:ascii="Arial" w:cs="Arial" w:eastAsia="Arial" w:hAnsi="Arial"/>
          <w:b/>
          <w:bCs/>
          <w:color w:val="6C5CE7"/>
          <w:sz w:val="36"/>
          <w:szCs w:val="36"/>
        </w:rPr>
        <w:t xml:space="preserve">5. Pedagogical Alignment — Classroom Practice vs App Implementation</w:t>
      </w:r>
    </w:p>
    <w:p>
      <w:pPr>
        <w:spacing w:after="120" w:before="80"/>
      </w:pPr>
      <w:r>
        <w:rPr>
          <w:rFonts w:ascii="Arial" w:cs="Arial" w:eastAsia="Arial" w:hAnsi="Arial"/>
          <w:color w:val="2D3436"/>
          <w:sz w:val="22"/>
          <w:szCs w:val="22"/>
        </w:rPr>
        <w:t xml:space="preserve">This section uses the classroom example document submitted by Michael to assess whether the app faithfully captures the WriFe method. The verdict is that the app has implemented a structurally different model — not a refinement of the classroom practice, but a parallel approach that diverges on almost every foundational point. The gaps are documented in full below so that each one can be addressed in a planned sprint.</w:t>
      </w:r>
    </w:p>
    <w:p>
      <w:pPr>
        <w:spacing w:after="0" w:before="80"/>
      </w:pPr>
      <w:r>
        <w:t xml:space="preserve"/>
      </w:r>
    </w:p>
    <w:p>
      <w:pPr>
        <w:pStyle w:val="Heading2"/>
        <w:pBdr>
          <w:bottom w:val="single" w:color="6C5CE7" w:sz="4" w:space="4"/>
        </w:pBdr>
        <w:spacing w:after="120" w:before="320"/>
      </w:pPr>
      <w:r>
        <w:rPr>
          <w:rFonts w:ascii="Arial" w:cs="Arial" w:eastAsia="Arial" w:hAnsi="Arial"/>
          <w:b/>
          <w:bCs/>
          <w:color w:val="2D3436"/>
          <w:sz w:val="28"/>
          <w:szCs w:val="28"/>
        </w:rPr>
        <w:t xml:space="preserve">5.1 The classroom model — what the document shows</w:t>
      </w:r>
    </w:p>
    <w:p>
      <w:pPr>
        <w:spacing w:after="120" w:before="80"/>
      </w:pPr>
      <w:r>
        <w:rPr>
          <w:rFonts w:ascii="Arial" w:cs="Arial" w:eastAsia="Arial" w:hAnsi="Arial"/>
          <w:color w:val="2D3436"/>
          <w:sz w:val="22"/>
          <w:szCs w:val="22"/>
        </w:rPr>
        <w:t xml:space="preserve">The class example (subject: Ben) demonstrates a nine-step progression from simple sentence through to paragraph composition. The full sequence is reproduced below exactly as taught: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3160"/>
        <w:gridCol w:w="5760"/>
      </w:tblGrid>
      <w:tr>
        <w:trPr>
          <w:tblHeader/>
        </w:trPr>
        <w:tc>
          <w:tcPr>
            <w:tcW w:type="dxa" w:w="440"/>
            <w:tcBorders>
              <w:top w:val="single" w:color="6C5CE7" w:sz="1"/>
              <w:left w:val="single" w:color="6C5CE7" w:sz="1"/>
              <w:bottom w:val="single" w:color="6C5CE7" w:sz="1"/>
              <w:right w:val="single" w:color="6C5CE7" w:sz="1"/>
            </w:tcBorders>
            <w:shd w:fill="6C5CE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Step</w:t>
            </w:r>
          </w:p>
        </w:tc>
        <w:tc>
          <w:tcPr>
            <w:tcW w:type="dxa" w:w="3160"/>
            <w:tcBorders>
              <w:top w:val="single" w:color="6C5CE7" w:sz="1"/>
              <w:left w:val="single" w:color="6C5CE7" w:sz="1"/>
              <w:bottom w:val="single" w:color="6C5CE7" w:sz="1"/>
              <w:right w:val="single" w:color="6C5CE7" w:sz="1"/>
            </w:tcBorders>
            <w:shd w:fill="6C5CE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Formula pattern</w:t>
            </w:r>
          </w:p>
        </w:tc>
        <w:tc>
          <w:tcPr>
            <w:tcW w:type="dxa" w:w="5760"/>
            <w:tcBorders>
              <w:top w:val="single" w:color="6C5CE7" w:sz="1"/>
              <w:left w:val="single" w:color="6C5CE7" w:sz="1"/>
              <w:bottom w:val="single" w:color="6C5CE7" w:sz="1"/>
              <w:right w:val="single" w:color="6C5CE7" w:sz="1"/>
            </w:tcBorders>
            <w:shd w:fill="6C5CE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Example sentence</w:t>
            </w:r>
          </w:p>
        </w:tc>
      </w:tr>
      <w:tr>
        <w:tc>
          <w:tcPr>
            <w:tcW w:type="dxa" w:w="440"/>
            <w:tcBorders>
              <w:top w:val="single" w:color="CCCCCC" w:sz="1"/>
              <w:left w:val="single" w:color="CCCCCC" w:sz="1"/>
              <w:bottom w:val="single" w:color="CCCCCC" w:sz="1"/>
              <w:right w:val="single" w:color="CCCCCC" w:sz="1"/>
            </w:tcBorders>
            <w:shd w:fill="6C5CE7"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D3436"/>
                <w:sz w:val="18"/>
                <w:szCs w:val="18"/>
              </w:rPr>
              <w:t xml:space="preserve">subject + verb + prep + det + object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2D3436"/>
                <w:sz w:val="19"/>
                <w:szCs w:val="19"/>
              </w:rPr>
              <w:t xml:space="preserve">"Ben is on a pavement."</w:t>
            </w:r>
          </w:p>
        </w:tc>
      </w:tr>
      <w:tr>
        <w:tc>
          <w:tcPr>
            <w:tcW w:type="dxa" w:w="440"/>
            <w:tcBorders>
              <w:top w:val="single" w:color="CCCCCC" w:sz="1"/>
              <w:left w:val="single" w:color="CCCCCC" w:sz="1"/>
              <w:bottom w:val="single" w:color="CCCCCC" w:sz="1"/>
              <w:right w:val="single" w:color="CCCCCC" w:sz="1"/>
            </w:tcBorders>
            <w:shd w:fill="6C5CE7" w:val="clear"/>
            <w:tcMar>
              <w:top w:type="dxa" w:w="60"/>
              <w:left w:type="dxa" w:w="80"/>
              <w:bottom w:type="dxa" w:w="60"/>
              <w:right w:type="dxa" w:w="80"/>
            </w:tcMar>
          </w:tcPr>
          <w:p>
            <w:pPr>
              <w:jc w:val="center"/>
            </w:pPr>
            <w:r>
              <w:rPr>
                <w:rFonts w:ascii="Arial" w:cs="Arial" w:eastAsia="Arial" w:hAnsi="Arial"/>
                <w:b/>
                <w:bCs/>
                <w:color w:val="FFFFFF"/>
                <w:sz w:val="20"/>
                <w:szCs w:val="20"/>
              </w:rPr>
              <w:t xml:space="preserve">2</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color w:val="2D3436"/>
                <w:sz w:val="18"/>
                <w:szCs w:val="18"/>
              </w:rPr>
              <w:t xml:space="preserve">+ adj (before object)</w:t>
            </w:r>
          </w:p>
        </w:tc>
        <w:tc>
          <w:tcPr>
            <w:tcW w:type="dxa" w:w="5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2D3436"/>
                <w:sz w:val="19"/>
                <w:szCs w:val="19"/>
              </w:rPr>
              <w:t xml:space="preserve">"Ben is on a street pavement."</w:t>
            </w:r>
          </w:p>
        </w:tc>
      </w:tr>
      <w:tr>
        <w:tc>
          <w:tcPr>
            <w:tcW w:type="dxa" w:w="440"/>
            <w:tcBorders>
              <w:top w:val="single" w:color="CCCCCC" w:sz="1"/>
              <w:left w:val="single" w:color="CCCCCC" w:sz="1"/>
              <w:bottom w:val="single" w:color="CCCCCC" w:sz="1"/>
              <w:right w:val="single" w:color="CCCCCC" w:sz="1"/>
            </w:tcBorders>
            <w:shd w:fill="6C5CE7" w:val="clear"/>
            <w:tcMar>
              <w:top w:type="dxa" w:w="60"/>
              <w:left w:type="dxa" w:w="80"/>
              <w:bottom w:type="dxa" w:w="60"/>
              <w:right w:type="dxa" w:w="80"/>
            </w:tcMar>
          </w:tcPr>
          <w:p>
            <w:pPr>
              <w:jc w:val="center"/>
            </w:pPr>
            <w:r>
              <w:rPr>
                <w:rFonts w:ascii="Arial" w:cs="Arial" w:eastAsia="Arial" w:hAnsi="Arial"/>
                <w:b/>
                <w:bCs/>
                <w:color w:val="FFFFFF"/>
                <w:sz w:val="20"/>
                <w:szCs w:val="20"/>
              </w:rPr>
              <w:t xml:space="preserve">3</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D3436"/>
                <w:sz w:val="18"/>
                <w:szCs w:val="18"/>
              </w:rPr>
              <w:t xml:space="preserve">+ adv (in verb phrase); verb goes continuous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2D3436"/>
                <w:sz w:val="19"/>
                <w:szCs w:val="19"/>
              </w:rPr>
              <w:t xml:space="preserve">"Ben is walking quickly on a street pavement."</w:t>
            </w:r>
          </w:p>
        </w:tc>
      </w:tr>
      <w:tr>
        <w:tc>
          <w:tcPr>
            <w:tcW w:type="dxa" w:w="440"/>
            <w:tcBorders>
              <w:top w:val="single" w:color="CCCCCC" w:sz="1"/>
              <w:left w:val="single" w:color="CCCCCC" w:sz="1"/>
              <w:bottom w:val="single" w:color="CCCCCC" w:sz="1"/>
              <w:right w:val="single" w:color="CCCCCC" w:sz="1"/>
            </w:tcBorders>
            <w:shd w:fill="6C5CE7" w:val="clear"/>
            <w:tcMar>
              <w:top w:type="dxa" w:w="60"/>
              <w:left w:type="dxa" w:w="80"/>
              <w:bottom w:type="dxa" w:w="60"/>
              <w:right w:type="dxa" w:w="80"/>
            </w:tcMar>
          </w:tcPr>
          <w:p>
            <w:pPr>
              <w:jc w:val="center"/>
            </w:pPr>
            <w:r>
              <w:rPr>
                <w:rFonts w:ascii="Arial" w:cs="Arial" w:eastAsia="Arial" w:hAnsi="Arial"/>
                <w:b/>
                <w:bCs/>
                <w:color w:val="FFFFFF"/>
                <w:sz w:val="20"/>
                <w:szCs w:val="20"/>
              </w:rPr>
              <w:t xml:space="preserve">4</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color w:val="2D3436"/>
                <w:sz w:val="18"/>
                <w:szCs w:val="18"/>
              </w:rPr>
              <w:t xml:space="preserve">+ det + adj (expanded noun phrase wrapping subject)</w:t>
            </w:r>
          </w:p>
        </w:tc>
        <w:tc>
          <w:tcPr>
            <w:tcW w:type="dxa" w:w="5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2D3436"/>
                <w:sz w:val="19"/>
                <w:szCs w:val="19"/>
              </w:rPr>
              <w:t xml:space="preserve">"The smart Ben is walking quickly on a street pavement."</w:t>
            </w:r>
          </w:p>
        </w:tc>
      </w:tr>
      <w:tr>
        <w:tc>
          <w:tcPr>
            <w:tcW w:type="dxa" w:w="440"/>
            <w:tcBorders>
              <w:top w:val="single" w:color="CCCCCC" w:sz="1"/>
              <w:left w:val="single" w:color="CCCCCC" w:sz="1"/>
              <w:bottom w:val="single" w:color="CCCCCC" w:sz="1"/>
              <w:right w:val="single" w:color="CCCCCC" w:sz="1"/>
            </w:tcBorders>
            <w:shd w:fill="6C5CE7" w:val="clear"/>
            <w:tcMar>
              <w:top w:type="dxa" w:w="60"/>
              <w:left w:type="dxa" w:w="80"/>
              <w:bottom w:type="dxa" w:w="60"/>
              <w:right w:type="dxa" w:w="80"/>
            </w:tcMar>
          </w:tcPr>
          <w:p>
            <w:pPr>
              <w:jc w:val="center"/>
            </w:pPr>
            <w:r>
              <w:rPr>
                <w:rFonts w:ascii="Arial" w:cs="Arial" w:eastAsia="Arial" w:hAnsi="Arial"/>
                <w:b/>
                <w:bCs/>
                <w:color w:val="FFFFFF"/>
                <w:sz w:val="20"/>
                <w:szCs w:val="20"/>
              </w:rPr>
              <w:t xml:space="preserve">5</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D3436"/>
                <w:sz w:val="18"/>
                <w:szCs w:val="18"/>
              </w:rPr>
              <w:t xml:space="preserve">+ fronted adverbial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2D3436"/>
                <w:sz w:val="19"/>
                <w:szCs w:val="19"/>
              </w:rPr>
              <w:t xml:space="preserve">"At the moment, the smart Ben is walking quickly on a street pavement."</w:t>
            </w:r>
          </w:p>
        </w:tc>
      </w:tr>
      <w:tr>
        <w:tc>
          <w:tcPr>
            <w:tcW w:type="dxa" w:w="440"/>
            <w:tcBorders>
              <w:top w:val="single" w:color="CCCCCC" w:sz="1"/>
              <w:left w:val="single" w:color="CCCCCC" w:sz="1"/>
              <w:bottom w:val="single" w:color="CCCCCC" w:sz="1"/>
              <w:right w:val="single" w:color="CCCCCC" w:sz="1"/>
            </w:tcBorders>
            <w:shd w:fill="6C5CE7" w:val="clear"/>
            <w:tcMar>
              <w:top w:type="dxa" w:w="60"/>
              <w:left w:type="dxa" w:w="80"/>
              <w:bottom w:type="dxa" w:w="60"/>
              <w:right w:type="dxa" w:w="80"/>
            </w:tcMar>
          </w:tcPr>
          <w:p>
            <w:pPr>
              <w:jc w:val="center"/>
            </w:pPr>
            <w:r>
              <w:rPr>
                <w:rFonts w:ascii="Arial" w:cs="Arial" w:eastAsia="Arial" w:hAnsi="Arial"/>
                <w:b/>
                <w:bCs/>
                <w:color w:val="FFFFFF"/>
                <w:sz w:val="20"/>
                <w:szCs w:val="20"/>
              </w:rPr>
              <w:t xml:space="preserve">6</w:t>
            </w:r>
          </w:p>
        </w:tc>
        <w:tc>
          <w:tcPr>
            <w:tcW w:type="dxa" w:w="3160"/>
            <w:tcBorders>
              <w:top w:val="single" w:color="CCCCCC" w:sz="1"/>
              <w:left w:val="single" w:color="CCCCCC" w:sz="1"/>
              <w:bottom w:val="single" w:color="CCCCCC" w:sz="1"/>
              <w:right w:val="single" w:color="CCCCCC" w:sz="1"/>
            </w:tcBorders>
            <w:shd w:fill="EDE9FF" w:val="clear"/>
            <w:tcMar>
              <w:top w:type="dxa" w:w="60"/>
              <w:left w:type="dxa" w:w="100"/>
              <w:bottom w:type="dxa" w:w="60"/>
              <w:right w:type="dxa" w:w="100"/>
            </w:tcMar>
          </w:tcPr>
          <w:p>
            <w:r>
              <w:rPr>
                <w:rFonts w:ascii="Courier New" w:cs="Courier New" w:eastAsia="Courier New" w:hAnsi="Courier New"/>
                <w:color w:val="2D3436"/>
                <w:sz w:val="18"/>
                <w:szCs w:val="18"/>
              </w:rPr>
              <w:t xml:space="preserve">Main clause + comma + conjunction + main clause (compound)</w:t>
            </w:r>
          </w:p>
        </w:tc>
        <w:tc>
          <w:tcPr>
            <w:tcW w:type="dxa" w:w="5760"/>
            <w:tcBorders>
              <w:top w:val="single" w:color="CCCCCC" w:sz="1"/>
              <w:left w:val="single" w:color="CCCCCC" w:sz="1"/>
              <w:bottom w:val="single" w:color="CCCCCC" w:sz="1"/>
              <w:right w:val="single" w:color="CCCCCC" w:sz="1"/>
            </w:tcBorders>
            <w:shd w:fill="EDE9FF" w:val="clear"/>
            <w:tcMar>
              <w:top w:type="dxa" w:w="60"/>
              <w:left w:type="dxa" w:w="100"/>
              <w:bottom w:type="dxa" w:w="60"/>
              <w:right w:type="dxa" w:w="100"/>
            </w:tcMar>
          </w:tcPr>
          <w:p>
            <w:r>
              <w:rPr>
                <w:rFonts w:ascii="Arial" w:cs="Arial" w:eastAsia="Arial" w:hAnsi="Arial"/>
                <w:i/>
                <w:iCs/>
                <w:color w:val="2D3436"/>
                <w:sz w:val="19"/>
                <w:szCs w:val="19"/>
              </w:rPr>
              <w:t xml:space="preserve">Two independent clauses joined with and / but / so.</w:t>
            </w:r>
          </w:p>
        </w:tc>
      </w:tr>
      <w:tr>
        <w:tc>
          <w:tcPr>
            <w:tcW w:type="dxa" w:w="440"/>
            <w:tcBorders>
              <w:top w:val="single" w:color="CCCCCC" w:sz="1"/>
              <w:left w:val="single" w:color="CCCCCC" w:sz="1"/>
              <w:bottom w:val="single" w:color="CCCCCC" w:sz="1"/>
              <w:right w:val="single" w:color="CCCCCC" w:sz="1"/>
            </w:tcBorders>
            <w:shd w:fill="6C5CE7" w:val="clear"/>
            <w:tcMar>
              <w:top w:type="dxa" w:w="60"/>
              <w:left w:type="dxa" w:w="80"/>
              <w:bottom w:type="dxa" w:w="60"/>
              <w:right w:type="dxa" w:w="80"/>
            </w:tcMar>
          </w:tcPr>
          <w:p>
            <w:pPr>
              <w:jc w:val="center"/>
            </w:pPr>
            <w:r>
              <w:rPr>
                <w:rFonts w:ascii="Arial" w:cs="Arial" w:eastAsia="Arial" w:hAnsi="Arial"/>
                <w:b/>
                <w:bCs/>
                <w:color w:val="FFFFFF"/>
                <w:sz w:val="20"/>
                <w:szCs w:val="20"/>
              </w:rPr>
              <w:t xml:space="preserve">7</w:t>
            </w:r>
          </w:p>
        </w:tc>
        <w:tc>
          <w:tcPr>
            <w:tcW w:type="dxa" w:w="3160"/>
            <w:tcBorders>
              <w:top w:val="single" w:color="CCCCCC" w:sz="1"/>
              <w:left w:val="single" w:color="CCCCCC" w:sz="1"/>
              <w:bottom w:val="single" w:color="CCCCCC" w:sz="1"/>
              <w:right w:val="single" w:color="CCCCCC" w:sz="1"/>
            </w:tcBorders>
            <w:shd w:fill="EDE9FF" w:val="clear"/>
            <w:tcMar>
              <w:top w:type="dxa" w:w="60"/>
              <w:left w:type="dxa" w:w="100"/>
              <w:bottom w:type="dxa" w:w="60"/>
              <w:right w:type="dxa" w:w="100"/>
            </w:tcMar>
          </w:tcPr>
          <w:p>
            <w:r>
              <w:rPr>
                <w:rFonts w:ascii="Courier New" w:cs="Courier New" w:eastAsia="Courier New" w:hAnsi="Courier New"/>
                <w:color w:val="2D3436"/>
                <w:sz w:val="18"/>
                <w:szCs w:val="18"/>
              </w:rPr>
              <w:t xml:space="preserve">Independent clause + conjunction + dependent clause (complex)</w:t>
            </w:r>
          </w:p>
        </w:tc>
        <w:tc>
          <w:tcPr>
            <w:tcW w:type="dxa" w:w="5760"/>
            <w:tcBorders>
              <w:top w:val="single" w:color="CCCCCC" w:sz="1"/>
              <w:left w:val="single" w:color="CCCCCC" w:sz="1"/>
              <w:bottom w:val="single" w:color="CCCCCC" w:sz="1"/>
              <w:right w:val="single" w:color="CCCCCC" w:sz="1"/>
            </w:tcBorders>
            <w:shd w:fill="EDE9FF" w:val="clear"/>
            <w:tcMar>
              <w:top w:type="dxa" w:w="60"/>
              <w:left w:type="dxa" w:w="100"/>
              <w:bottom w:type="dxa" w:w="60"/>
              <w:right w:type="dxa" w:w="100"/>
            </w:tcMar>
          </w:tcPr>
          <w:p>
            <w:r>
              <w:rPr>
                <w:rFonts w:ascii="Arial" w:cs="Arial" w:eastAsia="Arial" w:hAnsi="Arial"/>
                <w:i/>
                <w:iCs/>
                <w:color w:val="2D3436"/>
                <w:sz w:val="19"/>
                <w:szCs w:val="19"/>
              </w:rPr>
              <w:t xml:space="preserve">Subordinating conjunction mid-sentence.</w:t>
            </w:r>
          </w:p>
        </w:tc>
      </w:tr>
      <w:tr>
        <w:tc>
          <w:tcPr>
            <w:tcW w:type="dxa" w:w="440"/>
            <w:tcBorders>
              <w:top w:val="single" w:color="CCCCCC" w:sz="1"/>
              <w:left w:val="single" w:color="CCCCCC" w:sz="1"/>
              <w:bottom w:val="single" w:color="CCCCCC" w:sz="1"/>
              <w:right w:val="single" w:color="CCCCCC" w:sz="1"/>
            </w:tcBorders>
            <w:shd w:fill="6C5CE7" w:val="clear"/>
            <w:tcMar>
              <w:top w:type="dxa" w:w="60"/>
              <w:left w:type="dxa" w:w="80"/>
              <w:bottom w:type="dxa" w:w="60"/>
              <w:right w:type="dxa" w:w="80"/>
            </w:tcMar>
          </w:tcPr>
          <w:p>
            <w:pPr>
              <w:jc w:val="center"/>
            </w:pPr>
            <w:r>
              <w:rPr>
                <w:rFonts w:ascii="Arial" w:cs="Arial" w:eastAsia="Arial" w:hAnsi="Arial"/>
                <w:b/>
                <w:bCs/>
                <w:color w:val="FFFFFF"/>
                <w:sz w:val="20"/>
                <w:szCs w:val="20"/>
              </w:rPr>
              <w:t xml:space="preserve">8</w:t>
            </w:r>
          </w:p>
        </w:tc>
        <w:tc>
          <w:tcPr>
            <w:tcW w:type="dxa" w:w="3160"/>
            <w:tcBorders>
              <w:top w:val="single" w:color="CCCCCC" w:sz="1"/>
              <w:left w:val="single" w:color="CCCCCC" w:sz="1"/>
              <w:bottom w:val="single" w:color="CCCCCC" w:sz="1"/>
              <w:right w:val="single" w:color="CCCCCC" w:sz="1"/>
            </w:tcBorders>
            <w:shd w:fill="EDE9FF" w:val="clear"/>
            <w:tcMar>
              <w:top w:type="dxa" w:w="60"/>
              <w:left w:type="dxa" w:w="100"/>
              <w:bottom w:type="dxa" w:w="60"/>
              <w:right w:type="dxa" w:w="100"/>
            </w:tcMar>
          </w:tcPr>
          <w:p>
            <w:r>
              <w:rPr>
                <w:rFonts w:ascii="Courier New" w:cs="Courier New" w:eastAsia="Courier New" w:hAnsi="Courier New"/>
                <w:color w:val="2D3436"/>
                <w:sz w:val="18"/>
                <w:szCs w:val="18"/>
              </w:rPr>
              <w:t xml:space="preserve">Conjunction + subordinate clause + comma + independent clause</w:t>
            </w:r>
          </w:p>
        </w:tc>
        <w:tc>
          <w:tcPr>
            <w:tcW w:type="dxa" w:w="5760"/>
            <w:tcBorders>
              <w:top w:val="single" w:color="CCCCCC" w:sz="1"/>
              <w:left w:val="single" w:color="CCCCCC" w:sz="1"/>
              <w:bottom w:val="single" w:color="CCCCCC" w:sz="1"/>
              <w:right w:val="single" w:color="CCCCCC" w:sz="1"/>
            </w:tcBorders>
            <w:shd w:fill="EDE9FF" w:val="clear"/>
            <w:tcMar>
              <w:top w:type="dxa" w:w="60"/>
              <w:left w:type="dxa" w:w="100"/>
              <w:bottom w:type="dxa" w:w="60"/>
              <w:right w:type="dxa" w:w="100"/>
            </w:tcMar>
          </w:tcPr>
          <w:p>
            <w:r>
              <w:rPr>
                <w:rFonts w:ascii="Arial" w:cs="Arial" w:eastAsia="Arial" w:hAnsi="Arial"/>
                <w:i/>
                <w:iCs/>
                <w:color w:val="2D3436"/>
                <w:sz w:val="19"/>
                <w:szCs w:val="19"/>
              </w:rPr>
              <w:t xml:space="preserve">Subordinating conjunction at front (fronted subordinate).</w:t>
            </w:r>
          </w:p>
        </w:tc>
      </w:tr>
      <w:tr>
        <w:tc>
          <w:tcPr>
            <w:tcW w:type="dxa" w:w="440"/>
            <w:tcBorders>
              <w:top w:val="single" w:color="CCCCCC" w:sz="1"/>
              <w:left w:val="single" w:color="CCCCCC" w:sz="1"/>
              <w:bottom w:val="single" w:color="CCCCCC" w:sz="1"/>
              <w:right w:val="single" w:color="CCCCCC" w:sz="1"/>
            </w:tcBorders>
            <w:shd w:fill="6C5CE7" w:val="clear"/>
            <w:tcMar>
              <w:top w:type="dxa" w:w="60"/>
              <w:left w:type="dxa" w:w="80"/>
              <w:bottom w:type="dxa" w:w="60"/>
              <w:right w:type="dxa" w:w="80"/>
            </w:tcMar>
          </w:tcPr>
          <w:p>
            <w:pPr>
              <w:jc w:val="center"/>
            </w:pPr>
            <w:r>
              <w:rPr>
                <w:rFonts w:ascii="Arial" w:cs="Arial" w:eastAsia="Arial" w:hAnsi="Arial"/>
                <w:b/>
                <w:bCs/>
                <w:color w:val="FFFFFF"/>
                <w:sz w:val="20"/>
                <w:szCs w:val="20"/>
              </w:rPr>
              <w:t xml:space="preserve">9</w:t>
            </w:r>
          </w:p>
        </w:tc>
        <w:tc>
          <w:tcPr>
            <w:tcW w:type="dxa" w:w="3160"/>
            <w:tcBorders>
              <w:top w:val="single" w:color="CCCCCC" w:sz="1"/>
              <w:left w:val="single" w:color="CCCCCC" w:sz="1"/>
              <w:bottom w:val="single" w:color="CCCCCC" w:sz="1"/>
              <w:right w:val="single" w:color="CCCCCC" w:sz="1"/>
            </w:tcBorders>
            <w:shd w:fill="EDE9FF" w:val="clear"/>
            <w:tcMar>
              <w:top w:type="dxa" w:w="60"/>
              <w:left w:type="dxa" w:w="100"/>
              <w:bottom w:type="dxa" w:w="60"/>
              <w:right w:type="dxa" w:w="100"/>
            </w:tcMar>
          </w:tcPr>
          <w:p>
            <w:r>
              <w:rPr>
                <w:rFonts w:ascii="Courier New" w:cs="Courier New" w:eastAsia="Courier New" w:hAnsi="Courier New"/>
                <w:color w:val="2D3436"/>
                <w:sz w:val="18"/>
                <w:szCs w:val="18"/>
              </w:rPr>
              <w:t xml:space="preserve">Paragraph composition — one sentence becomes the topic sentence</w:t>
            </w:r>
          </w:p>
        </w:tc>
        <w:tc>
          <w:tcPr>
            <w:tcW w:type="dxa" w:w="5760"/>
            <w:tcBorders>
              <w:top w:val="single" w:color="CCCCCC" w:sz="1"/>
              <w:left w:val="single" w:color="CCCCCC" w:sz="1"/>
              <w:bottom w:val="single" w:color="CCCCCC" w:sz="1"/>
              <w:right w:val="single" w:color="CCCCCC" w:sz="1"/>
            </w:tcBorders>
            <w:shd w:fill="EDE9FF" w:val="clear"/>
            <w:tcMar>
              <w:top w:type="dxa" w:w="60"/>
              <w:left w:type="dxa" w:w="100"/>
              <w:bottom w:type="dxa" w:w="60"/>
              <w:right w:type="dxa" w:w="100"/>
            </w:tcMar>
          </w:tcPr>
          <w:p>
            <w:r>
              <w:rPr>
                <w:rFonts w:ascii="Arial" w:cs="Arial" w:eastAsia="Arial" w:hAnsi="Arial"/>
                <w:i/>
                <w:iCs/>
                <w:color w:val="2D3436"/>
                <w:sz w:val="19"/>
                <w:szCs w:val="19"/>
              </w:rPr>
              <w:t xml:space="preserve">LSC scaffold: topic sentence + supporting sentences + closing sentence.</w:t>
            </w:r>
          </w:p>
        </w:tc>
      </w:tr>
    </w:tbl>
    <w:p>
      <w:pPr>
        <w:spacing w:after="0" w:before="100"/>
      </w:pPr>
      <w:r>
        <w:t xml:space="preserve"/>
      </w:r>
    </w:p>
    <w:p>
      <w:pPr>
        <w:spacing w:after="120" w:before="80"/>
      </w:pPr>
      <w:r>
        <w:rPr>
          <w:rFonts w:ascii="Arial" w:cs="Arial" w:eastAsia="Arial" w:hAnsi="Arial"/>
          <w:color w:val="2D3436"/>
          <w:sz w:val="22"/>
          <w:szCs w:val="22"/>
        </w:rPr>
        <w:t xml:space="preserve">Several principles are baked into this sequence that are not obvious from the formula patterns alone:</w:t>
      </w:r>
    </w:p>
    <w:p>
      <w:pPr>
        <w:pStyle w:val="ListParagraph"/>
        <w:numPr>
          <w:ilvl w:val="0"/>
          <w:numId w:val="2"/>
        </w:numPr>
        <w:spacing w:after="40" w:before="40"/>
      </w:pPr>
      <w:r>
        <w:rPr>
          <w:rFonts w:ascii="Arial" w:cs="Arial" w:eastAsia="Arial" w:hAnsi="Arial"/>
          <w:color w:val="2D3436"/>
          <w:sz w:val="22"/>
          <w:szCs w:val="22"/>
        </w:rPr>
        <w:t xml:space="preserve">The subject is always a proper noun or named person ("Ben", "Sam") — concrete, personal, and immediately meaningful to pupils. It is not a class of things ("fish", "storm").</w:t>
      </w:r>
    </w:p>
    <w:p>
      <w:pPr>
        <w:pStyle w:val="ListParagraph"/>
        <w:numPr>
          <w:ilvl w:val="0"/>
          <w:numId w:val="2"/>
        </w:numPr>
        <w:spacing w:after="40" w:before="40"/>
      </w:pPr>
      <w:r>
        <w:rPr>
          <w:rFonts w:ascii="Arial" w:cs="Arial" w:eastAsia="Arial" w:hAnsi="Arial"/>
          <w:color w:val="2D3436"/>
          <w:sz w:val="22"/>
          <w:szCs w:val="22"/>
        </w:rPr>
        <w:t xml:space="preserve">The base formula already contains five elements including a preposition and an object. This is not a "simple" starting point — it produces a real, contextualised sentence ("Ben is on a pavement") from the very first session.</w:t>
      </w:r>
    </w:p>
    <w:p>
      <w:pPr>
        <w:pStyle w:val="ListParagraph"/>
        <w:numPr>
          <w:ilvl w:val="0"/>
          <w:numId w:val="2"/>
        </w:numPr>
        <w:spacing w:after="40" w:before="40"/>
      </w:pPr>
      <w:r>
        <w:rPr>
          <w:rFonts w:ascii="Arial" w:cs="Arial" w:eastAsia="Arial" w:hAnsi="Arial"/>
          <w:color w:val="2D3436"/>
          <w:sz w:val="22"/>
          <w:szCs w:val="22"/>
        </w:rPr>
        <w:t xml:space="preserve">Step 2 adds an adjective to the object, not to the subject. The question being answered is "what kind of pavement?" — teaching pupils that adjectives describe nouns wherever they appear, not only before the main subject.</w:t>
      </w:r>
    </w:p>
    <w:p>
      <w:pPr>
        <w:pStyle w:val="ListParagraph"/>
        <w:numPr>
          <w:ilvl w:val="0"/>
          <w:numId w:val="2"/>
        </w:numPr>
        <w:spacing w:after="40" w:before="40"/>
      </w:pPr>
      <w:r>
        <w:rPr>
          <w:rFonts w:ascii="Arial" w:cs="Arial" w:eastAsia="Arial" w:hAnsi="Arial"/>
          <w:color w:val="2D3436"/>
          <w:sz w:val="22"/>
          <w:szCs w:val="22"/>
        </w:rPr>
        <w:t xml:space="preserve">Step 3 introduces the adverb inside the verb phrase and simultaneously moves the verb to the continuous form ("is walking"). This teaches the progressive aspect ("is + -ing") alongside the adverb, showing how verb form and manner relate.</w:t>
      </w:r>
    </w:p>
    <w:p>
      <w:pPr>
        <w:pStyle w:val="ListParagraph"/>
        <w:numPr>
          <w:ilvl w:val="0"/>
          <w:numId w:val="2"/>
        </w:numPr>
        <w:spacing w:after="40" w:before="40"/>
      </w:pPr>
      <w:r>
        <w:rPr>
          <w:rFonts w:ascii="Arial" w:cs="Arial" w:eastAsia="Arial" w:hAnsi="Arial"/>
          <w:color w:val="2D3436"/>
          <w:sz w:val="22"/>
          <w:szCs w:val="22"/>
        </w:rPr>
        <w:t xml:space="preserve">Step 4 wraps the subject in an expanded noun phrase ("The smart Ben") — teaching that the subject itself can carry description. This is a significant conceptual move: the subject is no longer a bare proper noun.</w:t>
      </w:r>
    </w:p>
    <w:p>
      <w:pPr>
        <w:pStyle w:val="ListParagraph"/>
        <w:numPr>
          <w:ilvl w:val="0"/>
          <w:numId w:val="2"/>
        </w:numPr>
        <w:spacing w:after="40" w:before="40"/>
      </w:pPr>
      <w:r>
        <w:rPr>
          <w:rFonts w:ascii="Arial" w:cs="Arial" w:eastAsia="Arial" w:hAnsi="Arial"/>
          <w:color w:val="2D3436"/>
          <w:sz w:val="22"/>
          <w:szCs w:val="22"/>
        </w:rPr>
        <w:t xml:space="preserve">Step 5 prepends a fronted adverbial ("At the moment, …"), introducing the comma that follows a fronted element — a direct NC writing target at KS2.</w:t>
      </w:r>
    </w:p>
    <w:p>
      <w:pPr>
        <w:pStyle w:val="ListParagraph"/>
        <w:numPr>
          <w:ilvl w:val="0"/>
          <w:numId w:val="2"/>
        </w:numPr>
        <w:spacing w:after="40" w:before="40"/>
      </w:pPr>
      <w:r>
        <w:rPr>
          <w:rFonts w:ascii="Arial" w:cs="Arial" w:eastAsia="Arial" w:hAnsi="Arial"/>
          <w:color w:val="2D3436"/>
          <w:sz w:val="22"/>
          <w:szCs w:val="22"/>
        </w:rPr>
        <w:t xml:space="preserve">Steps 6–8 build compound and complex sentences using the fully extended Step 5 sentence as the base clause. Pupils do not start compound sentences from scratch; they extend their existing sentence.</w:t>
      </w:r>
    </w:p>
    <w:p>
      <w:pPr>
        <w:pStyle w:val="ListParagraph"/>
        <w:numPr>
          <w:ilvl w:val="0"/>
          <w:numId w:val="2"/>
        </w:numPr>
        <w:spacing w:after="40" w:before="40"/>
      </w:pPr>
      <w:r>
        <w:rPr>
          <w:rFonts w:ascii="Arial" w:cs="Arial" w:eastAsia="Arial" w:hAnsi="Arial"/>
          <w:color w:val="2D3436"/>
          <w:sz w:val="22"/>
          <w:szCs w:val="22"/>
        </w:rPr>
        <w:t xml:space="preserve">Step 9 maps directly to the Paragraph Builder (LSC scaffold). The topic sentence is one of the sentences from Steps 1–8.</w:t>
      </w:r>
    </w:p>
    <w:p>
      <w:pPr>
        <w:pStyle w:val="ListParagraph"/>
        <w:numPr>
          <w:ilvl w:val="0"/>
          <w:numId w:val="2"/>
        </w:numPr>
        <w:spacing w:after="40" w:before="40"/>
      </w:pPr>
      <w:r>
        <w:rPr>
          <w:rFonts w:ascii="Arial" w:cs="Arial" w:eastAsia="Arial" w:hAnsi="Arial"/>
          <w:color w:val="2D3436"/>
          <w:sz w:val="22"/>
          <w:szCs w:val="22"/>
        </w:rPr>
        <w:t xml:space="preserve">Throughout all steps, the subject ("Ben") remains constant within a session. Subjects change between sessions — pupils write with a new named subject the next day.</w:t>
      </w:r>
    </w:p>
    <w:p>
      <w:pPr>
        <w:spacing w:after="0" w:before="80"/>
      </w:pPr>
      <w:r>
        <w:t xml:space="preserve"/>
      </w:r>
    </w:p>
    <w:p>
      <w:pPr>
        <w:pStyle w:val="Heading2"/>
        <w:pBdr>
          <w:bottom w:val="single" w:color="6C5CE7" w:sz="4" w:space="4"/>
        </w:pBdr>
        <w:spacing w:after="120" w:before="320"/>
      </w:pPr>
      <w:r>
        <w:rPr>
          <w:rFonts w:ascii="Arial" w:cs="Arial" w:eastAsia="Arial" w:hAnsi="Arial"/>
          <w:b/>
          <w:bCs/>
          <w:color w:val="2D3436"/>
          <w:sz w:val="28"/>
          <w:szCs w:val="28"/>
        </w:rPr>
        <w:t xml:space="preserve">5.2 How the app currently compares — gap analysis</w:t>
      </w:r>
    </w:p>
    <w:p>
      <w:pPr>
        <w:spacing w:after="120" w:before="80"/>
      </w:pPr>
      <w:r>
        <w:rPr>
          <w:rFonts w:ascii="Arial" w:cs="Arial" w:eastAsia="Arial" w:hAnsi="Arial"/>
          <w:color w:val="2D3436"/>
          <w:sz w:val="22"/>
          <w:szCs w:val="22"/>
        </w:rPr>
        <w:t xml:space="preserve">The table below compares each dimension of the classroom model against what the code actually implements.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2880"/>
        <w:gridCol w:w="1200"/>
      </w:tblGrid>
      <w:tr>
        <w:trPr>
          <w:tblHeader/>
        </w:trPr>
        <w:tc>
          <w:tcPr>
            <w:tcW w:type="dxa" w:w="2400"/>
            <w:tcBorders>
              <w:top w:val="single" w:color="2D3436" w:sz="1"/>
              <w:left w:val="single" w:color="2D3436" w:sz="1"/>
              <w:bottom w:val="single" w:color="2D3436" w:sz="1"/>
              <w:right w:val="single" w:color="2D3436" w:sz="1"/>
            </w:tcBorders>
            <w:shd w:fill="2D343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Dimension</w:t>
            </w:r>
          </w:p>
        </w:tc>
        <w:tc>
          <w:tcPr>
            <w:tcW w:type="dxa" w:w="2880"/>
            <w:tcBorders>
              <w:top w:val="single" w:color="2D3436" w:sz="1"/>
              <w:left w:val="single" w:color="2D3436" w:sz="1"/>
              <w:bottom w:val="single" w:color="2D3436" w:sz="1"/>
              <w:right w:val="single" w:color="2D3436" w:sz="1"/>
            </w:tcBorders>
            <w:shd w:fill="2D343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Classroom model</w:t>
            </w:r>
          </w:p>
        </w:tc>
        <w:tc>
          <w:tcPr>
            <w:tcW w:type="dxa" w:w="2880"/>
            <w:tcBorders>
              <w:top w:val="single" w:color="2D3436" w:sz="1"/>
              <w:left w:val="single" w:color="2D3436" w:sz="1"/>
              <w:bottom w:val="single" w:color="2D3436" w:sz="1"/>
              <w:right w:val="single" w:color="2D3436" w:sz="1"/>
            </w:tcBorders>
            <w:shd w:fill="2D343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App implementation</w:t>
            </w:r>
          </w:p>
        </w:tc>
        <w:tc>
          <w:tcPr>
            <w:tcW w:type="dxa" w:w="1200"/>
            <w:tcBorders>
              <w:top w:val="single" w:color="2D3436" w:sz="1"/>
              <w:left w:val="single" w:color="2D3436" w:sz="1"/>
              <w:bottom w:val="single" w:color="2D3436" w:sz="1"/>
              <w:right w:val="single" w:color="2D3436" w:sz="1"/>
            </w:tcBorders>
            <w:shd w:fill="2D343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3436"/>
                <w:sz w:val="18"/>
                <w:szCs w:val="18"/>
              </w:rPr>
              <w:t xml:space="preserve">Base formula (Step 1)</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2D3436"/>
                <w:sz w:val="18"/>
                <w:szCs w:val="18"/>
              </w:rPr>
              <w:t xml:space="preserve">subject + verb + prep + det + object (5 elements)</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18"/>
                <w:szCs w:val="18"/>
              </w:rPr>
              <w:t xml:space="preserve">noun + verb (2 elements)</w:t>
            </w:r>
          </w:p>
        </w:tc>
        <w:tc>
          <w:tcPr>
            <w:tcW w:type="dxa" w:w="1200"/>
            <w:tcBorders>
              <w:top w:val="single" w:color="CCCCCC" w:sz="1"/>
              <w:left w:val="single" w:color="CCCCCC" w:sz="1"/>
              <w:bottom w:val="single" w:color="CCCCCC" w:sz="1"/>
              <w:right w:val="single" w:color="CCCCCC" w:sz="1"/>
            </w:tcBorders>
            <w:shd w:fill="E17055" w:val="clear"/>
            <w:tcMar>
              <w:top w:type="dxa" w:w="60"/>
              <w:left w:type="dxa" w:w="80"/>
              <w:bottom w:type="dxa" w:w="60"/>
              <w:right w:type="dxa" w:w="80"/>
            </w:tcMar>
          </w:tcPr>
          <w:p>
            <w:pPr>
              <w:jc w:val="center"/>
            </w:pPr>
            <w:r>
              <w:rPr>
                <w:rFonts w:ascii="Arial" w:cs="Arial" w:eastAsia="Arial" w:hAnsi="Arial"/>
                <w:b/>
                <w:bCs/>
                <w:color w:val="FFFFFF"/>
                <w:sz w:val="22"/>
                <w:szCs w:val="22"/>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D3436"/>
                <w:sz w:val="18"/>
                <w:szCs w:val="18"/>
              </w:rPr>
              <w:t xml:space="preserve">Subject type</w:t>
            </w:r>
          </w:p>
        </w:tc>
        <w:tc>
          <w:tcPr>
            <w:tcW w:type="dxa" w:w="28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2D3436"/>
                <w:sz w:val="18"/>
                <w:szCs w:val="18"/>
              </w:rPr>
              <w:t xml:space="preserve">Proper noun / named person ("Ben", "Sam")</w:t>
            </w:r>
          </w:p>
        </w:tc>
        <w:tc>
          <w:tcPr>
            <w:tcW w:type="dxa" w:w="28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D3436"/>
                <w:sz w:val="18"/>
                <w:szCs w:val="18"/>
              </w:rPr>
              <w:t xml:space="preserve">User-chosen common noun ("fish", "storm", "dragon")</w:t>
            </w:r>
          </w:p>
        </w:tc>
        <w:tc>
          <w:tcPr>
            <w:tcW w:type="dxa" w:w="1200"/>
            <w:tcBorders>
              <w:top w:val="single" w:color="CCCCCC" w:sz="1"/>
              <w:left w:val="single" w:color="CCCCCC" w:sz="1"/>
              <w:bottom w:val="single" w:color="CCCCCC" w:sz="1"/>
              <w:right w:val="single" w:color="CCCCCC" w:sz="1"/>
            </w:tcBorders>
            <w:shd w:fill="E17055" w:val="clear"/>
            <w:tcMar>
              <w:top w:type="dxa" w:w="60"/>
              <w:left w:type="dxa" w:w="80"/>
              <w:bottom w:type="dxa" w:w="60"/>
              <w:right w:type="dxa" w:w="80"/>
            </w:tcMar>
          </w:tcPr>
          <w:p>
            <w:pPr>
              <w:jc w:val="center"/>
            </w:pPr>
            <w:r>
              <w:rPr>
                <w:rFonts w:ascii="Arial" w:cs="Arial" w:eastAsia="Arial" w:hAnsi="Arial"/>
                <w:b/>
                <w:bCs/>
                <w:color w:val="FFFFFF"/>
                <w:sz w:val="22"/>
                <w:szCs w:val="22"/>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3436"/>
                <w:sz w:val="18"/>
                <w:szCs w:val="18"/>
              </w:rPr>
              <w:t xml:space="preserve">First element added (Step 2)</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2D3436"/>
                <w:sz w:val="18"/>
                <w:szCs w:val="18"/>
              </w:rPr>
              <w:t xml:space="preserve">Adjective qualifying the object</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18"/>
                <w:szCs w:val="18"/>
              </w:rPr>
              <w:t xml:space="preserve">Determiner before subject noun</w:t>
            </w:r>
          </w:p>
        </w:tc>
        <w:tc>
          <w:tcPr>
            <w:tcW w:type="dxa" w:w="1200"/>
            <w:tcBorders>
              <w:top w:val="single" w:color="CCCCCC" w:sz="1"/>
              <w:left w:val="single" w:color="CCCCCC" w:sz="1"/>
              <w:bottom w:val="single" w:color="CCCCCC" w:sz="1"/>
              <w:right w:val="single" w:color="CCCCCC" w:sz="1"/>
            </w:tcBorders>
            <w:shd w:fill="E17055" w:val="clear"/>
            <w:tcMar>
              <w:top w:type="dxa" w:w="60"/>
              <w:left w:type="dxa" w:w="80"/>
              <w:bottom w:type="dxa" w:w="60"/>
              <w:right w:type="dxa" w:w="80"/>
            </w:tcMar>
          </w:tcPr>
          <w:p>
            <w:pPr>
              <w:jc w:val="center"/>
            </w:pPr>
            <w:r>
              <w:rPr>
                <w:rFonts w:ascii="Arial" w:cs="Arial" w:eastAsia="Arial" w:hAnsi="Arial"/>
                <w:b/>
                <w:bCs/>
                <w:color w:val="FFFFFF"/>
                <w:sz w:val="22"/>
                <w:szCs w:val="22"/>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D3436"/>
                <w:sz w:val="18"/>
                <w:szCs w:val="18"/>
              </w:rPr>
              <w:t xml:space="preserve">Second element added (Step 3)</w:t>
            </w:r>
          </w:p>
        </w:tc>
        <w:tc>
          <w:tcPr>
            <w:tcW w:type="dxa" w:w="28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2D3436"/>
                <w:sz w:val="18"/>
                <w:szCs w:val="18"/>
              </w:rPr>
              <w:t xml:space="preserve">Adverb in verb phrase; verb goes continuous</w:t>
            </w:r>
          </w:p>
        </w:tc>
        <w:tc>
          <w:tcPr>
            <w:tcW w:type="dxa" w:w="28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D3436"/>
                <w:sz w:val="18"/>
                <w:szCs w:val="18"/>
              </w:rPr>
              <w:t xml:space="preserve">Adjective before subject noun</w:t>
            </w:r>
          </w:p>
        </w:tc>
        <w:tc>
          <w:tcPr>
            <w:tcW w:type="dxa" w:w="1200"/>
            <w:tcBorders>
              <w:top w:val="single" w:color="CCCCCC" w:sz="1"/>
              <w:left w:val="single" w:color="CCCCCC" w:sz="1"/>
              <w:bottom w:val="single" w:color="CCCCCC" w:sz="1"/>
              <w:right w:val="single" w:color="CCCCCC" w:sz="1"/>
            </w:tcBorders>
            <w:shd w:fill="E17055" w:val="clear"/>
            <w:tcMar>
              <w:top w:type="dxa" w:w="60"/>
              <w:left w:type="dxa" w:w="80"/>
              <w:bottom w:type="dxa" w:w="60"/>
              <w:right w:type="dxa" w:w="80"/>
            </w:tcMar>
          </w:tcPr>
          <w:p>
            <w:pPr>
              <w:jc w:val="center"/>
            </w:pPr>
            <w:r>
              <w:rPr>
                <w:rFonts w:ascii="Arial" w:cs="Arial" w:eastAsia="Arial" w:hAnsi="Arial"/>
                <w:b/>
                <w:bCs/>
                <w:color w:val="FFFFFF"/>
                <w:sz w:val="22"/>
                <w:szCs w:val="22"/>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3436"/>
                <w:sz w:val="18"/>
                <w:szCs w:val="18"/>
              </w:rPr>
              <w:t xml:space="preserve">Continuous tense ("is walking")</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2D3436"/>
                <w:sz w:val="18"/>
                <w:szCs w:val="18"/>
              </w:rPr>
              <w:t xml:space="preserve">Taught at Step 3 alongside adverb</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18"/>
                <w:szCs w:val="18"/>
              </w:rPr>
              <w:t xml:space="preserve">Not modelled anywhere in formulas</w:t>
            </w:r>
          </w:p>
        </w:tc>
        <w:tc>
          <w:tcPr>
            <w:tcW w:type="dxa" w:w="1200"/>
            <w:tcBorders>
              <w:top w:val="single" w:color="CCCCCC" w:sz="1"/>
              <w:left w:val="single" w:color="CCCCCC" w:sz="1"/>
              <w:bottom w:val="single" w:color="CCCCCC" w:sz="1"/>
              <w:right w:val="single" w:color="CCCCCC" w:sz="1"/>
            </w:tcBorders>
            <w:shd w:fill="E17055" w:val="clear"/>
            <w:tcMar>
              <w:top w:type="dxa" w:w="60"/>
              <w:left w:type="dxa" w:w="80"/>
              <w:bottom w:type="dxa" w:w="60"/>
              <w:right w:type="dxa" w:w="80"/>
            </w:tcMar>
          </w:tcPr>
          <w:p>
            <w:pPr>
              <w:jc w:val="center"/>
            </w:pPr>
            <w:r>
              <w:rPr>
                <w:rFonts w:ascii="Arial" w:cs="Arial" w:eastAsia="Arial" w:hAnsi="Arial"/>
                <w:b/>
                <w:bCs/>
                <w:color w:val="FFFFFF"/>
                <w:sz w:val="22"/>
                <w:szCs w:val="22"/>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D3436"/>
                <w:sz w:val="18"/>
                <w:szCs w:val="18"/>
              </w:rPr>
              <w:t xml:space="preserve">Expanded noun phrase for subject (Step 4)</w:t>
            </w:r>
          </w:p>
        </w:tc>
        <w:tc>
          <w:tcPr>
            <w:tcW w:type="dxa" w:w="28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2D3436"/>
                <w:sz w:val="18"/>
                <w:szCs w:val="18"/>
              </w:rPr>
              <w:t xml:space="preserve">det + adj wrapping the proper noun subject</w:t>
            </w:r>
          </w:p>
        </w:tc>
        <w:tc>
          <w:tcPr>
            <w:tcW w:type="dxa" w:w="28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D3436"/>
                <w:sz w:val="18"/>
                <w:szCs w:val="18"/>
              </w:rPr>
              <w:t xml:space="preserve">Not present as a distinct step</w:t>
            </w:r>
          </w:p>
        </w:tc>
        <w:tc>
          <w:tcPr>
            <w:tcW w:type="dxa" w:w="1200"/>
            <w:tcBorders>
              <w:top w:val="single" w:color="CCCCCC" w:sz="1"/>
              <w:left w:val="single" w:color="CCCCCC" w:sz="1"/>
              <w:bottom w:val="single" w:color="CCCCCC" w:sz="1"/>
              <w:right w:val="single" w:color="CCCCCC" w:sz="1"/>
            </w:tcBorders>
            <w:shd w:fill="E17055" w:val="clear"/>
            <w:tcMar>
              <w:top w:type="dxa" w:w="60"/>
              <w:left w:type="dxa" w:w="80"/>
              <w:bottom w:type="dxa" w:w="60"/>
              <w:right w:type="dxa" w:w="80"/>
            </w:tcMar>
          </w:tcPr>
          <w:p>
            <w:pPr>
              <w:jc w:val="center"/>
            </w:pPr>
            <w:r>
              <w:rPr>
                <w:rFonts w:ascii="Arial" w:cs="Arial" w:eastAsia="Arial" w:hAnsi="Arial"/>
                <w:b/>
                <w:bCs/>
                <w:color w:val="FFFFFF"/>
                <w:sz w:val="22"/>
                <w:szCs w:val="22"/>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3436"/>
                <w:sz w:val="18"/>
                <w:szCs w:val="18"/>
              </w:rPr>
              <w:t xml:space="preserve">Fronted adverbial (Step 5)</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2D3436"/>
                <w:sz w:val="18"/>
                <w:szCs w:val="18"/>
              </w:rPr>
              <w:t xml:space="preserve">Comma-separated adverbial phrase at sentence start</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18"/>
                <w:szCs w:val="18"/>
              </w:rPr>
              <w:t xml:space="preserve">Partial: prep fronting at L8/L10 only; no comma, no phrase-level adverbial</w:t>
            </w:r>
          </w:p>
        </w:tc>
        <w:tc>
          <w:tcPr>
            <w:tcW w:type="dxa" w:w="1200"/>
            <w:tcBorders>
              <w:top w:val="single" w:color="CCCCCC" w:sz="1"/>
              <w:left w:val="single" w:color="CCCCCC" w:sz="1"/>
              <w:bottom w:val="single" w:color="CCCCCC" w:sz="1"/>
              <w:right w:val="single" w:color="CCCCCC" w:sz="1"/>
            </w:tcBorders>
            <w:shd w:fill="F39C12" w:val="clear"/>
            <w:tcMar>
              <w:top w:type="dxa" w:w="60"/>
              <w:left w:type="dxa" w:w="80"/>
              <w:bottom w:type="dxa" w:w="60"/>
              <w:right w:type="dxa" w:w="80"/>
            </w:tcMar>
          </w:tcPr>
          <w:p>
            <w:pPr>
              <w:jc w:val="center"/>
            </w:pPr>
            <w:r>
              <w:rPr>
                <w:rFonts w:ascii="Arial" w:cs="Arial" w:eastAsia="Arial" w:hAnsi="Arial"/>
                <w:b/>
                <w:bCs/>
                <w:color w:val="FFFFFF"/>
                <w:sz w:val="22"/>
                <w:szCs w:val="22"/>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D3436"/>
                <w:sz w:val="18"/>
                <w:szCs w:val="18"/>
              </w:rPr>
              <w:t xml:space="preserve">Compound sentences (Step 6)</w:t>
            </w:r>
          </w:p>
        </w:tc>
        <w:tc>
          <w:tcPr>
            <w:tcW w:type="dxa" w:w="28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2D3436"/>
                <w:sz w:val="18"/>
                <w:szCs w:val="18"/>
              </w:rPr>
              <w:t xml:space="preserve">Introduced immediately after Step 5 simple sentence</w:t>
            </w:r>
          </w:p>
        </w:tc>
        <w:tc>
          <w:tcPr>
            <w:tcW w:type="dxa" w:w="28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D3436"/>
                <w:sz w:val="18"/>
                <w:szCs w:val="18"/>
              </w:rPr>
              <w:t xml:space="preserve">Appears at L17 / L27 — much later in the sequence</w:t>
            </w:r>
          </w:p>
        </w:tc>
        <w:tc>
          <w:tcPr>
            <w:tcW w:type="dxa" w:w="1200"/>
            <w:tcBorders>
              <w:top w:val="single" w:color="CCCCCC" w:sz="1"/>
              <w:left w:val="single" w:color="CCCCCC" w:sz="1"/>
              <w:bottom w:val="single" w:color="CCCCCC" w:sz="1"/>
              <w:right w:val="single" w:color="CCCCCC" w:sz="1"/>
            </w:tcBorders>
            <w:shd w:fill="F39C12" w:val="clear"/>
            <w:tcMar>
              <w:top w:type="dxa" w:w="60"/>
              <w:left w:type="dxa" w:w="80"/>
              <w:bottom w:type="dxa" w:w="60"/>
              <w:right w:type="dxa" w:w="80"/>
            </w:tcMar>
          </w:tcPr>
          <w:p>
            <w:pPr>
              <w:jc w:val="center"/>
            </w:pPr>
            <w:r>
              <w:rPr>
                <w:rFonts w:ascii="Arial" w:cs="Arial" w:eastAsia="Arial" w:hAnsi="Arial"/>
                <w:b/>
                <w:bCs/>
                <w:color w:val="FFFFFF"/>
                <w:sz w:val="22"/>
                <w:szCs w:val="22"/>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3436"/>
                <w:sz w:val="18"/>
                <w:szCs w:val="18"/>
              </w:rPr>
              <w:t xml:space="preserve">Complex sentences (Steps 7–8)</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2D3436"/>
                <w:sz w:val="18"/>
                <w:szCs w:val="18"/>
              </w:rPr>
              <w:t xml:space="preserve">Fronted subordinate clause pattern explicitly taught</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18"/>
                <w:szCs w:val="18"/>
              </w:rPr>
              <w:t xml:space="preserve">Some conjunction patterns at L24–L30 but not fronted subordinate form</w:t>
            </w:r>
          </w:p>
        </w:tc>
        <w:tc>
          <w:tcPr>
            <w:tcW w:type="dxa" w:w="1200"/>
            <w:tcBorders>
              <w:top w:val="single" w:color="CCCCCC" w:sz="1"/>
              <w:left w:val="single" w:color="CCCCCC" w:sz="1"/>
              <w:bottom w:val="single" w:color="CCCCCC" w:sz="1"/>
              <w:right w:val="single" w:color="CCCCCC" w:sz="1"/>
            </w:tcBorders>
            <w:shd w:fill="F39C12" w:val="clear"/>
            <w:tcMar>
              <w:top w:type="dxa" w:w="60"/>
              <w:left w:type="dxa" w:w="80"/>
              <w:bottom w:type="dxa" w:w="60"/>
              <w:right w:type="dxa" w:w="80"/>
            </w:tcMar>
          </w:tcPr>
          <w:p>
            <w:pPr>
              <w:jc w:val="center"/>
            </w:pPr>
            <w:r>
              <w:rPr>
                <w:rFonts w:ascii="Arial" w:cs="Arial" w:eastAsia="Arial" w:hAnsi="Arial"/>
                <w:b/>
                <w:bCs/>
                <w:color w:val="FFFFFF"/>
                <w:sz w:val="22"/>
                <w:szCs w:val="22"/>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D3436"/>
                <w:sz w:val="18"/>
                <w:szCs w:val="18"/>
              </w:rPr>
              <w:t xml:space="preserve">Paragraph composition (Step 9)</w:t>
            </w:r>
          </w:p>
        </w:tc>
        <w:tc>
          <w:tcPr>
            <w:tcW w:type="dxa" w:w="28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2D3436"/>
                <w:sz w:val="18"/>
                <w:szCs w:val="18"/>
              </w:rPr>
              <w:t xml:space="preserve">One of the chain sentences becomes the LSC topic sentence</w:t>
            </w:r>
          </w:p>
        </w:tc>
        <w:tc>
          <w:tcPr>
            <w:tcW w:type="dxa" w:w="28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D3436"/>
                <w:sz w:val="18"/>
                <w:szCs w:val="18"/>
              </w:rPr>
              <w:t xml:space="preserve">Paragraph Builder exists (LSC scaffold) but not wired to chain sentences</w:t>
            </w:r>
          </w:p>
        </w:tc>
        <w:tc>
          <w:tcPr>
            <w:tcW w:type="dxa" w:w="1200"/>
            <w:tcBorders>
              <w:top w:val="single" w:color="CCCCCC" w:sz="1"/>
              <w:left w:val="single" w:color="CCCCCC" w:sz="1"/>
              <w:bottom w:val="single" w:color="CCCCCC" w:sz="1"/>
              <w:right w:val="single" w:color="CCCCCC" w:sz="1"/>
            </w:tcBorders>
            <w:shd w:fill="F39C12" w:val="clear"/>
            <w:tcMar>
              <w:top w:type="dxa" w:w="60"/>
              <w:left w:type="dxa" w:w="80"/>
              <w:bottom w:type="dxa" w:w="60"/>
              <w:right w:type="dxa" w:w="80"/>
            </w:tcMar>
          </w:tcPr>
          <w:p>
            <w:pPr>
              <w:jc w:val="center"/>
            </w:pPr>
            <w:r>
              <w:rPr>
                <w:rFonts w:ascii="Arial" w:cs="Arial" w:eastAsia="Arial" w:hAnsi="Arial"/>
                <w:b/>
                <w:bCs/>
                <w:color w:val="FFFFFF"/>
                <w:sz w:val="22"/>
                <w:szCs w:val="22"/>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3436"/>
                <w:sz w:val="18"/>
                <w:szCs w:val="18"/>
              </w:rPr>
              <w:t xml:space="preserve">Subject threading within session</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2D3436"/>
                <w:sz w:val="18"/>
                <w:szCs w:val="18"/>
              </w:rPr>
              <w:t xml:space="preserve">Same subject used across all steps in one session</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18"/>
                <w:szCs w:val="18"/>
              </w:rPr>
              <w:t xml:space="preserve">Same subject threaded through chain rows (UI prompt only — not validated)</w:t>
            </w:r>
          </w:p>
        </w:tc>
        <w:tc>
          <w:tcPr>
            <w:tcW w:type="dxa" w:w="1200"/>
            <w:tcBorders>
              <w:top w:val="single" w:color="CCCCCC" w:sz="1"/>
              <w:left w:val="single" w:color="CCCCCC" w:sz="1"/>
              <w:bottom w:val="single" w:color="CCCCCC" w:sz="1"/>
              <w:right w:val="single" w:color="CCCCCC" w:sz="1"/>
            </w:tcBorders>
            <w:shd w:fill="F39C12" w:val="clear"/>
            <w:tcMar>
              <w:top w:type="dxa" w:w="60"/>
              <w:left w:type="dxa" w:w="80"/>
              <w:bottom w:type="dxa" w:w="60"/>
              <w:right w:type="dxa" w:w="80"/>
            </w:tcMar>
          </w:tcPr>
          <w:p>
            <w:pPr>
              <w:jc w:val="center"/>
            </w:pPr>
            <w:r>
              <w:rPr>
                <w:rFonts w:ascii="Arial" w:cs="Arial" w:eastAsia="Arial" w:hAnsi="Arial"/>
                <w:b/>
                <w:bCs/>
                <w:color w:val="FFFFFF"/>
                <w:sz w:val="22"/>
                <w:szCs w:val="22"/>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D3436"/>
                <w:sz w:val="18"/>
                <w:szCs w:val="18"/>
              </w:rPr>
              <w:t xml:space="preserve">Subject changes between sessions</w:t>
            </w:r>
          </w:p>
        </w:tc>
        <w:tc>
          <w:tcPr>
            <w:tcW w:type="dxa" w:w="28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2D3436"/>
                <w:sz w:val="18"/>
                <w:szCs w:val="18"/>
              </w:rPr>
              <w:t xml:space="preserve">New named subject each day</w:t>
            </w:r>
          </w:p>
        </w:tc>
        <w:tc>
          <w:tcPr>
            <w:tcW w:type="dxa" w:w="28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D3436"/>
                <w:sz w:val="18"/>
                <w:szCs w:val="18"/>
              </w:rPr>
              <w:t xml:space="preserve">New subject each session (SubjectPicker)</w:t>
            </w:r>
          </w:p>
        </w:tc>
        <w:tc>
          <w:tcPr>
            <w:tcW w:type="dxa" w:w="1200"/>
            <w:tcBorders>
              <w:top w:val="single" w:color="CCCCCC" w:sz="1"/>
              <w:left w:val="single" w:color="CCCCCC" w:sz="1"/>
              <w:bottom w:val="single" w:color="CCCCCC" w:sz="1"/>
              <w:right w:val="single" w:color="CCCCCC" w:sz="1"/>
            </w:tcBorders>
            <w:shd w:fill="00B894" w:val="clear"/>
            <w:tcMar>
              <w:top w:type="dxa" w:w="60"/>
              <w:left w:type="dxa" w:w="80"/>
              <w:bottom w:type="dxa" w:w="60"/>
              <w:right w:type="dxa" w:w="80"/>
            </w:tcMar>
          </w:tcPr>
          <w:p>
            <w:pPr>
              <w:jc w:val="center"/>
            </w:pPr>
            <w:r>
              <w:rPr>
                <w:rFonts w:ascii="Arial" w:cs="Arial" w:eastAsia="Arial" w:hAnsi="Arial"/>
                <w:b/>
                <w:bCs/>
                <w:color w:val="FFFFFF"/>
                <w:sz w:val="22"/>
                <w:szCs w:val="22"/>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3436"/>
                <w:sz w:val="18"/>
                <w:szCs w:val="18"/>
              </w:rPr>
              <w:t xml:space="preserve">Word banks vocabulary</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2D3436"/>
                <w:sz w:val="18"/>
                <w:szCs w:val="18"/>
              </w:rPr>
              <w:t xml:space="preserve">Everyday concrete nouns (pavement, school, street)</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18"/>
                <w:szCs w:val="18"/>
              </w:rPr>
              <w:t xml:space="preserve">Mythic/abstract nouns (glacier, volcano, dragon, storm)</w:t>
            </w:r>
          </w:p>
        </w:tc>
        <w:tc>
          <w:tcPr>
            <w:tcW w:type="dxa" w:w="1200"/>
            <w:tcBorders>
              <w:top w:val="single" w:color="CCCCCC" w:sz="1"/>
              <w:left w:val="single" w:color="CCCCCC" w:sz="1"/>
              <w:bottom w:val="single" w:color="CCCCCC" w:sz="1"/>
              <w:right w:val="single" w:color="CCCCCC" w:sz="1"/>
            </w:tcBorders>
            <w:shd w:fill="E17055" w:val="clear"/>
            <w:tcMar>
              <w:top w:type="dxa" w:w="60"/>
              <w:left w:type="dxa" w:w="80"/>
              <w:bottom w:type="dxa" w:w="60"/>
              <w:right w:type="dxa" w:w="80"/>
            </w:tcMar>
          </w:tcPr>
          <w:p>
            <w:pPr>
              <w:jc w:val="center"/>
            </w:pPr>
            <w:r>
              <w:rPr>
                <w:rFonts w:ascii="Arial" w:cs="Arial" w:eastAsia="Arial" w:hAnsi="Arial"/>
                <w:b/>
                <w:bCs/>
                <w:color w:val="FFFFFF"/>
                <w:sz w:val="22"/>
                <w:szCs w:val="22"/>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D3436"/>
                <w:sz w:val="18"/>
                <w:szCs w:val="18"/>
              </w:rPr>
              <w:t xml:space="preserve">Story context question</w:t>
            </w:r>
          </w:p>
        </w:tc>
        <w:tc>
          <w:tcPr>
            <w:tcW w:type="dxa" w:w="28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color w:val="2D3436"/>
                <w:sz w:val="18"/>
                <w:szCs w:val="18"/>
              </w:rPr>
              <w:t xml:space="preserve">"Is this beginning, middle, or end?" asked before writing</w:t>
            </w:r>
          </w:p>
        </w:tc>
        <w:tc>
          <w:tcPr>
            <w:tcW w:type="dxa" w:w="28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D3436"/>
                <w:sz w:val="18"/>
                <w:szCs w:val="18"/>
              </w:rPr>
              <w:t xml:space="preserve">Not present in any UI screen</w:t>
            </w:r>
          </w:p>
        </w:tc>
        <w:tc>
          <w:tcPr>
            <w:tcW w:type="dxa" w:w="1200"/>
            <w:tcBorders>
              <w:top w:val="single" w:color="CCCCCC" w:sz="1"/>
              <w:left w:val="single" w:color="CCCCCC" w:sz="1"/>
              <w:bottom w:val="single" w:color="CCCCCC" w:sz="1"/>
              <w:right w:val="single" w:color="CCCCCC" w:sz="1"/>
            </w:tcBorders>
            <w:shd w:fill="E17055" w:val="clear"/>
            <w:tcMar>
              <w:top w:type="dxa" w:w="60"/>
              <w:left w:type="dxa" w:w="80"/>
              <w:bottom w:type="dxa" w:w="60"/>
              <w:right w:type="dxa" w:w="80"/>
            </w:tcMar>
          </w:tcPr>
          <w:p>
            <w:pPr>
              <w:jc w:val="center"/>
            </w:pPr>
            <w:r>
              <w:rPr>
                <w:rFonts w:ascii="Arial" w:cs="Arial" w:eastAsia="Arial" w:hAnsi="Arial"/>
                <w:b/>
                <w:bCs/>
                <w:color w:val="FFFFFF"/>
                <w:sz w:val="22"/>
                <w:szCs w:val="22"/>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3436"/>
                <w:sz w:val="18"/>
                <w:szCs w:val="18"/>
              </w:rPr>
              <w:t xml:space="preserve">Growing sentence display</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2D3436"/>
                <w:sz w:val="18"/>
                <w:szCs w:val="18"/>
              </w:rPr>
              <w:t xml:space="preserve">Class board shows each step as a visual extension of the last</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18"/>
                <w:szCs w:val="18"/>
              </w:rPr>
              <w:t xml:space="preserve">SessionComplete shows accepted sentences but without diff highlights</w:t>
            </w:r>
          </w:p>
        </w:tc>
        <w:tc>
          <w:tcPr>
            <w:tcW w:type="dxa" w:w="1200"/>
            <w:tcBorders>
              <w:top w:val="single" w:color="CCCCCC" w:sz="1"/>
              <w:left w:val="single" w:color="CCCCCC" w:sz="1"/>
              <w:bottom w:val="single" w:color="CCCCCC" w:sz="1"/>
              <w:right w:val="single" w:color="CCCCCC" w:sz="1"/>
            </w:tcBorders>
            <w:shd w:fill="E17055" w:val="clear"/>
            <w:tcMar>
              <w:top w:type="dxa" w:w="60"/>
              <w:left w:type="dxa" w:w="80"/>
              <w:bottom w:type="dxa" w:w="60"/>
              <w:right w:type="dxa" w:w="80"/>
            </w:tcMar>
          </w:tcPr>
          <w:p>
            <w:pPr>
              <w:jc w:val="center"/>
            </w:pPr>
            <w:r>
              <w:rPr>
                <w:rFonts w:ascii="Arial" w:cs="Arial" w:eastAsia="Arial" w:hAnsi="Arial"/>
                <w:b/>
                <w:bCs/>
                <w:color w:val="FFFFFF"/>
                <w:sz w:val="22"/>
                <w:szCs w:val="22"/>
              </w:rPr>
              <w:t xml:space="preserve">❌</w:t>
            </w:r>
          </w:p>
        </w:tc>
      </w:tr>
    </w:tbl>
    <w:p>
      <w:pPr>
        <w:spacing w:after="0" w:before="100"/>
      </w:pPr>
      <w:r>
        <w:t xml:space="preserve"/>
      </w:r>
    </w:p>
    <w:p>
      <w:pPr>
        <w:pStyle w:val="Heading2"/>
        <w:pBdr>
          <w:bottom w:val="single" w:color="6C5CE7" w:sz="4" w:space="4"/>
        </w:pBdr>
        <w:spacing w:after="120" w:before="320"/>
      </w:pPr>
      <w:r>
        <w:rPr>
          <w:rFonts w:ascii="Arial" w:cs="Arial" w:eastAsia="Arial" w:hAnsi="Arial"/>
          <w:b/>
          <w:bCs/>
          <w:color w:val="2D3436"/>
          <w:sz w:val="28"/>
          <w:szCs w:val="28"/>
        </w:rPr>
        <w:t xml:space="preserve">5.3 Root-cause analysis — why the gaps exist</w:t>
      </w:r>
    </w:p>
    <w:p>
      <w:pPr>
        <w:pStyle w:val="Heading3"/>
        <w:spacing w:after="80" w:before="240"/>
      </w:pPr>
      <w:r>
        <w:rPr>
          <w:rFonts w:ascii="Arial" w:cs="Arial" w:eastAsia="Arial" w:hAnsi="Arial"/>
          <w:b/>
          <w:bCs/>
          <w:color w:val="6C5CE7"/>
          <w:sz w:val="24"/>
          <w:szCs w:val="24"/>
        </w:rPr>
        <w:t xml:space="preserve">The formula starting point is wrong</w:t>
      </w:r>
    </w:p>
    <w:p>
      <w:pPr>
        <w:spacing w:after="120" w:before="80"/>
      </w:pPr>
      <w:r>
        <w:rPr>
          <w:rFonts w:ascii="Arial" w:cs="Arial" w:eastAsia="Arial" w:hAnsi="Arial"/>
          <w:color w:val="2D3436"/>
          <w:sz w:val="22"/>
          <w:szCs w:val="22"/>
        </w:rPr>
        <w:t xml:space="preserve">The most consequential gap is the base formula. The classroom model opens with five elements because a grammatically complete, contextualised sentence — "Ben is on a pavement" — is more pedagogically useful as a foundation than "Dogs swim." A sentence with a preposition and object immediately places the action in the world. It gives pupils somewhere to add the adjective (Step 2: "a street pavement") in a way that feels meaningful rather than abstract. The app's L1 pattern of noun + verb produces a sentence that has nowhere natural to go next without first introducing a determiner — which is why the app's progression immediately feels out of order.</w:t>
      </w:r>
    </w:p>
    <w:p>
      <w:pPr>
        <w:pStyle w:val="Heading3"/>
        <w:spacing w:after="80" w:before="240"/>
      </w:pPr>
      <w:r>
        <w:rPr>
          <w:rFonts w:ascii="Arial" w:cs="Arial" w:eastAsia="Arial" w:hAnsi="Arial"/>
          <w:b/>
          <w:bCs/>
          <w:color w:val="6C5CE7"/>
          <w:sz w:val="24"/>
          <w:szCs w:val="24"/>
        </w:rPr>
        <w:t xml:space="preserve">The subject type matters</w:t>
      </w:r>
    </w:p>
    <w:p>
      <w:pPr>
        <w:spacing w:after="120" w:before="80"/>
      </w:pPr>
      <w:r>
        <w:rPr>
          <w:rFonts w:ascii="Arial" w:cs="Arial" w:eastAsia="Arial" w:hAnsi="Arial"/>
          <w:color w:val="2D3436"/>
          <w:sz w:val="22"/>
          <w:szCs w:val="22"/>
        </w:rPr>
        <w:t xml:space="preserve">Using a proper noun ("Ben") rather than a common noun ("fish") is not a cosmetic choice. Proper nouns require no determiner in subject position, which means the determiner can be introduced later — and more meaningfully — when it wraps the subject as an expanded noun phrase ("The smart Ben") at Step 4. Common nouns like "fish" or "storm" need a determiner almost immediately if the sentence is to sound natural, which forces the app to introduce determiners at L2 before pupils understand what role they play.</w:t>
      </w:r>
    </w:p>
    <w:p>
      <w:pPr>
        <w:pStyle w:val="Heading3"/>
        <w:spacing w:after="80" w:before="240"/>
      </w:pPr>
      <w:r>
        <w:rPr>
          <w:rFonts w:ascii="Arial" w:cs="Arial" w:eastAsia="Arial" w:hAnsi="Arial"/>
          <w:b/>
          <w:bCs/>
          <w:color w:val="6C5CE7"/>
          <w:sz w:val="24"/>
          <w:szCs w:val="24"/>
        </w:rPr>
        <w:t xml:space="preserve">WordClass enum has no auxiliary verb or object role</w:t>
      </w:r>
    </w:p>
    <w:p>
      <w:pPr>
        <w:spacing w:after="120" w:before="80"/>
      </w:pPr>
      <w:r>
        <w:rPr>
          <w:rFonts w:ascii="Arial" w:cs="Arial" w:eastAsia="Arial" w:hAnsi="Arial"/>
          <w:color w:val="2D3436"/>
          <w:sz w:val="22"/>
          <w:szCs w:val="22"/>
        </w:rPr>
        <w:t xml:space="preserve">The app's WordClass enum contains eight types: DETERMINER, ADJECTIVE, NOUN, VERB, ADVERB, PREPOSITION, PRONOUN, CONJUNCTION. There is no AUXILIARY_VERB to represent the "is" in "is walking", no way to distinguish the subject NOUN from the object NOUN in the same sentence, and no FRONTED_ADVERBIAL as a compound element type. This means the validator cannot currently enforce the Step 3 continuous structure or correctly identify when a noun is acting as the object rather than the subject.</w:t>
      </w:r>
    </w:p>
    <w:p>
      <w:pPr>
        <w:pStyle w:val="Heading3"/>
        <w:spacing w:after="80" w:before="240"/>
      </w:pPr>
      <w:r>
        <w:rPr>
          <w:rFonts w:ascii="Arial" w:cs="Arial" w:eastAsia="Arial" w:hAnsi="Arial"/>
          <w:b/>
          <w:bCs/>
          <w:color w:val="6C5CE7"/>
          <w:sz w:val="24"/>
          <w:szCs w:val="24"/>
        </w:rPr>
        <w:t xml:space="preserve">Subject enforcement is missing from the validator</w:t>
      </w:r>
    </w:p>
    <w:p>
      <w:pPr>
        <w:spacing w:after="120" w:before="80"/>
      </w:pPr>
      <w:r>
        <w:rPr>
          <w:rFonts w:ascii="Arial" w:cs="Arial" w:eastAsia="Arial" w:hAnsi="Arial"/>
          <w:color w:val="2D3436"/>
          <w:sz w:val="22"/>
          <w:szCs w:val="22"/>
        </w:rPr>
        <w:t xml:space="preserve">validateChainSentence() uses the subject noun to improve POS-tagging accuracy but does not check that the noun actually appears in the accepted sentence. A pupil who chose "Ben" as their subject can write "The ancient storm roared bravely" and it will be marked correct if the word class pattern matches. The chain's defining pedagogical feature — the same subject evolving across all steps — is a UI prompt only, not a validation rule.</w:t>
      </w:r>
    </w:p>
    <w:p>
      <w:pPr>
        <w:pStyle w:val="Heading3"/>
        <w:spacing w:after="80" w:before="240"/>
      </w:pPr>
      <w:r>
        <w:rPr>
          <w:rFonts w:ascii="Arial" w:cs="Arial" w:eastAsia="Arial" w:hAnsi="Arial"/>
          <w:b/>
          <w:bCs/>
          <w:color w:val="6C5CE7"/>
          <w:sz w:val="24"/>
          <w:szCs w:val="24"/>
        </w:rPr>
        <w:t xml:space="preserve">Word banks use the wrong register</w:t>
      </w:r>
    </w:p>
    <w:p>
      <w:pPr>
        <w:spacing w:after="120" w:before="80"/>
      </w:pPr>
      <w:r>
        <w:rPr>
          <w:rFonts w:ascii="Arial" w:cs="Arial" w:eastAsia="Arial" w:hAnsi="Arial"/>
          <w:color w:val="2D3436"/>
          <w:sz w:val="22"/>
          <w:szCs w:val="22"/>
        </w:rPr>
        <w:t xml:space="preserve">The L1 word bank contains: cat, dog, bird, fish, tree, sun, moon, star, house, book. The L2 bank contains: dragon, tiger, owl, dolphin, bear, leopard, eagle, wolf. These are either too abstract (celestial objects, mythic creatures) or too concrete-but-static (household objects) for the classroom model, which uses active, person-centred subjects in everyday settings. A pupil writing "Ben is on a pavement" needs a word bank that contains pavements, streets, schools, parks and playgrounds — not glaciers and volcanoes.</w:t>
      </w:r>
    </w:p>
    <w:p>
      <w:pPr>
        <w:spacing w:after="0" w:before="80"/>
      </w:pPr>
      <w:r>
        <w:t xml:space="preserve"/>
      </w:r>
    </w:p>
    <w:p>
      <w:pPr>
        <w:pStyle w:val="Heading2"/>
        <w:pBdr>
          <w:bottom w:val="single" w:color="6C5CE7" w:sz="4" w:space="4"/>
        </w:pBdr>
        <w:spacing w:after="120" w:before="320"/>
      </w:pPr>
      <w:r>
        <w:rPr>
          <w:rFonts w:ascii="Arial" w:cs="Arial" w:eastAsia="Arial" w:hAnsi="Arial"/>
          <w:b/>
          <w:bCs/>
          <w:color w:val="2D3436"/>
          <w:sz w:val="28"/>
          <w:szCs w:val="28"/>
        </w:rPr>
        <w:t xml:space="preserve">5.4 What one-to-one alignment would require</w:t>
      </w:r>
    </w:p>
    <w:p>
      <w:pPr>
        <w:spacing w:after="120" w:before="80"/>
      </w:pPr>
      <w:r>
        <w:rPr>
          <w:rFonts w:ascii="Arial" w:cs="Arial" w:eastAsia="Arial" w:hAnsi="Arial"/>
          <w:color w:val="2D3436"/>
          <w:sz w:val="22"/>
          <w:szCs w:val="22"/>
        </w:rPr>
        <w:t xml:space="preserve">Achieving full alignment with the classroom model involves changes at four layers of the stack:</w:t>
      </w:r>
    </w:p>
    <w:p>
      <w:pPr>
        <w:pStyle w:val="Heading3"/>
        <w:spacing w:after="80" w:before="240"/>
      </w:pPr>
      <w:r>
        <w:rPr>
          <w:rFonts w:ascii="Arial" w:cs="Arial" w:eastAsia="Arial" w:hAnsi="Arial"/>
          <w:b/>
          <w:bCs/>
          <w:color w:val="6C5CE7"/>
          <w:sz w:val="24"/>
          <w:szCs w:val="24"/>
        </w:rPr>
        <w:t xml:space="preserve">Layer 1 — Formula definitions (formulaDefinitions.ts)</w:t>
      </w:r>
    </w:p>
    <w:p>
      <w:pPr>
        <w:spacing w:after="120" w:before="80"/>
      </w:pPr>
      <w:r>
        <w:rPr>
          <w:rFonts w:ascii="Arial" w:cs="Arial" w:eastAsia="Arial" w:hAnsi="Arial"/>
          <w:color w:val="2D3436"/>
          <w:sz w:val="22"/>
          <w:szCs w:val="22"/>
        </w:rPr>
        <w:t xml:space="preserve">Rewrite the L1–L9 definitions to match the nine classroom steps exactly. L1 becomes "subject + verb + prep + det + object" with "Ben is on a pavement." as the model sentence. Each subsequent step adds one element as documented. The current L1 (noun + verb) can be retained as a pre-foundation warm-up level for the very earliest learners but should not be the main entry point.</w:t>
      </w:r>
    </w:p>
    <w:p>
      <w:pPr>
        <w:pStyle w:val="Heading3"/>
        <w:spacing w:after="80" w:before="240"/>
      </w:pPr>
      <w:r>
        <w:rPr>
          <w:rFonts w:ascii="Arial" w:cs="Arial" w:eastAsia="Arial" w:hAnsi="Arial"/>
          <w:b/>
          <w:bCs/>
          <w:color w:val="6C5CE7"/>
          <w:sz w:val="24"/>
          <w:szCs w:val="24"/>
        </w:rPr>
        <w:t xml:space="preserve">Layer 2 — WordClass enum and validator (types/index.ts + validateChainSentence.ts)</w:t>
      </w:r>
    </w:p>
    <w:p>
      <w:pPr>
        <w:spacing w:after="120" w:before="80"/>
      </w:pPr>
      <w:r>
        <w:rPr>
          <w:rFonts w:ascii="Arial" w:cs="Arial" w:eastAsia="Arial" w:hAnsi="Arial"/>
          <w:color w:val="2D3436"/>
          <w:sz w:val="22"/>
          <w:szCs w:val="22"/>
        </w:rPr>
        <w:t xml:space="preserve">Add AUXILIARY_VERB to the WordClass enum to represent modal and helping verbs ("is", "will", "has"). Add a SUBJECT and OBJECT role distinction — either as separate types or as metadata on existing NOUN tokens. Enforce subject noun presence as a hard validation rule. Update parseSentence() to recognise "is [verb]-ing" as a continuous tense pattern.</w:t>
      </w:r>
    </w:p>
    <w:p>
      <w:pPr>
        <w:pStyle w:val="Heading3"/>
        <w:spacing w:after="80" w:before="240"/>
      </w:pPr>
      <w:r>
        <w:rPr>
          <w:rFonts w:ascii="Arial" w:cs="Arial" w:eastAsia="Arial" w:hAnsi="Arial"/>
          <w:b/>
          <w:bCs/>
          <w:color w:val="6C5CE7"/>
          <w:sz w:val="24"/>
          <w:szCs w:val="24"/>
        </w:rPr>
        <w:t xml:space="preserve">Layer 3 — SubjectPicker and word banks</w:t>
      </w:r>
    </w:p>
    <w:p>
      <w:pPr>
        <w:spacing w:after="120" w:before="80"/>
      </w:pPr>
      <w:r>
        <w:rPr>
          <w:rFonts w:ascii="Arial" w:cs="Arial" w:eastAsia="Arial" w:hAnsi="Arial"/>
          <w:color w:val="2D3436"/>
          <w:sz w:val="22"/>
          <w:szCs w:val="22"/>
        </w:rPr>
        <w:t xml:space="preserve">Replace the free-text common-noun input with a SubjectPicker that defaults to a named person or character ("Ben", "Sam", "Mia", or the pupil's own name). The teacher's weekly theme should supply contextually appropriate object nouns (pavements, school, park) rather than the current abstract/mythic vocabulary. Word bank content at L1–L5 should be rewritten to use everyday concrete settings.</w:t>
      </w:r>
    </w:p>
    <w:p>
      <w:pPr>
        <w:pStyle w:val="Heading3"/>
        <w:spacing w:after="80" w:before="240"/>
      </w:pPr>
      <w:r>
        <w:rPr>
          <w:rFonts w:ascii="Arial" w:cs="Arial" w:eastAsia="Arial" w:hAnsi="Arial"/>
          <w:b/>
          <w:bCs/>
          <w:color w:val="6C5CE7"/>
          <w:sz w:val="24"/>
          <w:szCs w:val="24"/>
        </w:rPr>
        <w:t xml:space="preserve">Layer 4 — Chain UI (ChainRow, SessionComplete)</w:t>
      </w:r>
    </w:p>
    <w:p>
      <w:pPr>
        <w:spacing w:after="120" w:before="80"/>
      </w:pPr>
      <w:r>
        <w:rPr>
          <w:rFonts w:ascii="Arial" w:cs="Arial" w:eastAsia="Arial" w:hAnsi="Arial"/>
          <w:color w:val="2D3436"/>
          <w:sz w:val="22"/>
          <w:szCs w:val="22"/>
        </w:rPr>
        <w:t xml:space="preserve">After each row is accepted, display the new element added as a coloured badge ("+ADV", "+DET+ADJ" etc.) so pupils can see the one-element growth rule in action. In SessionComplete, stack all accepted sentences with the new words highlighted in the word-class colour — recreating the visual experience of the classroom board where the growing sentence is visible to every pupil simultaneously. Add the story-context prompt ("Is this the beginning, middle, or end of a story?") before the chain starts, so pupils approach composition with narrative intent from the first level.</w:t>
      </w:r>
    </w:p>
    <w:p>
      <w:r>
        <w:br w:type="page"/>
      </w:r>
    </w:p>
    <w:p>
      <w:pPr>
        <w:pStyle w:val="Heading1"/>
        <w:spacing w:after="160" w:before="400"/>
      </w:pPr>
      <w:r>
        <w:rPr>
          <w:rFonts w:ascii="Arial" w:cs="Arial" w:eastAsia="Arial" w:hAnsi="Arial"/>
          <w:b/>
          <w:bCs/>
          <w:color w:val="6C5CE7"/>
          <w:sz w:val="36"/>
          <w:szCs w:val="36"/>
        </w:rPr>
        <w:t xml:space="preserve">6. Google Play Store Direct Sign-Up Strategy</w:t>
      </w:r>
    </w:p>
    <w:p>
      <w:pPr>
        <w:spacing w:after="120" w:before="80"/>
      </w:pPr>
      <w:r>
        <w:rPr>
          <w:rFonts w:ascii="Arial" w:cs="Arial" w:eastAsia="Arial" w:hAnsi="Arial"/>
          <w:color w:val="2D3436"/>
          <w:sz w:val="22"/>
          <w:szCs w:val="22"/>
        </w:rPr>
        <w:t xml:space="preserve">WriFe PWP Studio is a Progressive Web App (PWA) built with Vite + VitePWA + Workbox, and it already has a valid Web App Manifest. This is the foundation required for publishing to Google Play through a mechanism called a Trusted Web Activity (TWA). A TWA wraps a PWA in a thin Android shell that Google accepts as a native Play Store app.</w:t>
      </w:r>
    </w:p>
    <w:p>
      <w:pPr>
        <w:spacing w:after="0" w:before="80"/>
      </w:pPr>
      <w:r>
        <w:t xml:space="preserve"/>
      </w:r>
    </w:p>
    <w:p>
      <w:pPr>
        <w:pStyle w:val="Heading2"/>
        <w:pBdr>
          <w:bottom w:val="single" w:color="6C5CE7" w:sz="4" w:space="4"/>
        </w:pBdr>
        <w:spacing w:after="120" w:before="320"/>
      </w:pPr>
      <w:r>
        <w:rPr>
          <w:rFonts w:ascii="Arial" w:cs="Arial" w:eastAsia="Arial" w:hAnsi="Arial"/>
          <w:b/>
          <w:bCs/>
          <w:color w:val="2D3436"/>
          <w:sz w:val="28"/>
          <w:szCs w:val="28"/>
        </w:rPr>
        <w:t xml:space="preserve">5.1 What users want</w:t>
      </w:r>
    </w:p>
    <w:p>
      <w:pPr>
        <w:spacing w:after="120" w:before="80"/>
      </w:pPr>
      <w:r>
        <w:rPr>
          <w:rFonts w:ascii="Arial" w:cs="Arial" w:eastAsia="Arial" w:hAnsi="Arial"/>
          <w:color w:val="2D3436"/>
          <w:sz w:val="22"/>
          <w:szCs w:val="22"/>
        </w:rPr>
        <w:t xml:space="preserve">The goal is that a parent can open the Google Play Store, search “WriFe”, install the app, tap it from their home screen, and their child can sign in or create an account — exactly as they would with any other school app. No browser navigation, no typing URLs.</w:t>
      </w:r>
    </w:p>
    <w:p>
      <w:pPr>
        <w:spacing w:after="120" w:before="80"/>
      </w:pPr>
      <w:r>
        <w:rPr>
          <w:rFonts w:ascii="Arial" w:cs="Arial" w:eastAsia="Arial" w:hAnsi="Arial"/>
          <w:color w:val="2D3436"/>
          <w:sz w:val="22"/>
          <w:szCs w:val="22"/>
        </w:rPr>
        <w:t xml:space="preserve">For school-purchased subscriptions this is straightforward (the school admin sets up the teacher, who adds pupils). For the direct parent/pupil route, the app needs a self-service sign-up flow that creates a home account with a parent profile and an associated child profile — without requiring a school to be involved.</w:t>
      </w:r>
    </w:p>
    <w:p>
      <w:pPr>
        <w:spacing w:after="0" w:before="80"/>
      </w:pPr>
      <w:r>
        <w:t xml:space="preserve"/>
      </w:r>
    </w:p>
    <w:p>
      <w:pPr>
        <w:pStyle w:val="Heading2"/>
        <w:pBdr>
          <w:bottom w:val="single" w:color="6C5CE7" w:sz="4" w:space="4"/>
        </w:pBdr>
        <w:spacing w:after="120" w:before="320"/>
      </w:pPr>
      <w:r>
        <w:rPr>
          <w:rFonts w:ascii="Arial" w:cs="Arial" w:eastAsia="Arial" w:hAnsi="Arial"/>
          <w:b/>
          <w:bCs/>
          <w:color w:val="2D3436"/>
          <w:sz w:val="28"/>
          <w:szCs w:val="28"/>
        </w:rPr>
        <w:t xml:space="preserve">5.2 Technical approach — Trusted Web Activity</w:t>
      </w:r>
    </w:p>
    <w:p>
      <w:pPr>
        <w:pStyle w:val="ListParagraph"/>
        <w:numPr>
          <w:ilvl w:val="0"/>
          <w:numId w:val="2"/>
        </w:numPr>
        <w:spacing w:after="40" w:before="40"/>
      </w:pPr>
      <w:r>
        <w:rPr>
          <w:rFonts w:ascii="Arial" w:cs="Arial" w:eastAsia="Arial" w:hAnsi="Arial"/>
          <w:color w:val="2D3436"/>
          <w:sz w:val="22"/>
          <w:szCs w:val="22"/>
        </w:rPr>
        <w:t xml:space="preserve">A TWA is an Android Activity that displays a website in Chrome’s full-screen rendering engine. Because it uses the same Chrome engine the user already has installed, the PWA receives exactly the same experience as the installed web version.</w:t>
      </w:r>
    </w:p>
    <w:p>
      <w:pPr>
        <w:pStyle w:val="ListParagraph"/>
        <w:numPr>
          <w:ilvl w:val="0"/>
          <w:numId w:val="2"/>
        </w:numPr>
        <w:spacing w:after="40" w:before="40"/>
      </w:pPr>
      <w:r>
        <w:rPr>
          <w:rFonts w:ascii="Arial" w:cs="Arial" w:eastAsia="Arial" w:hAnsi="Arial"/>
          <w:color w:val="2D3436"/>
          <w:sz w:val="22"/>
          <w:szCs w:val="22"/>
        </w:rPr>
        <w:t xml:space="preserve">Google Play requires the app to pass a Digital Asset Links verification: a JSON file hosted at https://pwp-studio.wrife.co.uk/.well-known/assetlinks.json must list the signing certificate fingerprint of the Android app package. Chrome checks this before granting the TWA the “trusted” status that hides the browser UI.</w:t>
      </w:r>
    </w:p>
    <w:p>
      <w:pPr>
        <w:pStyle w:val="ListParagraph"/>
        <w:numPr>
          <w:ilvl w:val="0"/>
          <w:numId w:val="2"/>
        </w:numPr>
        <w:spacing w:after="40" w:before="40"/>
      </w:pPr>
      <w:r>
        <w:rPr>
          <w:rFonts w:ascii="Arial" w:cs="Arial" w:eastAsia="Arial" w:hAnsi="Arial"/>
          <w:color w:val="2D3436"/>
          <w:sz w:val="22"/>
          <w:szCs w:val="22"/>
        </w:rPr>
        <w:t xml:space="preserve">The PWA manifest in vite.config.ts is already configured with name, short_name, description, theme_color, background_color, display: standalone, and icons. The icons currently point to mascot_std_1.png which is only 192×192. Google Play requires at least a 512×512 icon and a 1024×500 Feature Graphic for the store listing.</w:t>
      </w:r>
    </w:p>
    <w:p>
      <w:pPr>
        <w:spacing w:after="0" w:before="80"/>
      </w:pPr>
      <w:r>
        <w:t xml:space="preserve"/>
      </w:r>
    </w:p>
    <w:p>
      <w:pPr>
        <w:pStyle w:val="Heading2"/>
        <w:pBdr>
          <w:bottom w:val="single" w:color="6C5CE7" w:sz="4" w:space="4"/>
        </w:pBdr>
        <w:spacing w:after="120" w:before="320"/>
      </w:pPr>
      <w:r>
        <w:rPr>
          <w:rFonts w:ascii="Arial" w:cs="Arial" w:eastAsia="Arial" w:hAnsi="Arial"/>
          <w:b/>
          <w:bCs/>
          <w:color w:val="2D3436"/>
          <w:sz w:val="28"/>
          <w:szCs w:val="28"/>
        </w:rPr>
        <w:t xml:space="preserve">5.3 Step-by-step implementation plan</w:t>
      </w:r>
    </w:p>
    <w:p>
      <w:pPr>
        <w:pStyle w:val="ListParagraph"/>
        <w:numPr>
          <w:ilvl w:val="0"/>
          <w:numId w:val="3"/>
        </w:numPr>
        <w:spacing w:after="40" w:before="40"/>
      </w:pPr>
      <w:r>
        <w:rPr>
          <w:rFonts w:ascii="Arial" w:cs="Arial" w:eastAsia="Arial" w:hAnsi="Arial"/>
          <w:b/>
          <w:bCs/>
          <w:color w:val="2D3436"/>
          <w:sz w:val="22"/>
          <w:szCs w:val="22"/>
        </w:rPr>
        <w:t xml:space="preserve">Design — create a 512×512 app icon (transparent background, no notch), a 1024×500 feature graphic, and 2–4 phone screenshots of the app in use. All must meet Google Play’s content and branding policies.: </w:t>
      </w:r>
      <w:r>
        <w:rPr>
          <w:rFonts w:ascii="Arial" w:cs="Arial" w:eastAsia="Arial" w:hAnsi="Arial"/>
          <w:color w:val="2D3436"/>
          <w:sz w:val="22"/>
          <w:szCs w:val="22"/>
        </w:rPr>
        <w:t xml:space="preserve">Prepare store-quality assets</w:t>
      </w:r>
    </w:p>
    <w:p>
      <w:pPr>
        <w:pStyle w:val="ListParagraph"/>
        <w:numPr>
          <w:ilvl w:val="0"/>
          <w:numId w:val="3"/>
        </w:numPr>
        <w:spacing w:after="40" w:before="40"/>
      </w:pPr>
      <w:r>
        <w:rPr>
          <w:rFonts w:ascii="Arial" w:cs="Arial" w:eastAsia="Arial" w:hAnsi="Arial"/>
          <w:b/>
          <w:bCs/>
          <w:color w:val="2D3436"/>
          <w:sz w:val="22"/>
          <w:szCs w:val="22"/>
        </w:rPr>
        <w:t xml:space="preserve">Development — add a 512×512 maskable icon to /public/icons/ and reference it in the VitePWA manifest config. Verify the manifest is valid with Lighthouse (score must be 100% for installability).: </w:t>
      </w:r>
      <w:r>
        <w:rPr>
          <w:rFonts w:ascii="Arial" w:cs="Arial" w:eastAsia="Arial" w:hAnsi="Arial"/>
          <w:color w:val="2D3436"/>
          <w:sz w:val="22"/>
          <w:szCs w:val="22"/>
        </w:rPr>
        <w:t xml:space="preserve">Update the PWA manifest</w:t>
      </w:r>
    </w:p>
    <w:p>
      <w:pPr>
        <w:pStyle w:val="ListParagraph"/>
        <w:numPr>
          <w:ilvl w:val="0"/>
          <w:numId w:val="3"/>
        </w:numPr>
        <w:spacing w:after="40" w:before="40"/>
      </w:pPr>
      <w:r>
        <w:rPr>
          <w:rFonts w:ascii="Arial" w:cs="Arial" w:eastAsia="Arial" w:hAnsi="Arial"/>
          <w:b/>
          <w:bCs/>
          <w:color w:val="2D3436"/>
          <w:sz w:val="22"/>
          <w:szCs w:val="22"/>
        </w:rPr>
        <w:t xml:space="preserve">Development — Google’s Bubblewrap CLI (npm install -g @bubblewrap/cli) scaffolds an Android project from the manifest URL. Run: bubblewrap init --manifest https://pwp-studio.wrife.co.uk/manifest.webmanifest. Bubblewrap generates a Gradle project. Build the signed APK/AAB with bubblewrap build.: </w:t>
      </w:r>
      <w:r>
        <w:rPr>
          <w:rFonts w:ascii="Arial" w:cs="Arial" w:eastAsia="Arial" w:hAnsi="Arial"/>
          <w:color w:val="2D3436"/>
          <w:sz w:val="22"/>
          <w:szCs w:val="22"/>
        </w:rPr>
        <w:t xml:space="preserve">Build the TWA with Bubblewrap</w:t>
      </w:r>
    </w:p>
    <w:p>
      <w:pPr>
        <w:pStyle w:val="ListParagraph"/>
        <w:numPr>
          <w:ilvl w:val="0"/>
          <w:numId w:val="3"/>
        </w:numPr>
        <w:spacing w:after="40" w:before="40"/>
      </w:pPr>
      <w:r>
        <w:rPr>
          <w:rFonts w:ascii="Arial" w:cs="Arial" w:eastAsia="Arial" w:hAnsi="Arial"/>
          <w:b/>
          <w:bCs/>
          <w:color w:val="2D3436"/>
          <w:sz w:val="22"/>
          <w:szCs w:val="22"/>
        </w:rPr>
        <w:t xml:space="preserve">Development — Bubblewrap creates a keystore on first build. Store it securely (it cannot be lost — Google Play ties the app identity to this key). Extract the SHA-256 fingerprint with keytool.: </w:t>
      </w:r>
      <w:r>
        <w:rPr>
          <w:rFonts w:ascii="Arial" w:cs="Arial" w:eastAsia="Arial" w:hAnsi="Arial"/>
          <w:color w:val="2D3436"/>
          <w:sz w:val="22"/>
          <w:szCs w:val="22"/>
        </w:rPr>
        <w:t xml:space="preserve">Generate the signing keystore</w:t>
      </w:r>
    </w:p>
    <w:p>
      <w:pPr>
        <w:pStyle w:val="ListParagraph"/>
        <w:numPr>
          <w:ilvl w:val="0"/>
          <w:numId w:val="3"/>
        </w:numPr>
        <w:spacing w:after="40" w:before="40"/>
      </w:pPr>
      <w:r>
        <w:rPr>
          <w:rFonts w:ascii="Arial" w:cs="Arial" w:eastAsia="Arial" w:hAnsi="Arial"/>
          <w:b/>
          <w:bCs/>
          <w:color w:val="2D3436"/>
          <w:sz w:val="22"/>
          <w:szCs w:val="22"/>
        </w:rPr>
        <w:t xml:space="preserve">DevOps — create /public/.well-known/assetlinks.json in the wrifeapp repo. Contents: [{"relation":["delegate_permission/common.handle_all_urls"],"target":{"namespace":"android_app","package_name":"co.uk.wrife.pwpstudio","sha256_cert_fingerprints":["AA:BB:..."]}}]. Verify at https://digitalassetlinks.googleapis.com/v1/statements:list?source.web.site=https://pwp-studio.wrife.co.uk&amp;relation=delegate_permission/common.handle_all_urls.: </w:t>
      </w:r>
      <w:r>
        <w:rPr>
          <w:rFonts w:ascii="Arial" w:cs="Arial" w:eastAsia="Arial" w:hAnsi="Arial"/>
          <w:color w:val="2D3436"/>
          <w:sz w:val="22"/>
          <w:szCs w:val="22"/>
        </w:rPr>
        <w:t xml:space="preserve">Publish the Digital Asset Links file</w:t>
      </w:r>
    </w:p>
    <w:p>
      <w:pPr>
        <w:pStyle w:val="ListParagraph"/>
        <w:numPr>
          <w:ilvl w:val="0"/>
          <w:numId w:val="3"/>
        </w:numPr>
        <w:spacing w:after="40" w:before="40"/>
      </w:pPr>
      <w:r>
        <w:rPr>
          <w:rFonts w:ascii="Arial" w:cs="Arial" w:eastAsia="Arial" w:hAnsi="Arial"/>
          <w:b/>
          <w:bCs/>
          <w:color w:val="2D3436"/>
          <w:sz w:val="22"/>
          <w:szCs w:val="22"/>
        </w:rPr>
        <w:t xml:space="preserve">Business — a one-time $25 USD registration fee. Register at play.google.com/console. Add a payment profile and accept the Distribution Agreement.: </w:t>
      </w:r>
      <w:r>
        <w:rPr>
          <w:rFonts w:ascii="Arial" w:cs="Arial" w:eastAsia="Arial" w:hAnsi="Arial"/>
          <w:color w:val="2D3436"/>
          <w:sz w:val="22"/>
          <w:szCs w:val="22"/>
        </w:rPr>
        <w:t xml:space="preserve">Create the Google Play developer account</w:t>
      </w:r>
    </w:p>
    <w:p>
      <w:pPr>
        <w:pStyle w:val="ListParagraph"/>
        <w:numPr>
          <w:ilvl w:val="0"/>
          <w:numId w:val="3"/>
        </w:numPr>
        <w:spacing w:after="40" w:before="40"/>
      </w:pPr>
      <w:r>
        <w:rPr>
          <w:rFonts w:ascii="Arial" w:cs="Arial" w:eastAsia="Arial" w:hAnsi="Arial"/>
          <w:b/>
          <w:bCs/>
          <w:color w:val="2D3436"/>
          <w:sz w:val="22"/>
          <w:szCs w:val="22"/>
        </w:rPr>
        <w:t xml:space="preserve">Business — upload the signed AAB, complete the store listing (description, screenshots, content rating — Education / E for Everyone), set a price (free, with in-app subscription), and submit for review. Initial review typically takes 3–5 business days.: </w:t>
      </w:r>
      <w:r>
        <w:rPr>
          <w:rFonts w:ascii="Arial" w:cs="Arial" w:eastAsia="Arial" w:hAnsi="Arial"/>
          <w:color w:val="2D3436"/>
          <w:sz w:val="22"/>
          <w:szCs w:val="22"/>
        </w:rPr>
        <w:t xml:space="preserve">Submit for review</w:t>
      </w:r>
    </w:p>
    <w:p>
      <w:pPr>
        <w:pStyle w:val="ListParagraph"/>
        <w:numPr>
          <w:ilvl w:val="0"/>
          <w:numId w:val="3"/>
        </w:numPr>
        <w:spacing w:after="40" w:before="40"/>
      </w:pPr>
      <w:r>
        <w:rPr>
          <w:rFonts w:ascii="Arial" w:cs="Arial" w:eastAsia="Arial" w:hAnsi="Arial"/>
          <w:b/>
          <w:bCs/>
          <w:color w:val="2D3436"/>
          <w:sz w:val="22"/>
          <w:szCs w:val="22"/>
        </w:rPr>
        <w:t xml:space="preserve">Development — this is separate from the TWA work but is the prerequisite for the “direct sign-up” goal. See Section 5.4.: </w:t>
      </w:r>
      <w:r>
        <w:rPr>
          <w:rFonts w:ascii="Arial" w:cs="Arial" w:eastAsia="Arial" w:hAnsi="Arial"/>
          <w:color w:val="2D3436"/>
          <w:sz w:val="22"/>
          <w:szCs w:val="22"/>
        </w:rPr>
        <w:t xml:space="preserve">Build the parent/child self-service sign-up flow</w:t>
      </w:r>
    </w:p>
    <w:p>
      <w:pPr>
        <w:spacing w:after="0" w:before="80"/>
      </w:pPr>
      <w:r>
        <w:t xml:space="preserve"/>
      </w:r>
    </w:p>
    <w:p>
      <w:pPr>
        <w:pStyle w:val="Heading2"/>
        <w:pBdr>
          <w:bottom w:val="single" w:color="6C5CE7" w:sz="4" w:space="4"/>
        </w:pBdr>
        <w:spacing w:after="120" w:before="320"/>
      </w:pPr>
      <w:r>
        <w:rPr>
          <w:rFonts w:ascii="Arial" w:cs="Arial" w:eastAsia="Arial" w:hAnsi="Arial"/>
          <w:b/>
          <w:bCs/>
          <w:color w:val="2D3436"/>
          <w:sz w:val="28"/>
          <w:szCs w:val="28"/>
        </w:rPr>
        <w:t xml:space="preserve">5.4 Parent — child self-service sign-up flow</w:t>
      </w:r>
    </w:p>
    <w:p>
      <w:pPr>
        <w:spacing w:after="120" w:before="80"/>
      </w:pPr>
      <w:r>
        <w:rPr>
          <w:rFonts w:ascii="Arial" w:cs="Arial" w:eastAsia="Arial" w:hAnsi="Arial"/>
          <w:color w:val="2D3436"/>
          <w:sz w:val="22"/>
          <w:szCs w:val="22"/>
        </w:rPr>
        <w:t xml:space="preserve">Currently, parent and child accounts are created by a school admin or teacher. For the Play Store route, parents must be able to create their own home account. The flow should work as follows:</w:t>
      </w:r>
    </w:p>
    <w:p>
      <w:pPr>
        <w:pStyle w:val="ListParagraph"/>
        <w:numPr>
          <w:ilvl w:val="0"/>
          <w:numId w:val="3"/>
        </w:numPr>
        <w:spacing w:after="40" w:before="40"/>
      </w:pPr>
      <w:r>
        <w:rPr>
          <w:rFonts w:ascii="Arial" w:cs="Arial" w:eastAsia="Arial" w:hAnsi="Arial"/>
          <w:color w:val="2D3436"/>
          <w:sz w:val="22"/>
          <w:szCs w:val="22"/>
        </w:rPr>
        <w:t xml:space="preserve">Parent opens the WriFe app (or visits pwp-studio.wrife.co.uk/home-signup).</w:t>
      </w:r>
    </w:p>
    <w:p>
      <w:pPr>
        <w:pStyle w:val="ListParagraph"/>
        <w:numPr>
          <w:ilvl w:val="0"/>
          <w:numId w:val="3"/>
        </w:numPr>
        <w:spacing w:after="40" w:before="40"/>
      </w:pPr>
      <w:r>
        <w:rPr>
          <w:rFonts w:ascii="Arial" w:cs="Arial" w:eastAsia="Arial" w:hAnsi="Arial"/>
          <w:color w:val="2D3436"/>
          <w:sz w:val="22"/>
          <w:szCs w:val="22"/>
        </w:rPr>
        <w:t xml:space="preserve">Parent enters their email address and chooses a password. Role is set to parent automatically. A confirmation email is sent.</w:t>
      </w:r>
    </w:p>
    <w:p>
      <w:pPr>
        <w:pStyle w:val="ListParagraph"/>
        <w:numPr>
          <w:ilvl w:val="0"/>
          <w:numId w:val="3"/>
        </w:numPr>
        <w:spacing w:after="40" w:before="40"/>
      </w:pPr>
      <w:r>
        <w:rPr>
          <w:rFonts w:ascii="Arial" w:cs="Arial" w:eastAsia="Arial" w:hAnsi="Arial"/>
          <w:color w:val="2D3436"/>
          <w:sz w:val="22"/>
          <w:szCs w:val="22"/>
        </w:rPr>
        <w:t xml:space="preserve">After confirming, parent is prompted to add a child: name, year group, and a chosen display name (no real name stored). The system creates a profiles row (role = pupil) linked to the parent via parent_pupil table. A 6-digit home PIN is generated for the child.</w:t>
      </w:r>
    </w:p>
    <w:p>
      <w:pPr>
        <w:pStyle w:val="ListParagraph"/>
        <w:numPr>
          <w:ilvl w:val="0"/>
          <w:numId w:val="3"/>
        </w:numPr>
        <w:spacing w:after="40" w:before="40"/>
      </w:pPr>
      <w:r>
        <w:rPr>
          <w:rFonts w:ascii="Arial" w:cs="Arial" w:eastAsia="Arial" w:hAnsi="Arial"/>
          <w:color w:val="2D3436"/>
          <w:sz w:val="22"/>
          <w:szCs w:val="22"/>
        </w:rPr>
        <w:t xml:space="preserve">Parent sees the child’s PIN and is shown how to hand the device to the child and enter the PIN on the Pupil login tab.</w:t>
      </w:r>
    </w:p>
    <w:p>
      <w:pPr>
        <w:pStyle w:val="ListParagraph"/>
        <w:numPr>
          <w:ilvl w:val="0"/>
          <w:numId w:val="3"/>
        </w:numPr>
        <w:spacing w:after="40" w:before="40"/>
      </w:pPr>
      <w:r>
        <w:rPr>
          <w:rFonts w:ascii="Arial" w:cs="Arial" w:eastAsia="Arial" w:hAnsi="Arial"/>
          <w:color w:val="2D3436"/>
          <w:sz w:val="22"/>
          <w:szCs w:val="22"/>
        </w:rPr>
        <w:t xml:space="preserve">Child lands on their dashboard at L1 with XP = 0. The membership_tier is set to free. The parent can upgrade via the Pricing/Stripe flow.</w:t>
      </w:r>
    </w:p>
    <w:p>
      <w:pPr>
        <w:pBdr>
          <w:left w:val="single" w:color="0984E3" w:sz="12"/>
        </w:pBdr>
        <w:spacing w:after="80" w:before="80"/>
        <w:ind w:left="360"/>
      </w:pPr>
      <w:r>
        <w:rPr>
          <w:rFonts w:ascii="Arial" w:cs="Arial" w:eastAsia="Arial" w:hAnsi="Arial"/>
          <w:i/>
          <w:iCs/>
          <w:color w:val="2D3436"/>
          <w:sz w:val="20"/>
          <w:szCs w:val="20"/>
        </w:rPr>
        <w:t xml:space="preserve">The create-child-profile Edge Function was built and deployed in Session 16. The parent-facing UI for this flow — specifically the self-service sign-up page accessible without a teacher invitation — is the missing piece.</w:t>
      </w:r>
    </w:p>
    <w:p>
      <w:pPr>
        <w:spacing w:after="0" w:before="80"/>
      </w:pPr>
      <w:r>
        <w:t xml:space="preserve"/>
      </w:r>
    </w:p>
    <w:p>
      <w:pPr>
        <w:pStyle w:val="Heading2"/>
        <w:pBdr>
          <w:bottom w:val="single" w:color="6C5CE7" w:sz="4" w:space="4"/>
        </w:pBdr>
        <w:spacing w:after="120" w:before="320"/>
      </w:pPr>
      <w:r>
        <w:rPr>
          <w:rFonts w:ascii="Arial" w:cs="Arial" w:eastAsia="Arial" w:hAnsi="Arial"/>
          <w:b/>
          <w:bCs/>
          <w:color w:val="2D3436"/>
          <w:sz w:val="28"/>
          <w:szCs w:val="28"/>
        </w:rPr>
        <w:t xml:space="preserve">5.5 Apple App Store (future)</w:t>
      </w:r>
    </w:p>
    <w:p>
      <w:pPr>
        <w:spacing w:after="120" w:before="80"/>
      </w:pPr>
      <w:r>
        <w:rPr>
          <w:rFonts w:ascii="Arial" w:cs="Arial" w:eastAsia="Arial" w:hAnsi="Arial"/>
          <w:color w:val="2D3436"/>
          <w:sz w:val="22"/>
          <w:szCs w:val="22"/>
        </w:rPr>
        <w:t xml:space="preserve">A PWA-to-App Store path also exists for iOS via WKWebView wrappers (e.g. Median.co / AppPresser) or through the emerging iOS PWA install flow. This is lower priority than Android because iOS already supports Add to Home Screen for PWAs. However, for full App Store presence, a similar approach to the TWA — wrapping the PWA in a WKWebView shell published to the iOS App Store — would be used. This should be planned for Phase 2 of the app market rollout.</w:t>
      </w:r>
    </w:p>
    <w:p>
      <w:r>
        <w:br w:type="page"/>
      </w:r>
    </w:p>
    <w:p>
      <w:pPr>
        <w:pStyle w:val="Heading1"/>
        <w:spacing w:after="160" w:before="400"/>
      </w:pPr>
      <w:r>
        <w:rPr>
          <w:rFonts w:ascii="Arial" w:cs="Arial" w:eastAsia="Arial" w:hAnsi="Arial"/>
          <w:b/>
          <w:bCs/>
          <w:color w:val="6C5CE7"/>
          <w:sz w:val="36"/>
          <w:szCs w:val="36"/>
        </w:rPr>
        <w:t xml:space="preserve">7. Consolidated Action Plan</w:t>
      </w:r>
    </w:p>
    <w:p>
      <w:pPr>
        <w:spacing w:after="120" w:before="80"/>
      </w:pPr>
      <w:r>
        <w:rPr>
          <w:rFonts w:ascii="Arial" w:cs="Arial" w:eastAsia="Arial" w:hAnsi="Arial"/>
          <w:color w:val="2D3436"/>
          <w:sz w:val="22"/>
          <w:szCs w:val="22"/>
        </w:rPr>
        <w:t xml:space="preserve">The following actions are sequenced by priority. Items in Immediate should be resolved before any further feature work proceeds, as they affect all new pupils on the live platform.</w:t>
      </w:r>
    </w:p>
    <w:p>
      <w:pPr>
        <w:spacing w:after="0" w:before="100"/>
      </w:pPr>
      <w:r>
        <w:t xml:space="preserve"/>
      </w:r>
    </w:p>
    <w:p>
      <w:pPr>
        <w:pStyle w:val="Heading2"/>
        <w:pBdr>
          <w:bottom w:val="single" w:color="6C5CE7" w:sz="4" w:space="4"/>
        </w:pBdr>
        <w:spacing w:after="120" w:before="320"/>
      </w:pPr>
      <w:r>
        <w:rPr>
          <w:rFonts w:ascii="Arial" w:cs="Arial" w:eastAsia="Arial" w:hAnsi="Arial"/>
          <w:b/>
          <w:bCs/>
          <w:color w:val="2D3436"/>
          <w:sz w:val="28"/>
          <w:szCs w:val="28"/>
        </w:rPr>
        <w:t xml:space="preserve">Immediate — resolve within 1–2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160"/>
        <w:gridCol w:w="1600"/>
        <w:gridCol w:w="2000"/>
      </w:tblGrid>
      <w:tr>
        <w:trPr>
          <w:tblHeader/>
        </w:trPr>
        <w:tc>
          <w:tcPr>
            <w:tcW w:type="dxa" w:w="400"/>
            <w:tcBorders>
              <w:top w:val="single" w:color="6C5CE7" w:sz="1"/>
              <w:left w:val="single" w:color="6C5CE7" w:sz="1"/>
              <w:bottom w:val="single" w:color="6C5CE7" w:sz="1"/>
              <w:right w:val="single" w:color="6C5CE7" w:sz="1"/>
            </w:tcBorders>
            <w:shd w:fill="6C5CE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2200"/>
            <w:tcBorders>
              <w:top w:val="single" w:color="6C5CE7" w:sz="1"/>
              <w:left w:val="single" w:color="6C5CE7" w:sz="1"/>
              <w:bottom w:val="single" w:color="6C5CE7" w:sz="1"/>
              <w:right w:val="single" w:color="6C5CE7" w:sz="1"/>
            </w:tcBorders>
            <w:shd w:fill="6C5CE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Action</w:t>
            </w:r>
          </w:p>
        </w:tc>
        <w:tc>
          <w:tcPr>
            <w:tcW w:type="dxa" w:w="3160"/>
            <w:tcBorders>
              <w:top w:val="single" w:color="6C5CE7" w:sz="1"/>
              <w:left w:val="single" w:color="6C5CE7" w:sz="1"/>
              <w:bottom w:val="single" w:color="6C5CE7" w:sz="1"/>
              <w:right w:val="single" w:color="6C5CE7" w:sz="1"/>
            </w:tcBorders>
            <w:shd w:fill="6C5CE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Detail</w:t>
            </w:r>
          </w:p>
        </w:tc>
        <w:tc>
          <w:tcPr>
            <w:tcW w:type="dxa" w:w="1600"/>
            <w:tcBorders>
              <w:top w:val="single" w:color="6C5CE7" w:sz="1"/>
              <w:left w:val="single" w:color="6C5CE7" w:sz="1"/>
              <w:bottom w:val="single" w:color="6C5CE7" w:sz="1"/>
              <w:right w:val="single" w:color="6C5CE7" w:sz="1"/>
            </w:tcBorders>
            <w:shd w:fill="6C5CE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Owner</w:t>
            </w:r>
          </w:p>
        </w:tc>
        <w:tc>
          <w:tcPr>
            <w:tcW w:type="dxa" w:w="2000"/>
            <w:tcBorders>
              <w:top w:val="single" w:color="6C5CE7" w:sz="1"/>
              <w:left w:val="single" w:color="6C5CE7" w:sz="1"/>
              <w:bottom w:val="single" w:color="6C5CE7" w:sz="1"/>
              <w:right w:val="single" w:color="6C5CE7" w:sz="1"/>
            </w:tcBorders>
            <w:shd w:fill="6C5CE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Timeline</w:t>
            </w:r>
          </w:p>
        </w:tc>
      </w:tr>
      <w:tr>
        <w:tc>
          <w:tcPr>
            <w:tcW w:type="dxa" w:w="400"/>
            <w:tcBorders>
              <w:top w:val="single" w:color="CCCCCC" w:sz="1"/>
              <w:left w:val="single" w:color="CCCCCC" w:sz="1"/>
              <w:bottom w:val="single" w:color="CCCCCC" w:sz="1"/>
              <w:right w:val="single" w:color="CCCCCC" w:sz="1"/>
            </w:tcBorders>
            <w:shd w:fill="6C5CE7" w:val="clear"/>
            <w:tcMar>
              <w:top w:type="dxa" w:w="60"/>
              <w:left w:type="dxa" w:w="80"/>
              <w:bottom w:type="dxa" w:w="60"/>
              <w:right w:type="dxa" w:w="80"/>
            </w:tcMar>
          </w:tcPr>
          <w:p>
            <w:pPr>
              <w:jc w:val="center"/>
            </w:pPr>
            <w:r>
              <w:rPr>
                <w:rFonts w:ascii="Arial" w:cs="Arial" w:eastAsia="Arial" w:hAnsi="Arial"/>
                <w:b/>
                <w:bCs/>
                <w:color w:val="FFFFFF"/>
                <w:sz w:val="20"/>
                <w:szCs w:val="20"/>
              </w:rPr>
              <w:t xml:space="preserve">A1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3436"/>
                <w:sz w:val="20"/>
                <w:szCs w:val="20"/>
              </w:rPr>
              <w:t xml:space="preserve">Fix BUG-005: Paragraph Builder unlock</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19"/>
                <w:szCs w:val="19"/>
              </w:rPr>
              <w:t xml:space="preserve">In progressionEngine.ts, remove Criterion B (gatePassed) and Criterion C (levelsMasteredCount) from checkParagraphMasteryUnlock(). Level &gt;= 4 is the only condition. Update the test to reflect the Phase A design decision.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2D3436"/>
                <w:sz w:val="19"/>
                <w:szCs w:val="19"/>
              </w:rPr>
              <w:t xml:space="preserve">Dev</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2D3436"/>
                <w:sz w:val="19"/>
                <w:szCs w:val="19"/>
              </w:rPr>
              <w:t xml:space="preserve">1 session</w:t>
            </w:r>
          </w:p>
        </w:tc>
      </w:tr>
      <w:tr>
        <w:tc>
          <w:tcPr>
            <w:tcW w:type="dxa" w:w="400"/>
            <w:tcBorders>
              <w:top w:val="single" w:color="CCCCCC" w:sz="1"/>
              <w:left w:val="single" w:color="CCCCCC" w:sz="1"/>
              <w:bottom w:val="single" w:color="CCCCCC" w:sz="1"/>
              <w:right w:val="single" w:color="CCCCCC" w:sz="1"/>
            </w:tcBorders>
            <w:shd w:fill="6C5CE7" w:val="clear"/>
            <w:tcMar>
              <w:top w:type="dxa" w:w="60"/>
              <w:left w:type="dxa" w:w="80"/>
              <w:bottom w:type="dxa" w:w="60"/>
              <w:right w:type="dxa" w:w="80"/>
            </w:tcMar>
          </w:tcPr>
          <w:p>
            <w:pPr>
              <w:jc w:val="center"/>
            </w:pPr>
            <w:r>
              <w:rPr>
                <w:rFonts w:ascii="Arial" w:cs="Arial" w:eastAsia="Arial" w:hAnsi="Arial"/>
                <w:b/>
                <w:bCs/>
                <w:color w:val="FFFFFF"/>
                <w:sz w:val="20"/>
                <w:szCs w:val="20"/>
              </w:rPr>
              <w:t xml:space="preserve">A2</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D3436"/>
                <w:sz w:val="20"/>
                <w:szCs w:val="20"/>
              </w:rPr>
              <w:t xml:space="preserve">Fix BUG-002: pupil_progress auto-creation</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D3436"/>
                <w:sz w:val="19"/>
                <w:szCs w:val="19"/>
              </w:rPr>
              <w:t xml:space="preserve">Add a Postgres AFTER INSERT trigger on the profiles table (for role = pupil) that inserts a pupil_progress row with default values. Alternatively, handle the missing row in useFormulaLevel.ts on first visit.</w:t>
            </w:r>
          </w:p>
        </w:tc>
        <w:tc>
          <w:tcPr>
            <w:tcW w:type="dxa" w:w="1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2D3436"/>
                <w:sz w:val="19"/>
                <w:szCs w:val="19"/>
              </w:rPr>
              <w:t xml:space="preserve">Dev + DB</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2D3436"/>
                <w:sz w:val="19"/>
                <w:szCs w:val="19"/>
              </w:rPr>
              <w:t xml:space="preserve">1 session</w:t>
            </w:r>
          </w:p>
        </w:tc>
      </w:tr>
      <w:tr>
        <w:tc>
          <w:tcPr>
            <w:tcW w:type="dxa" w:w="400"/>
            <w:tcBorders>
              <w:top w:val="single" w:color="CCCCCC" w:sz="1"/>
              <w:left w:val="single" w:color="CCCCCC" w:sz="1"/>
              <w:bottom w:val="single" w:color="CCCCCC" w:sz="1"/>
              <w:right w:val="single" w:color="CCCCCC" w:sz="1"/>
            </w:tcBorders>
            <w:shd w:fill="6C5CE7" w:val="clear"/>
            <w:tcMar>
              <w:top w:type="dxa" w:w="60"/>
              <w:left w:type="dxa" w:w="80"/>
              <w:bottom w:type="dxa" w:w="60"/>
              <w:right w:type="dxa" w:w="80"/>
            </w:tcMar>
          </w:tcPr>
          <w:p>
            <w:pPr>
              <w:jc w:val="center"/>
            </w:pPr>
            <w:r>
              <w:rPr>
                <w:rFonts w:ascii="Arial" w:cs="Arial" w:eastAsia="Arial" w:hAnsi="Arial"/>
                <w:b/>
                <w:bCs/>
                <w:color w:val="FFFFFF"/>
                <w:sz w:val="20"/>
                <w:szCs w:val="20"/>
              </w:rPr>
              <w:t xml:space="preserve">A3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3436"/>
                <w:sz w:val="20"/>
                <w:szCs w:val="20"/>
              </w:rPr>
              <w:t xml:space="preserve">Fix BUG-001: cold-start auth redirect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19"/>
                <w:szCs w:val="19"/>
              </w:rPr>
              <w:t xml:space="preserve">Cache the last successfully fetched profile object in localStorage under wf_cached_profile. On app init, seed the auth store from this cache immediately, then refresh from Supabase in the background. Clear cache on sign-out.</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2D3436"/>
                <w:sz w:val="19"/>
                <w:szCs w:val="19"/>
              </w:rPr>
              <w:t xml:space="preserve">Dev</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2D3436"/>
                <w:sz w:val="19"/>
                <w:szCs w:val="19"/>
              </w:rPr>
              <w:t xml:space="preserve">1 session</w:t>
            </w:r>
          </w:p>
        </w:tc>
      </w:tr>
    </w:tbl>
    <w:p>
      <w:pPr>
        <w:spacing w:after="0" w:before="120"/>
      </w:pPr>
      <w:r>
        <w:t xml:space="preserve"/>
      </w:r>
    </w:p>
    <w:p>
      <w:pPr>
        <w:pStyle w:val="Heading2"/>
        <w:pBdr>
          <w:bottom w:val="single" w:color="6C5CE7" w:sz="4" w:space="4"/>
        </w:pBdr>
        <w:spacing w:after="120" w:before="320"/>
      </w:pPr>
      <w:r>
        <w:rPr>
          <w:rFonts w:ascii="Arial" w:cs="Arial" w:eastAsia="Arial" w:hAnsi="Arial"/>
          <w:b/>
          <w:bCs/>
          <w:color w:val="2D3436"/>
          <w:sz w:val="28"/>
          <w:szCs w:val="28"/>
        </w:rPr>
        <w:t xml:space="preserve">Short-term — within 3–5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160"/>
        <w:gridCol w:w="1600"/>
        <w:gridCol w:w="2000"/>
      </w:tblGrid>
      <w:tr>
        <w:trPr>
          <w:tblHeader/>
        </w:trPr>
        <w:tc>
          <w:tcPr>
            <w:tcW w:type="dxa" w:w="400"/>
            <w:tcBorders>
              <w:top w:val="single" w:color="6C5CE7" w:sz="1"/>
              <w:left w:val="single" w:color="6C5CE7" w:sz="1"/>
              <w:bottom w:val="single" w:color="6C5CE7" w:sz="1"/>
              <w:right w:val="single" w:color="6C5CE7" w:sz="1"/>
            </w:tcBorders>
            <w:shd w:fill="6C5CE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2200"/>
            <w:tcBorders>
              <w:top w:val="single" w:color="6C5CE7" w:sz="1"/>
              <w:left w:val="single" w:color="6C5CE7" w:sz="1"/>
              <w:bottom w:val="single" w:color="6C5CE7" w:sz="1"/>
              <w:right w:val="single" w:color="6C5CE7" w:sz="1"/>
            </w:tcBorders>
            <w:shd w:fill="6C5CE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Action</w:t>
            </w:r>
          </w:p>
        </w:tc>
        <w:tc>
          <w:tcPr>
            <w:tcW w:type="dxa" w:w="3160"/>
            <w:tcBorders>
              <w:top w:val="single" w:color="6C5CE7" w:sz="1"/>
              <w:left w:val="single" w:color="6C5CE7" w:sz="1"/>
              <w:bottom w:val="single" w:color="6C5CE7" w:sz="1"/>
              <w:right w:val="single" w:color="6C5CE7" w:sz="1"/>
            </w:tcBorders>
            <w:shd w:fill="6C5CE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Detail</w:t>
            </w:r>
          </w:p>
        </w:tc>
        <w:tc>
          <w:tcPr>
            <w:tcW w:type="dxa" w:w="1600"/>
            <w:tcBorders>
              <w:top w:val="single" w:color="6C5CE7" w:sz="1"/>
              <w:left w:val="single" w:color="6C5CE7" w:sz="1"/>
              <w:bottom w:val="single" w:color="6C5CE7" w:sz="1"/>
              <w:right w:val="single" w:color="6C5CE7" w:sz="1"/>
            </w:tcBorders>
            <w:shd w:fill="6C5CE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Owner</w:t>
            </w:r>
          </w:p>
        </w:tc>
        <w:tc>
          <w:tcPr>
            <w:tcW w:type="dxa" w:w="2000"/>
            <w:tcBorders>
              <w:top w:val="single" w:color="6C5CE7" w:sz="1"/>
              <w:left w:val="single" w:color="6C5CE7" w:sz="1"/>
              <w:bottom w:val="single" w:color="6C5CE7" w:sz="1"/>
              <w:right w:val="single" w:color="6C5CE7" w:sz="1"/>
            </w:tcBorders>
            <w:shd w:fill="6C5CE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Timeline</w:t>
            </w:r>
          </w:p>
        </w:tc>
      </w:tr>
      <w:tr>
        <w:tc>
          <w:tcPr>
            <w:tcW w:type="dxa" w:w="400"/>
            <w:tcBorders>
              <w:top w:val="single" w:color="CCCCCC" w:sz="1"/>
              <w:left w:val="single" w:color="CCCCCC" w:sz="1"/>
              <w:bottom w:val="single" w:color="CCCCCC" w:sz="1"/>
              <w:right w:val="single" w:color="CCCCCC" w:sz="1"/>
            </w:tcBorders>
            <w:shd w:fill="6C5CE7" w:val="clear"/>
            <w:tcMar>
              <w:top w:type="dxa" w:w="60"/>
              <w:left w:type="dxa" w:w="80"/>
              <w:bottom w:type="dxa" w:w="60"/>
              <w:right w:type="dxa" w:w="80"/>
            </w:tcMar>
          </w:tcPr>
          <w:p>
            <w:pPr>
              <w:jc w:val="center"/>
            </w:pPr>
            <w:r>
              <w:rPr>
                <w:rFonts w:ascii="Arial" w:cs="Arial" w:eastAsia="Arial" w:hAnsi="Arial"/>
                <w:b/>
                <w:bCs/>
                <w:color w:val="FFFFFF"/>
                <w:sz w:val="20"/>
                <w:szCs w:val="20"/>
              </w:rPr>
              <w:t xml:space="preserve">B1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3436"/>
                <w:sz w:val="20"/>
                <w:szCs w:val="20"/>
              </w:rPr>
              <w:t xml:space="preserve">Reorder L1–L21 formula definitions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19"/>
                <w:szCs w:val="19"/>
              </w:rPr>
              <w:t xml:space="preserve">In formulaDefinitions.ts, resequence L1–L6 so adverb is introduced at L2, determiner at L3, adjective at L4. Audit L5–L21 to eliminate repetition: each level must add a genuinely new grammatical element. Update example sentences to use consistent subjects (e.g. “fish” → “the fish” → “the silver fish”).</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2D3436"/>
                <w:sz w:val="19"/>
                <w:szCs w:val="19"/>
              </w:rPr>
              <w:t xml:space="preserve">Dev (Michael leads)</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2D3436"/>
                <w:sz w:val="19"/>
                <w:szCs w:val="19"/>
              </w:rPr>
              <w:t xml:space="preserve">1 session</w:t>
            </w:r>
          </w:p>
        </w:tc>
      </w:tr>
      <w:tr>
        <w:tc>
          <w:tcPr>
            <w:tcW w:type="dxa" w:w="400"/>
            <w:tcBorders>
              <w:top w:val="single" w:color="CCCCCC" w:sz="1"/>
              <w:left w:val="single" w:color="CCCCCC" w:sz="1"/>
              <w:bottom w:val="single" w:color="CCCCCC" w:sz="1"/>
              <w:right w:val="single" w:color="CCCCCC" w:sz="1"/>
            </w:tcBorders>
            <w:shd w:fill="6C5CE7" w:val="clear"/>
            <w:tcMar>
              <w:top w:type="dxa" w:w="60"/>
              <w:left w:type="dxa" w:w="80"/>
              <w:bottom w:type="dxa" w:w="60"/>
              <w:right w:type="dxa" w:w="80"/>
            </w:tcMar>
          </w:tcPr>
          <w:p>
            <w:pPr>
              <w:jc w:val="center"/>
            </w:pPr>
            <w:r>
              <w:rPr>
                <w:rFonts w:ascii="Arial" w:cs="Arial" w:eastAsia="Arial" w:hAnsi="Arial"/>
                <w:b/>
                <w:bCs/>
                <w:color w:val="FFFFFF"/>
                <w:sz w:val="20"/>
                <w:szCs w:val="20"/>
              </w:rPr>
              <w:t xml:space="preserve">B2</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D3436"/>
                <w:sz w:val="20"/>
                <w:szCs w:val="20"/>
              </w:rPr>
              <w:t xml:space="preserve">Enforce subject noun in validateChainSentence()</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D3436"/>
                <w:sz w:val="19"/>
                <w:szCs w:val="19"/>
              </w:rPr>
              <w:t xml:space="preserve">After parseSentence() runs, check that at least one token matches the session subjectNoun (exact, singular, or plural). If not, return accepted: false with message “Your sentence should be about [subject] — make sure you use that word.” This makes subject threading a hard rule, not a soft suggestion.</w:t>
            </w:r>
          </w:p>
        </w:tc>
        <w:tc>
          <w:tcPr>
            <w:tcW w:type="dxa" w:w="1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2D3436"/>
                <w:sz w:val="19"/>
                <w:szCs w:val="19"/>
              </w:rPr>
              <w:t xml:space="preserve">Dev</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2D3436"/>
                <w:sz w:val="19"/>
                <w:szCs w:val="19"/>
              </w:rPr>
              <w:t xml:space="preserve">0.5 sessions</w:t>
            </w:r>
          </w:p>
        </w:tc>
      </w:tr>
      <w:tr>
        <w:tc>
          <w:tcPr>
            <w:tcW w:type="dxa" w:w="400"/>
            <w:tcBorders>
              <w:top w:val="single" w:color="CCCCCC" w:sz="1"/>
              <w:left w:val="single" w:color="CCCCCC" w:sz="1"/>
              <w:bottom w:val="single" w:color="CCCCCC" w:sz="1"/>
              <w:right w:val="single" w:color="CCCCCC" w:sz="1"/>
            </w:tcBorders>
            <w:shd w:fill="6C5CE7" w:val="clear"/>
            <w:tcMar>
              <w:top w:type="dxa" w:w="60"/>
              <w:left w:type="dxa" w:w="80"/>
              <w:bottom w:type="dxa" w:w="60"/>
              <w:right w:type="dxa" w:w="80"/>
            </w:tcMar>
          </w:tcPr>
          <w:p>
            <w:pPr>
              <w:jc w:val="center"/>
            </w:pPr>
            <w:r>
              <w:rPr>
                <w:rFonts w:ascii="Arial" w:cs="Arial" w:eastAsia="Arial" w:hAnsi="Arial"/>
                <w:b/>
                <w:bCs/>
                <w:color w:val="FFFFFF"/>
                <w:sz w:val="20"/>
                <w:szCs w:val="20"/>
              </w:rPr>
              <w:t xml:space="preserve">B3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3436"/>
                <w:sz w:val="20"/>
                <w:szCs w:val="20"/>
              </w:rPr>
              <w:t xml:space="preserve">Add new-element diff badge to ChainRow</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19"/>
                <w:szCs w:val="19"/>
              </w:rPr>
              <w:t xml:space="preserve">Compute the diff between adjacent formula patterns in getChainForLevel(). For each row beyond L1, display a small coloured badge (“+ ADV”, “+ DET”, etc.) between rows showing what element was added. Reinforces the one-element-per-level learning intention.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2D3436"/>
                <w:sz w:val="19"/>
                <w:szCs w:val="19"/>
              </w:rPr>
              <w:t xml:space="preserve">Dev</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2D3436"/>
                <w:sz w:val="19"/>
                <w:szCs w:val="19"/>
              </w:rPr>
              <w:t xml:space="preserve">1 session</w:t>
            </w:r>
          </w:p>
        </w:tc>
      </w:tr>
      <w:tr>
        <w:tc>
          <w:tcPr>
            <w:tcW w:type="dxa" w:w="400"/>
            <w:tcBorders>
              <w:top w:val="single" w:color="CCCCCC" w:sz="1"/>
              <w:left w:val="single" w:color="CCCCCC" w:sz="1"/>
              <w:bottom w:val="single" w:color="CCCCCC" w:sz="1"/>
              <w:right w:val="single" w:color="CCCCCC" w:sz="1"/>
            </w:tcBorders>
            <w:shd w:fill="6C5CE7" w:val="clear"/>
            <w:tcMar>
              <w:top w:type="dxa" w:w="60"/>
              <w:left w:type="dxa" w:w="80"/>
              <w:bottom w:type="dxa" w:w="60"/>
              <w:right w:type="dxa" w:w="80"/>
            </w:tcMar>
          </w:tcPr>
          <w:p>
            <w:pPr>
              <w:jc w:val="center"/>
            </w:pPr>
            <w:r>
              <w:rPr>
                <w:rFonts w:ascii="Arial" w:cs="Arial" w:eastAsia="Arial" w:hAnsi="Arial"/>
                <w:b/>
                <w:bCs/>
                <w:color w:val="FFFFFF"/>
                <w:sz w:val="20"/>
                <w:szCs w:val="20"/>
              </w:rPr>
              <w:t xml:space="preserve">B4</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D3436"/>
                <w:sz w:val="20"/>
                <w:szCs w:val="20"/>
              </w:rPr>
              <w:t xml:space="preserve">Growing sentence view in SessionComplete</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D3436"/>
                <w:sz w:val="19"/>
                <w:szCs w:val="19"/>
              </w:rPr>
              <w:t xml:space="preserve">Update the SessionComplete screen to stack accepted sentences from L1 to current level with the newly-added word(s) highlighted in the WriFe colour for that word class. This gives pupils the visual payoff of seeing their base sentence grow.</w:t>
            </w:r>
          </w:p>
        </w:tc>
        <w:tc>
          <w:tcPr>
            <w:tcW w:type="dxa" w:w="1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2D3436"/>
                <w:sz w:val="19"/>
                <w:szCs w:val="19"/>
              </w:rPr>
              <w:t xml:space="preserve">Dev</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2D3436"/>
                <w:sz w:val="19"/>
                <w:szCs w:val="19"/>
              </w:rPr>
              <w:t xml:space="preserve">1 session</w:t>
            </w:r>
          </w:p>
        </w:tc>
      </w:tr>
      <w:tr>
        <w:tc>
          <w:tcPr>
            <w:tcW w:type="dxa" w:w="400"/>
            <w:tcBorders>
              <w:top w:val="single" w:color="CCCCCC" w:sz="1"/>
              <w:left w:val="single" w:color="CCCCCC" w:sz="1"/>
              <w:bottom w:val="single" w:color="CCCCCC" w:sz="1"/>
              <w:right w:val="single" w:color="CCCCCC" w:sz="1"/>
            </w:tcBorders>
            <w:shd w:fill="6C5CE7" w:val="clear"/>
            <w:tcMar>
              <w:top w:type="dxa" w:w="60"/>
              <w:left w:type="dxa" w:w="80"/>
              <w:bottom w:type="dxa" w:w="60"/>
              <w:right w:type="dxa" w:w="80"/>
            </w:tcMar>
          </w:tcPr>
          <w:p>
            <w:pPr>
              <w:jc w:val="center"/>
            </w:pPr>
            <w:r>
              <w:rPr>
                <w:rFonts w:ascii="Arial" w:cs="Arial" w:eastAsia="Arial" w:hAnsi="Arial"/>
                <w:b/>
                <w:bCs/>
                <w:color w:val="FFFFFF"/>
                <w:sz w:val="20"/>
                <w:szCs w:val="20"/>
              </w:rPr>
              <w:t xml:space="preserve">B5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3436"/>
                <w:sz w:val="20"/>
                <w:szCs w:val="20"/>
              </w:rPr>
              <w:t xml:space="preserve">E2E test coverage: drag-and-drop</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19"/>
                <w:szCs w:val="19"/>
              </w:rPr>
              <w:t xml:space="preserve">Add keyboard-accessible “Quick fill” action to FormulaBuilder for testing (and accessibility). Write Playwright tests using real pointer event sequences.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2D3436"/>
                <w:sz w:val="19"/>
                <w:szCs w:val="19"/>
              </w:rPr>
              <w:t xml:space="preserve">Dev / QA</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2D3436"/>
                <w:sz w:val="19"/>
                <w:szCs w:val="19"/>
              </w:rPr>
              <w:t xml:space="preserve">2 sessions</w:t>
            </w:r>
          </w:p>
        </w:tc>
      </w:tr>
      <w:tr>
        <w:tc>
          <w:tcPr>
            <w:tcW w:type="dxa" w:w="400"/>
            <w:tcBorders>
              <w:top w:val="single" w:color="CCCCCC" w:sz="1"/>
              <w:left w:val="single" w:color="CCCCCC" w:sz="1"/>
              <w:bottom w:val="single" w:color="CCCCCC" w:sz="1"/>
              <w:right w:val="single" w:color="CCCCCC" w:sz="1"/>
            </w:tcBorders>
            <w:shd w:fill="6C5CE7" w:val="clear"/>
            <w:tcMar>
              <w:top w:type="dxa" w:w="60"/>
              <w:left w:type="dxa" w:w="80"/>
              <w:bottom w:type="dxa" w:w="60"/>
              <w:right w:type="dxa" w:w="80"/>
            </w:tcMar>
          </w:tcPr>
          <w:p>
            <w:pPr>
              <w:jc w:val="center"/>
            </w:pPr>
            <w:r>
              <w:rPr>
                <w:rFonts w:ascii="Arial" w:cs="Arial" w:eastAsia="Arial" w:hAnsi="Arial"/>
                <w:b/>
                <w:bCs/>
                <w:color w:val="FFFFFF"/>
                <w:sz w:val="20"/>
                <w:szCs w:val="20"/>
              </w:rPr>
              <w:t xml:space="preserve">B6</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D3436"/>
                <w:sz w:val="20"/>
                <w:szCs w:val="20"/>
              </w:rPr>
              <w:t xml:space="preserve">Parent/child self-service sign-up page</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D3436"/>
                <w:sz w:val="19"/>
                <w:szCs w:val="19"/>
              </w:rPr>
              <w:t xml:space="preserve">Build /home-signup page that allows a parent to register independently, add a child, and receive a PIN. Wire to the existing create-child-profile Edge Function.</w:t>
            </w:r>
          </w:p>
        </w:tc>
        <w:tc>
          <w:tcPr>
            <w:tcW w:type="dxa" w:w="1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2D3436"/>
                <w:sz w:val="19"/>
                <w:szCs w:val="19"/>
              </w:rPr>
              <w:t xml:space="preserve">Dev</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2D3436"/>
                <w:sz w:val="19"/>
                <w:szCs w:val="19"/>
              </w:rPr>
              <w:t xml:space="preserve">2 sessions</w:t>
            </w:r>
          </w:p>
        </w:tc>
      </w:tr>
    </w:tbl>
    <w:p>
      <w:pPr>
        <w:spacing w:after="0" w:before="120"/>
      </w:pPr>
      <w:r>
        <w:t xml:space="preserve"/>
      </w:r>
    </w:p>
    <w:p>
      <w:pPr>
        <w:pStyle w:val="Heading2"/>
        <w:pBdr>
          <w:bottom w:val="single" w:color="6C5CE7" w:sz="4" w:space="4"/>
        </w:pBdr>
        <w:spacing w:after="120" w:before="320"/>
      </w:pPr>
      <w:r>
        <w:rPr>
          <w:rFonts w:ascii="Arial" w:cs="Arial" w:eastAsia="Arial" w:hAnsi="Arial"/>
          <w:b/>
          <w:bCs/>
          <w:color w:val="2D3436"/>
          <w:sz w:val="28"/>
          <w:szCs w:val="28"/>
        </w:rPr>
        <w:t xml:space="preserve">Medium-term — Google Play Store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160"/>
        <w:gridCol w:w="1600"/>
        <w:gridCol w:w="2000"/>
      </w:tblGrid>
      <w:tr>
        <w:trPr>
          <w:tblHeader/>
        </w:trPr>
        <w:tc>
          <w:tcPr>
            <w:tcW w:type="dxa" w:w="400"/>
            <w:tcBorders>
              <w:top w:val="single" w:color="6C5CE7" w:sz="1"/>
              <w:left w:val="single" w:color="6C5CE7" w:sz="1"/>
              <w:bottom w:val="single" w:color="6C5CE7" w:sz="1"/>
              <w:right w:val="single" w:color="6C5CE7" w:sz="1"/>
            </w:tcBorders>
            <w:shd w:fill="6C5CE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2200"/>
            <w:tcBorders>
              <w:top w:val="single" w:color="6C5CE7" w:sz="1"/>
              <w:left w:val="single" w:color="6C5CE7" w:sz="1"/>
              <w:bottom w:val="single" w:color="6C5CE7" w:sz="1"/>
              <w:right w:val="single" w:color="6C5CE7" w:sz="1"/>
            </w:tcBorders>
            <w:shd w:fill="6C5CE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Action</w:t>
            </w:r>
          </w:p>
        </w:tc>
        <w:tc>
          <w:tcPr>
            <w:tcW w:type="dxa" w:w="3160"/>
            <w:tcBorders>
              <w:top w:val="single" w:color="6C5CE7" w:sz="1"/>
              <w:left w:val="single" w:color="6C5CE7" w:sz="1"/>
              <w:bottom w:val="single" w:color="6C5CE7" w:sz="1"/>
              <w:right w:val="single" w:color="6C5CE7" w:sz="1"/>
            </w:tcBorders>
            <w:shd w:fill="6C5CE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Detail</w:t>
            </w:r>
          </w:p>
        </w:tc>
        <w:tc>
          <w:tcPr>
            <w:tcW w:type="dxa" w:w="1600"/>
            <w:tcBorders>
              <w:top w:val="single" w:color="6C5CE7" w:sz="1"/>
              <w:left w:val="single" w:color="6C5CE7" w:sz="1"/>
              <w:bottom w:val="single" w:color="6C5CE7" w:sz="1"/>
              <w:right w:val="single" w:color="6C5CE7" w:sz="1"/>
            </w:tcBorders>
            <w:shd w:fill="6C5CE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Owner</w:t>
            </w:r>
          </w:p>
        </w:tc>
        <w:tc>
          <w:tcPr>
            <w:tcW w:type="dxa" w:w="2000"/>
            <w:tcBorders>
              <w:top w:val="single" w:color="6C5CE7" w:sz="1"/>
              <w:left w:val="single" w:color="6C5CE7" w:sz="1"/>
              <w:bottom w:val="single" w:color="6C5CE7" w:sz="1"/>
              <w:right w:val="single" w:color="6C5CE7" w:sz="1"/>
            </w:tcBorders>
            <w:shd w:fill="6C5CE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Timeline</w:t>
            </w:r>
          </w:p>
        </w:tc>
      </w:tr>
      <w:tr>
        <w:tc>
          <w:tcPr>
            <w:tcW w:type="dxa" w:w="400"/>
            <w:tcBorders>
              <w:top w:val="single" w:color="CCCCCC" w:sz="1"/>
              <w:left w:val="single" w:color="CCCCCC" w:sz="1"/>
              <w:bottom w:val="single" w:color="CCCCCC" w:sz="1"/>
              <w:right w:val="single" w:color="CCCCCC" w:sz="1"/>
            </w:tcBorders>
            <w:shd w:fill="6C5CE7" w:val="clear"/>
            <w:tcMar>
              <w:top w:type="dxa" w:w="60"/>
              <w:left w:type="dxa" w:w="80"/>
              <w:bottom w:type="dxa" w:w="60"/>
              <w:right w:type="dxa" w:w="80"/>
            </w:tcMar>
          </w:tcPr>
          <w:p>
            <w:pPr>
              <w:jc w:val="center"/>
            </w:pPr>
            <w:r>
              <w:rPr>
                <w:rFonts w:ascii="Arial" w:cs="Arial" w:eastAsia="Arial" w:hAnsi="Arial"/>
                <w:b/>
                <w:bCs/>
                <w:color w:val="FFFFFF"/>
                <w:sz w:val="20"/>
                <w:szCs w:val="20"/>
              </w:rPr>
              <w:t xml:space="preserve">C1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3436"/>
                <w:sz w:val="20"/>
                <w:szCs w:val="20"/>
              </w:rPr>
              <w:t xml:space="preserve">Upgrade app icons for Play Store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19"/>
                <w:szCs w:val="19"/>
              </w:rPr>
              <w:t xml:space="preserve">Commission or create a 512×512 maskable app icon and a 1024×500 feature graphic. Add to /public/icons/ and update the VitePWA manifest config. Run Lighthouse to confirm installability score = 100%.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2D3436"/>
                <w:sz w:val="19"/>
                <w:szCs w:val="19"/>
              </w:rPr>
              <w:t xml:space="preserve">Design + Dev</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2D3436"/>
                <w:sz w:val="19"/>
                <w:szCs w:val="19"/>
              </w:rPr>
              <w:t xml:space="preserve">1 session</w:t>
            </w:r>
          </w:p>
        </w:tc>
      </w:tr>
      <w:tr>
        <w:tc>
          <w:tcPr>
            <w:tcW w:type="dxa" w:w="400"/>
            <w:tcBorders>
              <w:top w:val="single" w:color="CCCCCC" w:sz="1"/>
              <w:left w:val="single" w:color="CCCCCC" w:sz="1"/>
              <w:bottom w:val="single" w:color="CCCCCC" w:sz="1"/>
              <w:right w:val="single" w:color="CCCCCC" w:sz="1"/>
            </w:tcBorders>
            <w:shd w:fill="6C5CE7" w:val="clear"/>
            <w:tcMar>
              <w:top w:type="dxa" w:w="60"/>
              <w:left w:type="dxa" w:w="80"/>
              <w:bottom w:type="dxa" w:w="60"/>
              <w:right w:type="dxa" w:w="80"/>
            </w:tcMar>
          </w:tcPr>
          <w:p>
            <w:pPr>
              <w:jc w:val="center"/>
            </w:pPr>
            <w:r>
              <w:rPr>
                <w:rFonts w:ascii="Arial" w:cs="Arial" w:eastAsia="Arial" w:hAnsi="Arial"/>
                <w:b/>
                <w:bCs/>
                <w:color w:val="FFFFFF"/>
                <w:sz w:val="20"/>
                <w:szCs w:val="20"/>
              </w:rPr>
              <w:t xml:space="preserve">C2</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D3436"/>
                <w:sz w:val="20"/>
                <w:szCs w:val="20"/>
              </w:rPr>
              <w:t xml:space="preserve">Build and sign the TWA with Bubblewrap</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D3436"/>
                <w:sz w:val="19"/>
                <w:szCs w:val="19"/>
              </w:rPr>
              <w:t xml:space="preserve">Install Bubblewrap CLI, run bubblewrap init against the live manifest URL, build the signed AAB. Store the keystore securely (not in the repo).</w:t>
            </w:r>
          </w:p>
        </w:tc>
        <w:tc>
          <w:tcPr>
            <w:tcW w:type="dxa" w:w="1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2D3436"/>
                <w:sz w:val="19"/>
                <w:szCs w:val="19"/>
              </w:rPr>
              <w:t xml:space="preserve">Dev</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2D3436"/>
                <w:sz w:val="19"/>
                <w:szCs w:val="19"/>
              </w:rPr>
              <w:t xml:space="preserve">1 session</w:t>
            </w:r>
          </w:p>
        </w:tc>
      </w:tr>
      <w:tr>
        <w:tc>
          <w:tcPr>
            <w:tcW w:type="dxa" w:w="400"/>
            <w:tcBorders>
              <w:top w:val="single" w:color="CCCCCC" w:sz="1"/>
              <w:left w:val="single" w:color="CCCCCC" w:sz="1"/>
              <w:bottom w:val="single" w:color="CCCCCC" w:sz="1"/>
              <w:right w:val="single" w:color="CCCCCC" w:sz="1"/>
            </w:tcBorders>
            <w:shd w:fill="6C5CE7" w:val="clear"/>
            <w:tcMar>
              <w:top w:type="dxa" w:w="60"/>
              <w:left w:type="dxa" w:w="80"/>
              <w:bottom w:type="dxa" w:w="60"/>
              <w:right w:type="dxa" w:w="80"/>
            </w:tcMar>
          </w:tcPr>
          <w:p>
            <w:pPr>
              <w:jc w:val="center"/>
            </w:pPr>
            <w:r>
              <w:rPr>
                <w:rFonts w:ascii="Arial" w:cs="Arial" w:eastAsia="Arial" w:hAnsi="Arial"/>
                <w:b/>
                <w:bCs/>
                <w:color w:val="FFFFFF"/>
                <w:sz w:val="20"/>
                <w:szCs w:val="20"/>
              </w:rPr>
              <w:t xml:space="preserve">C3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3436"/>
                <w:sz w:val="20"/>
                <w:szCs w:val="20"/>
              </w:rPr>
              <w:t xml:space="preserve">Publish Digital Asset Links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19"/>
                <w:szCs w:val="19"/>
              </w:rPr>
              <w:t xml:space="preserve">Create /public/.well-known/assetlinks.json with the TWA signing certificate SHA-256. Deploy and verify using the Google Digital Asset Links validation tool.</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2D3436"/>
                <w:sz w:val="19"/>
                <w:szCs w:val="19"/>
              </w:rPr>
              <w:t xml:space="preserve">Dev + DevOps</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2D3436"/>
                <w:sz w:val="19"/>
                <w:szCs w:val="19"/>
              </w:rPr>
              <w:t xml:space="preserve">0.5 sessions</w:t>
            </w:r>
          </w:p>
        </w:tc>
      </w:tr>
      <w:tr>
        <w:tc>
          <w:tcPr>
            <w:tcW w:type="dxa" w:w="400"/>
            <w:tcBorders>
              <w:top w:val="single" w:color="CCCCCC" w:sz="1"/>
              <w:left w:val="single" w:color="CCCCCC" w:sz="1"/>
              <w:bottom w:val="single" w:color="CCCCCC" w:sz="1"/>
              <w:right w:val="single" w:color="CCCCCC" w:sz="1"/>
            </w:tcBorders>
            <w:shd w:fill="6C5CE7" w:val="clear"/>
            <w:tcMar>
              <w:top w:type="dxa" w:w="60"/>
              <w:left w:type="dxa" w:w="80"/>
              <w:bottom w:type="dxa" w:w="60"/>
              <w:right w:type="dxa" w:w="80"/>
            </w:tcMar>
          </w:tcPr>
          <w:p>
            <w:pPr>
              <w:jc w:val="center"/>
            </w:pPr>
            <w:r>
              <w:rPr>
                <w:rFonts w:ascii="Arial" w:cs="Arial" w:eastAsia="Arial" w:hAnsi="Arial"/>
                <w:b/>
                <w:bCs/>
                <w:color w:val="FFFFFF"/>
                <w:sz w:val="20"/>
                <w:szCs w:val="20"/>
              </w:rPr>
              <w:t xml:space="preserve">C4</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D3436"/>
                <w:sz w:val="20"/>
                <w:szCs w:val="20"/>
              </w:rPr>
              <w:t xml:space="preserve">Google Play developer account &amp; store listing</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D3436"/>
                <w:sz w:val="19"/>
                <w:szCs w:val="19"/>
              </w:rPr>
              <w:t xml:space="preserve">Register at play.google.com/console ($25 one-time fee). Complete the store listing: description, screenshots, content rating (Education / Everyone), pricing (free with IAP).</w:t>
            </w:r>
          </w:p>
        </w:tc>
        <w:tc>
          <w:tcPr>
            <w:tcW w:type="dxa" w:w="1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2D3436"/>
                <w:sz w:val="19"/>
                <w:szCs w:val="19"/>
              </w:rPr>
              <w:t xml:space="preserve">Michael</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2D3436"/>
                <w:sz w:val="19"/>
                <w:szCs w:val="19"/>
              </w:rPr>
              <w:t xml:space="preserve">1–2 hours</w:t>
            </w:r>
          </w:p>
        </w:tc>
      </w:tr>
      <w:tr>
        <w:tc>
          <w:tcPr>
            <w:tcW w:type="dxa" w:w="400"/>
            <w:tcBorders>
              <w:top w:val="single" w:color="CCCCCC" w:sz="1"/>
              <w:left w:val="single" w:color="CCCCCC" w:sz="1"/>
              <w:bottom w:val="single" w:color="CCCCCC" w:sz="1"/>
              <w:right w:val="single" w:color="CCCCCC" w:sz="1"/>
            </w:tcBorders>
            <w:shd w:fill="6C5CE7" w:val="clear"/>
            <w:tcMar>
              <w:top w:type="dxa" w:w="60"/>
              <w:left w:type="dxa" w:w="80"/>
              <w:bottom w:type="dxa" w:w="60"/>
              <w:right w:type="dxa" w:w="80"/>
            </w:tcMar>
          </w:tcPr>
          <w:p>
            <w:pPr>
              <w:jc w:val="center"/>
            </w:pPr>
            <w:r>
              <w:rPr>
                <w:rFonts w:ascii="Arial" w:cs="Arial" w:eastAsia="Arial" w:hAnsi="Arial"/>
                <w:b/>
                <w:bCs/>
                <w:color w:val="FFFFFF"/>
                <w:sz w:val="20"/>
                <w:szCs w:val="20"/>
              </w:rPr>
              <w:t xml:space="preserve">C5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3436"/>
                <w:sz w:val="20"/>
                <w:szCs w:val="20"/>
              </w:rPr>
              <w:t xml:space="preserve">Submit for Play Store review</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19"/>
                <w:szCs w:val="19"/>
              </w:rPr>
              <w:t xml:space="preserve">Upload the signed AAB. Complete Data Safety form (no personal data sold; parental consent for under-13s). Submit for review. Typical turnaround: 3–5 business days.</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2D3436"/>
                <w:sz w:val="19"/>
                <w:szCs w:val="19"/>
              </w:rPr>
              <w:t xml:space="preserve">Michael</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2D3436"/>
                <w:sz w:val="19"/>
                <w:szCs w:val="19"/>
              </w:rPr>
              <w:t xml:space="preserve">1 session</w:t>
            </w:r>
          </w:p>
        </w:tc>
      </w:tr>
    </w:tbl>
    <w:p>
      <w:pPr>
        <w:spacing w:after="0" w:before="120"/>
      </w:pPr>
      <w:r>
        <w:t xml:space="preserve"/>
      </w:r>
    </w:p>
    <w:p>
      <w:pPr>
        <w:pStyle w:val="Heading2"/>
        <w:pBdr>
          <w:bottom w:val="single" w:color="6C5CE7" w:sz="4" w:space="4"/>
        </w:pBdr>
        <w:spacing w:after="120" w:before="320"/>
      </w:pPr>
      <w:r>
        <w:rPr>
          <w:rFonts w:ascii="Arial" w:cs="Arial" w:eastAsia="Arial" w:hAnsi="Arial"/>
          <w:b/>
          <w:bCs/>
          <w:color w:val="2D3436"/>
          <w:sz w:val="28"/>
          <w:szCs w:val="28"/>
        </w:rPr>
        <w:t xml:space="preserve">Ongoing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160"/>
        <w:gridCol w:w="1600"/>
        <w:gridCol w:w="2000"/>
      </w:tblGrid>
      <w:tr>
        <w:trPr>
          <w:tblHeader/>
        </w:trPr>
        <w:tc>
          <w:tcPr>
            <w:tcW w:type="dxa" w:w="400"/>
            <w:tcBorders>
              <w:top w:val="single" w:color="6C5CE7" w:sz="1"/>
              <w:left w:val="single" w:color="6C5CE7" w:sz="1"/>
              <w:bottom w:val="single" w:color="6C5CE7" w:sz="1"/>
              <w:right w:val="single" w:color="6C5CE7" w:sz="1"/>
            </w:tcBorders>
            <w:shd w:fill="6C5CE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2200"/>
            <w:tcBorders>
              <w:top w:val="single" w:color="6C5CE7" w:sz="1"/>
              <w:left w:val="single" w:color="6C5CE7" w:sz="1"/>
              <w:bottom w:val="single" w:color="6C5CE7" w:sz="1"/>
              <w:right w:val="single" w:color="6C5CE7" w:sz="1"/>
            </w:tcBorders>
            <w:shd w:fill="6C5CE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Action</w:t>
            </w:r>
          </w:p>
        </w:tc>
        <w:tc>
          <w:tcPr>
            <w:tcW w:type="dxa" w:w="3160"/>
            <w:tcBorders>
              <w:top w:val="single" w:color="6C5CE7" w:sz="1"/>
              <w:left w:val="single" w:color="6C5CE7" w:sz="1"/>
              <w:bottom w:val="single" w:color="6C5CE7" w:sz="1"/>
              <w:right w:val="single" w:color="6C5CE7" w:sz="1"/>
            </w:tcBorders>
            <w:shd w:fill="6C5CE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Detail</w:t>
            </w:r>
          </w:p>
        </w:tc>
        <w:tc>
          <w:tcPr>
            <w:tcW w:type="dxa" w:w="1600"/>
            <w:tcBorders>
              <w:top w:val="single" w:color="6C5CE7" w:sz="1"/>
              <w:left w:val="single" w:color="6C5CE7" w:sz="1"/>
              <w:bottom w:val="single" w:color="6C5CE7" w:sz="1"/>
              <w:right w:val="single" w:color="6C5CE7" w:sz="1"/>
            </w:tcBorders>
            <w:shd w:fill="6C5CE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Owner</w:t>
            </w:r>
          </w:p>
        </w:tc>
        <w:tc>
          <w:tcPr>
            <w:tcW w:type="dxa" w:w="2000"/>
            <w:tcBorders>
              <w:top w:val="single" w:color="6C5CE7" w:sz="1"/>
              <w:left w:val="single" w:color="6C5CE7" w:sz="1"/>
              <w:bottom w:val="single" w:color="6C5CE7" w:sz="1"/>
              <w:right w:val="single" w:color="6C5CE7" w:sz="1"/>
            </w:tcBorders>
            <w:shd w:fill="6C5CE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Timeline</w:t>
            </w:r>
          </w:p>
        </w:tc>
      </w:tr>
      <w:tr>
        <w:tc>
          <w:tcPr>
            <w:tcW w:type="dxa" w:w="400"/>
            <w:tcBorders>
              <w:top w:val="single" w:color="CCCCCC" w:sz="1"/>
              <w:left w:val="single" w:color="CCCCCC" w:sz="1"/>
              <w:bottom w:val="single" w:color="CCCCCC" w:sz="1"/>
              <w:right w:val="single" w:color="CCCCCC" w:sz="1"/>
            </w:tcBorders>
            <w:shd w:fill="6C5CE7" w:val="clear"/>
            <w:tcMar>
              <w:top w:type="dxa" w:w="60"/>
              <w:left w:type="dxa" w:w="80"/>
              <w:bottom w:type="dxa" w:w="60"/>
              <w:right w:type="dxa" w:w="80"/>
            </w:tcMar>
          </w:tcPr>
          <w:p>
            <w:pPr>
              <w:jc w:val="center"/>
            </w:pPr>
            <w:r>
              <w:rPr>
                <w:rFonts w:ascii="Arial" w:cs="Arial" w:eastAsia="Arial" w:hAnsi="Arial"/>
                <w:b/>
                <w:bCs/>
                <w:color w:val="FFFFFF"/>
                <w:sz w:val="20"/>
                <w:szCs w:val="20"/>
              </w:rPr>
              <w:t xml:space="preserve">D1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3436"/>
                <w:sz w:val="20"/>
                <w:szCs w:val="20"/>
              </w:rPr>
              <w:t xml:space="preserve">Phase B progression modes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19"/>
                <w:szCs w:val="19"/>
              </w:rPr>
              <w:t xml:space="preserve">Add Fill, Correct, and Create session modes per level so 3 sessions at any level feel varied rather than repetitive. Addresses the core engagement risk of the Phase A no-gate model.</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2D3436"/>
                <w:sz w:val="19"/>
                <w:szCs w:val="19"/>
              </w:rPr>
              <w:t xml:space="preserve">Dev</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2D3436"/>
                <w:sz w:val="19"/>
                <w:szCs w:val="19"/>
              </w:rPr>
              <w:t xml:space="preserve">Sprint 2</w:t>
            </w:r>
          </w:p>
        </w:tc>
      </w:tr>
      <w:tr>
        <w:tc>
          <w:tcPr>
            <w:tcW w:type="dxa" w:w="400"/>
            <w:tcBorders>
              <w:top w:val="single" w:color="CCCCCC" w:sz="1"/>
              <w:left w:val="single" w:color="CCCCCC" w:sz="1"/>
              <w:bottom w:val="single" w:color="CCCCCC" w:sz="1"/>
              <w:right w:val="single" w:color="CCCCCC" w:sz="1"/>
            </w:tcBorders>
            <w:shd w:fill="6C5CE7" w:val="clear"/>
            <w:tcMar>
              <w:top w:type="dxa" w:w="60"/>
              <w:left w:type="dxa" w:w="80"/>
              <w:bottom w:type="dxa" w:w="60"/>
              <w:right w:type="dxa" w:w="80"/>
            </w:tcMar>
          </w:tcPr>
          <w:p>
            <w:pPr>
              <w:jc w:val="center"/>
            </w:pPr>
            <w:r>
              <w:rPr>
                <w:rFonts w:ascii="Arial" w:cs="Arial" w:eastAsia="Arial" w:hAnsi="Arial"/>
                <w:b/>
                <w:bCs/>
                <w:color w:val="FFFFFF"/>
                <w:sz w:val="20"/>
                <w:szCs w:val="20"/>
              </w:rPr>
              <w:t xml:space="preserve">D2</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D3436"/>
                <w:sz w:val="20"/>
                <w:szCs w:val="20"/>
              </w:rPr>
              <w:t xml:space="preserve">Quota enforcement Edge Function</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D3436"/>
                <w:sz w:val="19"/>
                <w:szCs w:val="19"/>
              </w:rPr>
              <w:t xml:space="preserve">Write the server-side logic that checks a school’s subscription tier against its current pupil and teacher counts before allowing new enrolments. Prevents over-subscription.</w:t>
            </w:r>
          </w:p>
        </w:tc>
        <w:tc>
          <w:tcPr>
            <w:tcW w:type="dxa" w:w="1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2D3436"/>
                <w:sz w:val="19"/>
                <w:szCs w:val="19"/>
              </w:rPr>
              <w:t xml:space="preserve">Dev</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2D3436"/>
                <w:sz w:val="19"/>
                <w:szCs w:val="19"/>
              </w:rPr>
              <w:t xml:space="preserve">Sprint 2</w:t>
            </w:r>
          </w:p>
        </w:tc>
      </w:tr>
      <w:tr>
        <w:tc>
          <w:tcPr>
            <w:tcW w:type="dxa" w:w="400"/>
            <w:tcBorders>
              <w:top w:val="single" w:color="CCCCCC" w:sz="1"/>
              <w:left w:val="single" w:color="CCCCCC" w:sz="1"/>
              <w:bottom w:val="single" w:color="CCCCCC" w:sz="1"/>
              <w:right w:val="single" w:color="CCCCCC" w:sz="1"/>
            </w:tcBorders>
            <w:shd w:fill="6C5CE7" w:val="clear"/>
            <w:tcMar>
              <w:top w:type="dxa" w:w="60"/>
              <w:left w:type="dxa" w:w="80"/>
              <w:bottom w:type="dxa" w:w="60"/>
              <w:right w:type="dxa" w:w="80"/>
            </w:tcMar>
          </w:tcPr>
          <w:p>
            <w:pPr>
              <w:jc w:val="center"/>
            </w:pPr>
            <w:r>
              <w:rPr>
                <w:rFonts w:ascii="Arial" w:cs="Arial" w:eastAsia="Arial" w:hAnsi="Arial"/>
                <w:b/>
                <w:bCs/>
                <w:color w:val="FFFFFF"/>
                <w:sz w:val="20"/>
                <w:szCs w:val="20"/>
              </w:rPr>
              <w:t xml:space="preserve">D3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3436"/>
                <w:sz w:val="20"/>
                <w:szCs w:val="20"/>
              </w:rPr>
              <w:t xml:space="preserve">Automated Playwright E2E suite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436"/>
                <w:sz w:val="19"/>
                <w:szCs w:val="19"/>
              </w:rPr>
              <w:t xml:space="preserve">Implement the full 60-ticket test checklist as automated Playwright tests. Run in CI on every push to main so regressions are caught before deployment.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2D3436"/>
                <w:sz w:val="19"/>
                <w:szCs w:val="19"/>
              </w:rPr>
              <w:t xml:space="preserve">Dev / QA</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2D3436"/>
                <w:sz w:val="19"/>
                <w:szCs w:val="19"/>
              </w:rPr>
              <w:t xml:space="preserve">Sprint 3</w:t>
            </w:r>
          </w:p>
        </w:tc>
      </w:tr>
      <w:tr>
        <w:tc>
          <w:tcPr>
            <w:tcW w:type="dxa" w:w="400"/>
            <w:tcBorders>
              <w:top w:val="single" w:color="CCCCCC" w:sz="1"/>
              <w:left w:val="single" w:color="CCCCCC" w:sz="1"/>
              <w:bottom w:val="single" w:color="CCCCCC" w:sz="1"/>
              <w:right w:val="single" w:color="CCCCCC" w:sz="1"/>
            </w:tcBorders>
            <w:shd w:fill="6C5CE7" w:val="clear"/>
            <w:tcMar>
              <w:top w:type="dxa" w:w="60"/>
              <w:left w:type="dxa" w:w="80"/>
              <w:bottom w:type="dxa" w:w="60"/>
              <w:right w:type="dxa" w:w="80"/>
            </w:tcMar>
          </w:tcPr>
          <w:p>
            <w:pPr>
              <w:jc w:val="center"/>
            </w:pPr>
            <w:r>
              <w:rPr>
                <w:rFonts w:ascii="Arial" w:cs="Arial" w:eastAsia="Arial" w:hAnsi="Arial"/>
                <w:b/>
                <w:bCs/>
                <w:color w:val="FFFFFF"/>
                <w:sz w:val="20"/>
                <w:szCs w:val="20"/>
              </w:rPr>
              <w:t xml:space="preserve">D4</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D3436"/>
                <w:sz w:val="20"/>
                <w:szCs w:val="20"/>
              </w:rPr>
              <w:t xml:space="preserve">Apple App Store wrapper (iOS)</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D3436"/>
                <w:sz w:val="19"/>
                <w:szCs w:val="19"/>
              </w:rPr>
              <w:t xml:space="preserve">Once Android is live, evaluate WKWebView-based wrappers (e.g. Median.co) for an iOS App Store submission. Lower priority because iOS supports PWA home screen install natively.</w:t>
            </w:r>
          </w:p>
        </w:tc>
        <w:tc>
          <w:tcPr>
            <w:tcW w:type="dxa" w:w="1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2D3436"/>
                <w:sz w:val="19"/>
                <w:szCs w:val="19"/>
              </w:rPr>
              <w:t xml:space="preserve">Dev</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color w:val="2D3436"/>
                <w:sz w:val="19"/>
                <w:szCs w:val="19"/>
              </w:rPr>
              <w:t xml:space="preserve">Sprint 4</w:t>
            </w:r>
          </w:p>
        </w:tc>
      </w:tr>
    </w:tbl>
    <w:p>
      <w:pPr>
        <w:spacing w:after="0" w:before="160"/>
      </w:pPr>
      <w:r>
        <w:t xml:space="preserve"/>
      </w:r>
    </w:p>
    <w:p>
      <w:pPr>
        <w:pBdr>
          <w:top w:val="single" w:color="6C5CE7" w:sz="4" w:space="8"/>
        </w:pBdr>
        <w:spacing w:after="80" w:before="200"/>
        <w:jc w:val="center"/>
      </w:pPr>
      <w:r>
        <w:rPr>
          <w:rFonts w:ascii="Arial" w:cs="Arial" w:eastAsia="Arial" w:hAnsi="Arial"/>
          <w:i/>
          <w:iCs/>
          <w:color w:val="636E72"/>
          <w:sz w:val="18"/>
          <w:szCs w:val="18"/>
        </w:rPr>
        <w:t xml:space="preserve">WriFe — Built for UK schools  •  pwp-studio.wrife.co.uk  •  May 2026</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C5CE7" w:sz="4" w:space="4"/>
      </w:pBdr>
      <w:spacing w:before="80"/>
      <w:jc w:val="center"/>
    </w:pPr>
    <w:r>
      <w:rPr>
        <w:rFonts w:ascii="Arial" w:cs="Arial" w:eastAsia="Arial" w:hAnsi="Arial"/>
        <w:color w:val="636E72"/>
        <w:sz w:val="16"/>
        <w:szCs w:val="16"/>
      </w:rPr>
      <w:t xml:space="preserve">WriFe — Confidential  •  Page </w:t>
    </w:r>
    <w:r>
      <w:rPr>
        <w:rFonts w:ascii="Arial" w:cs="Arial" w:eastAsia="Arial" w:hAnsi="Arial"/>
        <w:color w:val="636E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5CE7" w:sz="4" w:space="4"/>
      </w:pBdr>
      <w:spacing w:after="120"/>
      <w:jc w:val="right"/>
    </w:pPr>
    <w:r>
      <w:rPr>
        <w:rFonts w:ascii="Arial" w:cs="Arial" w:eastAsia="Arial" w:hAnsi="Arial"/>
        <w:color w:val="636E72"/>
        <w:sz w:val="18"/>
        <w:szCs w:val="18"/>
      </w:rPr>
      <w:t xml:space="preserve">WriFe PWP Studio — Platform Review &amp; Roadmap</w:t>
    </w:r>
    <w:r>
      <w:rPr>
        <w:rFonts w:ascii="Arial" w:cs="Arial" w:eastAsia="Arial" w:hAnsi="Arial"/>
        <w:color w:val="636E72"/>
        <w:sz w:val="18"/>
        <w:szCs w:val="18"/>
      </w:rPr>
      <w:t xml:space="preserve">  •  </w:t>
    </w:r>
    <w:r>
      <w:rPr>
        <w:rFonts w:ascii="Arial" w:cs="Arial" w:eastAsia="Arial" w:hAnsi="Arial"/>
        <w:color w:val="636E72"/>
        <w:sz w:val="18"/>
        <w:szCs w:val="18"/>
      </w:rPr>
      <w:t xml:space="preserve">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6C5CE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D343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6C5CE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2026-05-05T09:44:55.106Z</dcterms:created>
  <dcterms:modified xsi:type="dcterms:W3CDTF">2026-05-05T09:44:55.107Z</dcterms:modified>
</cp:coreProperties>
</file>

<file path=docProps/custom.xml><?xml version="1.0" encoding="utf-8"?>
<Properties xmlns="http://schemas.openxmlformats.org/officeDocument/2006/custom-properties" xmlns:vt="http://schemas.openxmlformats.org/officeDocument/2006/docPropsVTypes"/>
</file>