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95C8"/>
          <w:sz w:val="20"/>
          <w:szCs w:val="20"/>
        </w:rPr>
        <w:t xml:space="preserve">CG UNITED INSURANCE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D4289"/>
          <w:sz w:val="40"/>
          <w:szCs w:val="40"/>
        </w:rPr>
        <w:t xml:space="preserve">Build Your Future — Business Value Summary</w:t>
      </w:r>
    </w:p>
    <w:p>
      <w:pPr>
        <w:pBdr>
          <w:bottom w:val="single" w:color="1D4289" w:sz="6" w:space="6"/>
        </w:pBdr>
        <w:spacing w:after="300"/>
      </w:pPr>
      <w:r>
        <w:rPr>
          <w:rFonts w:ascii="Arial" w:cs="Arial" w:eastAsia="Arial" w:hAnsi="Arial"/>
          <w:i/>
          <w:iCs/>
          <w:color w:val="1D2733"/>
          <w:sz w:val="20"/>
          <w:szCs w:val="20"/>
        </w:rPr>
        <w:t xml:space="preserve">Expo 2026 Booth Activation  |  July 11-12, 2026</w:t>
      </w:r>
    </w:p>
    <w:p>
      <w:pPr>
        <w:spacing w:after="180" w:line="300"/>
      </w:pPr>
      <w:r>
        <w:rPr>
          <w:rFonts w:ascii="Arial" w:cs="Arial" w:eastAsia="Arial" w:hAnsi="Arial"/>
          <w:color w:val="1D2733"/>
          <w:sz w:val="22"/>
          <w:szCs w:val="22"/>
        </w:rPr>
        <w:t xml:space="preserve">Build Your Future is the interactive kiosk game built for CG United's Expo 2026 booth, where visitors simulate a real household insurance decision, get hit with a random "life event," and see instantly whether their coverage choices held up. Over a two-day activation, it did more than draw a crowd: it converted booth traffic into a structured, usable sales pipeline while reinforcing CG United's product lineup in a way a table of brochures never could.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D4289"/>
          <w:sz w:val="26"/>
          <w:szCs w:val="26"/>
        </w:rPr>
        <w:t xml:space="preserve">Results at a Glance</w:t>
      </w:r>
    </w:p>
    <w:tbl>
      <w:tblPr>
        <w:tblW w:type="dxa" w:w="936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95C8"/>
                <w:sz w:val="30"/>
                <w:szCs w:val="30"/>
              </w:rPr>
              <w:t xml:space="preserve">60</w:t>
            </w:r>
          </w:p>
          <w:p>
            <w:r>
              <w:rPr>
                <w:rFonts w:ascii="Arial" w:cs="Arial" w:eastAsia="Arial" w:hAnsi="Arial"/>
                <w:color w:val="1D2733"/>
                <w:sz w:val="18"/>
                <w:szCs w:val="18"/>
              </w:rPr>
              <w:t xml:space="preserve">Unique leads captured</w:t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95C8"/>
                <w:sz w:val="30"/>
                <w:szCs w:val="30"/>
              </w:rPr>
              <w:t xml:space="preserve">71</w:t>
            </w:r>
          </w:p>
          <w:p>
            <w:r>
              <w:rPr>
                <w:rFonts w:ascii="Arial" w:cs="Arial" w:eastAsia="Arial" w:hAnsi="Arial"/>
                <w:color w:val="1D2733"/>
                <w:sz w:val="18"/>
                <w:szCs w:val="18"/>
              </w:rPr>
              <w:t xml:space="preserve">Total game sessions played</w:t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95C8"/>
                <w:sz w:val="30"/>
                <w:szCs w:val="30"/>
              </w:rPr>
              <w:t xml:space="preserve">9</w:t>
            </w:r>
          </w:p>
          <w:p>
            <w:r>
              <w:rPr>
                <w:rFonts w:ascii="Arial" w:cs="Arial" w:eastAsia="Arial" w:hAnsi="Arial"/>
                <w:color w:val="1D2733"/>
                <w:sz w:val="18"/>
                <w:szCs w:val="18"/>
              </w:rPr>
              <w:t xml:space="preserve">Players who came back for a 2nd+ 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95C8"/>
                <w:sz w:val="30"/>
                <w:szCs w:val="30"/>
              </w:rPr>
              <w:t xml:space="preserve">58.3%</w:t>
            </w:r>
          </w:p>
          <w:p>
            <w:r>
              <w:rPr>
                <w:rFonts w:ascii="Arial" w:cs="Arial" w:eastAsia="Arial" w:hAnsi="Arial"/>
                <w:color w:val="1D2733"/>
                <w:sz w:val="18"/>
                <w:szCs w:val="18"/>
              </w:rPr>
              <w:t xml:space="preserve">Average Protection Score</w:t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95C8"/>
                <w:sz w:val="30"/>
                <w:szCs w:val="30"/>
              </w:rPr>
              <w:t xml:space="preserve">36.7%</w:t>
            </w:r>
          </w:p>
          <w:p>
            <w:r>
              <w:rPr>
                <w:rFonts w:ascii="Arial" w:cs="Arial" w:eastAsia="Arial" w:hAnsi="Arial"/>
                <w:color w:val="1D2733"/>
                <w:sz w:val="18"/>
                <w:szCs w:val="18"/>
              </w:rPr>
              <w:t xml:space="preserve">Leads scoring 80%+ (fully engaged)</w:t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95C8"/>
                <w:sz w:val="30"/>
                <w:szCs w:val="30"/>
              </w:rPr>
              <w:t xml:space="preserve">6</w:t>
            </w:r>
          </w:p>
          <w:p>
            <w:r>
              <w:rPr>
                <w:rFonts w:ascii="Arial" w:cs="Arial" w:eastAsia="Arial" w:hAnsi="Arial"/>
                <w:color w:val="1D2733"/>
                <w:sz w:val="18"/>
                <w:szCs w:val="18"/>
              </w:rPr>
              <w:t xml:space="preserve">Professional/institutional email domains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D4289"/>
          <w:sz w:val="26"/>
          <w:szCs w:val="26"/>
        </w:rPr>
        <w:t xml:space="preserve">A Real Sales Pipeline, Not a Stack of Business Cards</w:t>
      </w:r>
    </w:p>
    <w:p>
      <w:pPr>
        <w:spacing w:after="180" w:line="300"/>
      </w:pPr>
      <w:r>
        <w:rPr>
          <w:rFonts w:ascii="Arial" w:cs="Arial" w:eastAsia="Arial" w:hAnsi="Arial"/>
          <w:color w:val="1D2733"/>
          <w:sz w:val="22"/>
          <w:szCs w:val="22"/>
        </w:rPr>
        <w:t xml:space="preserve">Every one of the 60 leads came with a name, email, and phone number required up front to play, then flowed straight into a structured, de-duplicated export ready for CRM import. There's no follow-up data entry, no illegible handwriting to decode, and no business cards to sit in a drawer. Several leads carry professional or institutional email domains spanning banking, real estate, government, and retail, pointing to engagement from prospects with real purchasing power, not just casual passersby.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D4289"/>
          <w:sz w:val="26"/>
          <w:szCs w:val="26"/>
        </w:rPr>
        <w:t xml:space="preserve">A Booth That Pulled Its Weight</w:t>
      </w:r>
    </w:p>
    <w:p>
      <w:pPr>
        <w:spacing w:after="180" w:line="300"/>
      </w:pPr>
      <w:r>
        <w:rPr>
          <w:rFonts w:ascii="Arial" w:cs="Arial" w:eastAsia="Arial" w:hAnsi="Arial"/>
          <w:color w:val="1D2733"/>
          <w:sz w:val="22"/>
          <w:szCs w:val="22"/>
        </w:rPr>
        <w:t xml:space="preserve">71 total sessions were played across 60 unique visitors, with 9 people coming back to try again after their first run. A static table with flyers doesn't generate repeat visits or a natural crowd of onlookers waiting their turn — an interactive, competitive game does. That extra dwell time at the booth is attention CG United's team could use to have real conversations while visitors waited to play.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D4289"/>
          <w:sz w:val="26"/>
          <w:szCs w:val="26"/>
        </w:rPr>
        <w:t xml:space="preserve">Product Education, Disguised as Entertainment</w:t>
      </w:r>
    </w:p>
    <w:p>
      <w:pPr>
        <w:spacing w:after="180" w:line="300"/>
      </w:pPr>
      <w:r>
        <w:rPr>
          <w:rFonts w:ascii="Arial" w:cs="Arial" w:eastAsia="Arial" w:hAnsi="Arial"/>
          <w:color w:val="1D2733"/>
          <w:sz w:val="22"/>
          <w:szCs w:val="22"/>
        </w:rPr>
        <w:t xml:space="preserve">The scoring mechanic isn't cosmetic: it rewards visitors for actually weighing CG United's product categories against a realistic budget before a simulated disaster tests their choices. 60% of players finished with a Protection Score above 50%, and over a third broke 80% — meaning the majority weren't just clicking through, they were genuinely engaging with the coverage trade-offs the game was built to teach. That's insurance literacy, and brand association with CG United, delivered in under two minutes per play.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D4289"/>
          <w:sz w:val="26"/>
          <w:szCs w:val="26"/>
        </w:rPr>
        <w:t xml:space="preserve">Compliance-Safe Data Collection</w:t>
      </w:r>
    </w:p>
    <w:p>
      <w:pPr>
        <w:spacing w:after="180" w:line="300"/>
      </w:pPr>
      <w:r>
        <w:rPr>
          <w:rFonts w:ascii="Arial" w:cs="Arial" w:eastAsia="Arial" w:hAnsi="Arial"/>
          <w:color w:val="1D2733"/>
          <w:sz w:val="22"/>
          <w:szCs w:val="22"/>
        </w:rPr>
        <w:t xml:space="preserve">Every entrant sees a Data Protection Act (2020) and CG United Privacy Policy notice before their contact details are captured, so this pipeline of leads was built without adding compliance risk — a meaningful difference from ad hoc paper sign-up sheets.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D4289"/>
          <w:sz w:val="26"/>
          <w:szCs w:val="26"/>
        </w:rPr>
        <w:t xml:space="preserve">A Reusable Asset, Not a One-Time Expense</w:t>
      </w:r>
    </w:p>
    <w:p>
      <w:pPr>
        <w:spacing w:after="180" w:line="300"/>
      </w:pPr>
      <w:r>
        <w:rPr>
          <w:rFonts w:ascii="Arial" w:cs="Arial" w:eastAsia="Arial" w:hAnsi="Arial"/>
          <w:color w:val="1D2733"/>
          <w:sz w:val="22"/>
          <w:szCs w:val="22"/>
        </w:rPr>
        <w:t xml:space="preserve">The game runs fully offline from a kiosk build, so it isn't tied to this one expo — it can be redeployed at future events, onboarding sessions, or trade shows with zero incremental production cost. The value shown here is from a single two-day activation; each additional use compounds that return without rebuilding anything from scratch.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2026-07-16T03:35:31.175Z</dcterms:created>
  <dcterms:modified xsi:type="dcterms:W3CDTF">2026-07-16T03:35:31.176Z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