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4A0" w:firstRow="1" w:lastRow="0" w:firstColumn="1" w:lastColumn="0" w:noHBand="0" w:noVBand="1"/>
      </w:tblPr>
      <w:tblGrid>
        <w:gridCol w:w="7360"/>
        <w:gridCol w:w="2000"/>
      </w:tblGrid>
      <w:tr w:rsidR="00AB539F" w14:paraId="3E50B413" w14:textId="77777777">
        <w:tblPrEx>
          <w:tblCellMar>
            <w:top w:w="0" w:type="dxa"/>
            <w:bottom w:w="0" w:type="dxa"/>
          </w:tblCellMar>
        </w:tblPrEx>
        <w:tc>
          <w:tcPr>
            <w:tcW w:w="7360" w:type="dxa"/>
            <w:tcMar>
              <w:top w:w="0" w:type="dxa"/>
              <w:left w:w="0" w:type="dxa"/>
              <w:bottom w:w="0" w:type="dxa"/>
              <w:right w:w="0" w:type="dxa"/>
            </w:tcMar>
            <w:vAlign w:val="center"/>
          </w:tcPr>
          <w:p w14:paraId="74325AA5" w14:textId="77777777" w:rsidR="00AB539F" w:rsidRDefault="00000000">
            <w:pPr>
              <w:spacing w:after="20"/>
            </w:pPr>
            <w:r>
              <w:rPr>
                <w:rFonts w:ascii="Arial" w:eastAsia="Arial" w:hAnsi="Arial" w:cs="Arial"/>
                <w:b/>
                <w:bCs/>
                <w:color w:val="0095C8"/>
                <w:sz w:val="18"/>
                <w:szCs w:val="18"/>
              </w:rPr>
              <w:t>PREPARED FOR CG UNITED INSURANCE</w:t>
            </w:r>
          </w:p>
          <w:p w14:paraId="4ACC5CEF" w14:textId="77777777" w:rsidR="00AB539F" w:rsidRDefault="00000000">
            <w:pPr>
              <w:spacing w:after="40"/>
            </w:pPr>
            <w:r>
              <w:rPr>
                <w:rFonts w:ascii="Arial" w:eastAsia="Arial" w:hAnsi="Arial" w:cs="Arial"/>
                <w:b/>
                <w:bCs/>
                <w:color w:val="1D4289"/>
                <w:sz w:val="40"/>
                <w:szCs w:val="40"/>
              </w:rPr>
              <w:t>Build Your Future</w:t>
            </w:r>
          </w:p>
          <w:p w14:paraId="1D16135E" w14:textId="77777777" w:rsidR="00AB539F" w:rsidRDefault="00000000">
            <w:r>
              <w:rPr>
                <w:rFonts w:ascii="Arial" w:eastAsia="Arial" w:hAnsi="Arial" w:cs="Arial"/>
                <w:i/>
                <w:iCs/>
                <w:color w:val="1D2733"/>
                <w:sz w:val="18"/>
                <w:szCs w:val="18"/>
              </w:rPr>
              <w:t>Licensing &amp; Ongoing Services Proposal</w:t>
            </w:r>
          </w:p>
          <w:p w14:paraId="72F1CF1E" w14:textId="77777777" w:rsidR="00AB539F" w:rsidRDefault="00000000">
            <w:r>
              <w:rPr>
                <w:rFonts w:ascii="Arial" w:eastAsia="Arial" w:hAnsi="Arial" w:cs="Arial"/>
                <w:color w:val="6B7688"/>
                <w:sz w:val="16"/>
                <w:szCs w:val="16"/>
              </w:rPr>
              <w:t>Prepared by White Owl Solutions, August 4, 2026</w:t>
            </w:r>
          </w:p>
        </w:tc>
        <w:tc>
          <w:tcPr>
            <w:tcW w:w="2000" w:type="dxa"/>
            <w:tcMar>
              <w:top w:w="0" w:type="dxa"/>
              <w:left w:w="0" w:type="dxa"/>
              <w:bottom w:w="0" w:type="dxa"/>
              <w:right w:w="0" w:type="dxa"/>
            </w:tcMar>
            <w:vAlign w:val="center"/>
          </w:tcPr>
          <w:p w14:paraId="41A3A729" w14:textId="77777777" w:rsidR="00AB539F" w:rsidRDefault="00000000">
            <w:pPr>
              <w:jc w:val="right"/>
            </w:pPr>
            <w:r>
              <w:rPr>
                <w:noProof/>
              </w:rPr>
              <w:drawing>
                <wp:inline distT="0" distB="0" distL="0" distR="0" wp14:anchorId="2BA950B4" wp14:editId="1989E21C">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r>
    </w:tbl>
    <w:p w14:paraId="3919111F" w14:textId="77777777" w:rsidR="00AB539F" w:rsidRDefault="00AB539F">
      <w:pPr>
        <w:pBdr>
          <w:bottom w:val="single" w:sz="6" w:space="5" w:color="1D4289"/>
        </w:pBdr>
        <w:spacing w:before="90" w:after="100"/>
      </w:pPr>
    </w:p>
    <w:p w14:paraId="11B2B266" w14:textId="77777777" w:rsidR="00AB539F" w:rsidRDefault="00000000">
      <w:pPr>
        <w:spacing w:after="46" w:line="222" w:lineRule="auto"/>
      </w:pPr>
      <w:r>
        <w:rPr>
          <w:rFonts w:ascii="Arial" w:eastAsia="Arial" w:hAnsi="Arial" w:cs="Arial"/>
          <w:color w:val="1D2733"/>
          <w:sz w:val="18"/>
          <w:szCs w:val="18"/>
        </w:rPr>
        <w:t>Build Your Future was built specifically for CG United, and the results from Expo 2026 show it worked. This proposal covers how CG United can keep using the platform, for future events or for other projects across the business.</w:t>
      </w:r>
    </w:p>
    <w:tbl>
      <w:tblPr>
        <w:tblW w:w="9360" w:type="dxa"/>
        <w:tblBorders>
          <w:top w:val="single" w:sz="4" w:space="0" w:color="C9D6E8"/>
          <w:left w:val="single" w:sz="4" w:space="0" w:color="C9D6E8"/>
          <w:bottom w:val="single" w:sz="4" w:space="0" w:color="C9D6E8"/>
          <w:right w:val="single" w:sz="4" w:space="0" w:color="C9D6E8"/>
          <w:insideV w:val="single" w:sz="4" w:space="0" w:color="C9D6E8"/>
        </w:tblBorders>
        <w:tblCellMar>
          <w:left w:w="10" w:type="dxa"/>
          <w:right w:w="10" w:type="dxa"/>
        </w:tblCellMar>
        <w:tblLook w:val="04A0" w:firstRow="1" w:lastRow="0" w:firstColumn="1" w:lastColumn="0" w:noHBand="0" w:noVBand="1"/>
      </w:tblPr>
      <w:tblGrid>
        <w:gridCol w:w="3120"/>
        <w:gridCol w:w="3120"/>
        <w:gridCol w:w="3120"/>
      </w:tblGrid>
      <w:tr w:rsidR="00AB539F" w14:paraId="371F78F9" w14:textId="77777777">
        <w:tblPrEx>
          <w:tblCellMar>
            <w:top w:w="0" w:type="dxa"/>
            <w:bottom w:w="0" w:type="dxa"/>
          </w:tblCellMar>
        </w:tblPrEx>
        <w:tc>
          <w:tcPr>
            <w:tcW w:w="3120" w:type="dxa"/>
            <w:shd w:val="clear" w:color="auto" w:fill="EAF1FB"/>
            <w:tcMar>
              <w:top w:w="130" w:type="dxa"/>
              <w:left w:w="90" w:type="dxa"/>
              <w:bottom w:w="130" w:type="dxa"/>
              <w:right w:w="90" w:type="dxa"/>
            </w:tcMar>
          </w:tcPr>
          <w:p w14:paraId="0F72A842" w14:textId="77777777" w:rsidR="00AB539F" w:rsidRDefault="00000000">
            <w:pPr>
              <w:spacing w:after="20"/>
              <w:jc w:val="center"/>
            </w:pPr>
            <w:r>
              <w:rPr>
                <w:rFonts w:ascii="Arial" w:eastAsia="Arial" w:hAnsi="Arial" w:cs="Arial"/>
                <w:b/>
                <w:bCs/>
                <w:color w:val="1D4289"/>
                <w:sz w:val="34"/>
                <w:szCs w:val="34"/>
              </w:rPr>
              <w:t>71</w:t>
            </w:r>
          </w:p>
          <w:p w14:paraId="3CAD9E1B" w14:textId="77777777" w:rsidR="00AB539F" w:rsidRDefault="00000000">
            <w:pPr>
              <w:jc w:val="center"/>
            </w:pPr>
            <w:r>
              <w:rPr>
                <w:rFonts w:ascii="Arial" w:eastAsia="Arial" w:hAnsi="Arial" w:cs="Arial"/>
                <w:color w:val="1D2733"/>
                <w:sz w:val="15"/>
                <w:szCs w:val="15"/>
              </w:rPr>
              <w:t>Plays at Expo 2026</w:t>
            </w:r>
          </w:p>
        </w:tc>
        <w:tc>
          <w:tcPr>
            <w:tcW w:w="3120" w:type="dxa"/>
            <w:shd w:val="clear" w:color="auto" w:fill="EAF1FB"/>
            <w:tcMar>
              <w:top w:w="130" w:type="dxa"/>
              <w:left w:w="90" w:type="dxa"/>
              <w:bottom w:w="130" w:type="dxa"/>
              <w:right w:w="90" w:type="dxa"/>
            </w:tcMar>
          </w:tcPr>
          <w:p w14:paraId="6B973923" w14:textId="77777777" w:rsidR="00AB539F" w:rsidRDefault="00000000">
            <w:pPr>
              <w:spacing w:after="20"/>
              <w:jc w:val="center"/>
            </w:pPr>
            <w:r>
              <w:rPr>
                <w:rFonts w:ascii="Arial" w:eastAsia="Arial" w:hAnsi="Arial" w:cs="Arial"/>
                <w:b/>
                <w:bCs/>
                <w:color w:val="1D4289"/>
                <w:sz w:val="34"/>
                <w:szCs w:val="34"/>
              </w:rPr>
              <w:t>60</w:t>
            </w:r>
          </w:p>
          <w:p w14:paraId="2377F0EC" w14:textId="77777777" w:rsidR="00AB539F" w:rsidRDefault="00000000">
            <w:pPr>
              <w:jc w:val="center"/>
            </w:pPr>
            <w:r>
              <w:rPr>
                <w:rFonts w:ascii="Arial" w:eastAsia="Arial" w:hAnsi="Arial" w:cs="Arial"/>
                <w:color w:val="1D2733"/>
                <w:sz w:val="15"/>
                <w:szCs w:val="15"/>
              </w:rPr>
              <w:t>Unique Leads Captured</w:t>
            </w:r>
          </w:p>
        </w:tc>
        <w:tc>
          <w:tcPr>
            <w:tcW w:w="3120" w:type="dxa"/>
            <w:shd w:val="clear" w:color="auto" w:fill="EAF1FB"/>
            <w:tcMar>
              <w:top w:w="130" w:type="dxa"/>
              <w:left w:w="90" w:type="dxa"/>
              <w:bottom w:w="130" w:type="dxa"/>
              <w:right w:w="90" w:type="dxa"/>
            </w:tcMar>
          </w:tcPr>
          <w:p w14:paraId="4B62554A" w14:textId="77777777" w:rsidR="00AB539F" w:rsidRDefault="00000000">
            <w:pPr>
              <w:spacing w:after="20"/>
              <w:jc w:val="center"/>
            </w:pPr>
            <w:r>
              <w:rPr>
                <w:rFonts w:ascii="Arial" w:eastAsia="Arial" w:hAnsi="Arial" w:cs="Arial"/>
                <w:b/>
                <w:bCs/>
                <w:color w:val="1D4289"/>
                <w:sz w:val="34"/>
                <w:szCs w:val="34"/>
              </w:rPr>
              <w:t>2</w:t>
            </w:r>
          </w:p>
          <w:p w14:paraId="166EE3A2" w14:textId="77777777" w:rsidR="00AB539F" w:rsidRDefault="00000000">
            <w:pPr>
              <w:jc w:val="center"/>
            </w:pPr>
            <w:r>
              <w:rPr>
                <w:rFonts w:ascii="Arial" w:eastAsia="Arial" w:hAnsi="Arial" w:cs="Arial"/>
                <w:color w:val="1D2733"/>
                <w:sz w:val="15"/>
                <w:szCs w:val="15"/>
              </w:rPr>
              <w:t>Event Days</w:t>
            </w:r>
          </w:p>
        </w:tc>
      </w:tr>
    </w:tbl>
    <w:p w14:paraId="4D70A7FF" w14:textId="77777777" w:rsidR="00AB539F" w:rsidRDefault="00AB539F">
      <w:pPr>
        <w:spacing w:before="60" w:after="100"/>
      </w:pPr>
    </w:p>
    <w:p w14:paraId="75E9BCAC" w14:textId="77777777" w:rsidR="00AB539F" w:rsidRDefault="00000000">
      <w:pPr>
        <w:pStyle w:val="Heading1"/>
        <w:pBdr>
          <w:bottom w:val="single" w:sz="4" w:space="3" w:color="0095C8"/>
        </w:pBdr>
        <w:spacing w:before="105" w:after="42"/>
      </w:pPr>
      <w:r>
        <w:rPr>
          <w:rFonts w:ascii="Arial" w:eastAsia="Arial" w:hAnsi="Arial" w:cs="Arial"/>
          <w:b/>
          <w:bCs/>
          <w:color w:val="1D4289"/>
          <w:sz w:val="24"/>
          <w:szCs w:val="24"/>
        </w:rPr>
        <w:t>Executive Summary</w:t>
      </w:r>
    </w:p>
    <w:p w14:paraId="22F806ED" w14:textId="77777777" w:rsidR="00AB539F" w:rsidRDefault="00000000">
      <w:pPr>
        <w:spacing w:after="46" w:line="222" w:lineRule="auto"/>
      </w:pPr>
      <w:r>
        <w:rPr>
          <w:rFonts w:ascii="Arial" w:eastAsia="Arial" w:hAnsi="Arial" w:cs="Arial"/>
          <w:color w:val="1D2733"/>
          <w:sz w:val="18"/>
          <w:szCs w:val="18"/>
        </w:rPr>
        <w:t>Build Your Future ran at Expo 2026 and generated 71 plays and 60 unique leads over two days. CG United now has the opportunity to keep the platform and use it again, whether for future events or other projects.</w:t>
      </w:r>
    </w:p>
    <w:p w14:paraId="202E7011" w14:textId="77777777" w:rsidR="00AB539F" w:rsidRDefault="00000000">
      <w:pPr>
        <w:pStyle w:val="Heading1"/>
        <w:pBdr>
          <w:bottom w:val="single" w:sz="4" w:space="3" w:color="0095C8"/>
        </w:pBdr>
        <w:spacing w:before="105" w:after="42"/>
      </w:pPr>
      <w:r>
        <w:rPr>
          <w:rFonts w:ascii="Arial" w:eastAsia="Arial" w:hAnsi="Arial" w:cs="Arial"/>
          <w:b/>
          <w:bCs/>
          <w:color w:val="1D4289"/>
          <w:sz w:val="24"/>
          <w:szCs w:val="24"/>
        </w:rPr>
        <w:t>Investment Summary</w:t>
      </w:r>
    </w:p>
    <w:tbl>
      <w:tblPr>
        <w:tblW w:w="9360" w:type="dxa"/>
        <w:tblBorders>
          <w:top w:val="single" w:sz="4" w:space="0" w:color="C9D6E8"/>
          <w:left w:val="single" w:sz="4" w:space="0" w:color="C9D6E8"/>
          <w:bottom w:val="single" w:sz="4" w:space="0" w:color="C9D6E8"/>
          <w:right w:val="single" w:sz="4" w:space="0" w:color="C9D6E8"/>
          <w:insideH w:val="single" w:sz="4" w:space="0" w:color="C9D6E8"/>
          <w:insideV w:val="single" w:sz="4" w:space="0" w:color="C9D6E8"/>
        </w:tblBorders>
        <w:tblCellMar>
          <w:left w:w="10" w:type="dxa"/>
          <w:right w:w="10" w:type="dxa"/>
        </w:tblCellMar>
        <w:tblLook w:val="04A0" w:firstRow="1" w:lastRow="0" w:firstColumn="1" w:lastColumn="0" w:noHBand="0" w:noVBand="1"/>
      </w:tblPr>
      <w:tblGrid>
        <w:gridCol w:w="6900"/>
        <w:gridCol w:w="2460"/>
      </w:tblGrid>
      <w:tr w:rsidR="00AB539F" w14:paraId="2054EBDC" w14:textId="77777777">
        <w:tblPrEx>
          <w:tblCellMar>
            <w:top w:w="0" w:type="dxa"/>
            <w:bottom w:w="0" w:type="dxa"/>
          </w:tblCellMar>
        </w:tblPrEx>
        <w:tc>
          <w:tcPr>
            <w:tcW w:w="6900" w:type="dxa"/>
            <w:shd w:val="clear" w:color="auto" w:fill="1D4289"/>
            <w:tcMar>
              <w:top w:w="65" w:type="dxa"/>
              <w:left w:w="130" w:type="dxa"/>
              <w:bottom w:w="65" w:type="dxa"/>
              <w:right w:w="130" w:type="dxa"/>
            </w:tcMar>
          </w:tcPr>
          <w:p w14:paraId="308DF7F8" w14:textId="77777777" w:rsidR="00AB539F" w:rsidRDefault="00000000">
            <w:r>
              <w:rPr>
                <w:rFonts w:ascii="Arial" w:eastAsia="Arial" w:hAnsi="Arial" w:cs="Arial"/>
                <w:b/>
                <w:bCs/>
                <w:color w:val="FFFFFF"/>
                <w:sz w:val="18"/>
                <w:szCs w:val="18"/>
              </w:rPr>
              <w:t>Item</w:t>
            </w:r>
          </w:p>
        </w:tc>
        <w:tc>
          <w:tcPr>
            <w:tcW w:w="2460" w:type="dxa"/>
            <w:shd w:val="clear" w:color="auto" w:fill="1D4289"/>
            <w:tcMar>
              <w:top w:w="65" w:type="dxa"/>
              <w:left w:w="130" w:type="dxa"/>
              <w:bottom w:w="65" w:type="dxa"/>
              <w:right w:w="130" w:type="dxa"/>
            </w:tcMar>
          </w:tcPr>
          <w:p w14:paraId="516EBCFC" w14:textId="77777777" w:rsidR="00AB539F" w:rsidRDefault="00000000">
            <w:pPr>
              <w:jc w:val="right"/>
            </w:pPr>
            <w:r>
              <w:rPr>
                <w:rFonts w:ascii="Arial" w:eastAsia="Arial" w:hAnsi="Arial" w:cs="Arial"/>
                <w:b/>
                <w:bCs/>
                <w:color w:val="FFFFFF"/>
                <w:sz w:val="18"/>
                <w:szCs w:val="18"/>
              </w:rPr>
              <w:t>Investment</w:t>
            </w:r>
          </w:p>
        </w:tc>
      </w:tr>
      <w:tr w:rsidR="00AB539F" w14:paraId="3B9A7960" w14:textId="77777777">
        <w:tblPrEx>
          <w:tblCellMar>
            <w:top w:w="0" w:type="dxa"/>
            <w:bottom w:w="0" w:type="dxa"/>
          </w:tblCellMar>
        </w:tblPrEx>
        <w:tc>
          <w:tcPr>
            <w:tcW w:w="6900" w:type="dxa"/>
            <w:tcMar>
              <w:top w:w="65" w:type="dxa"/>
              <w:left w:w="130" w:type="dxa"/>
              <w:bottom w:w="65" w:type="dxa"/>
              <w:right w:w="130" w:type="dxa"/>
            </w:tcMar>
          </w:tcPr>
          <w:p w14:paraId="74E9285E" w14:textId="77777777" w:rsidR="00AB539F" w:rsidRDefault="00000000">
            <w:r>
              <w:rPr>
                <w:rFonts w:ascii="Arial" w:eastAsia="Arial" w:hAnsi="Arial" w:cs="Arial"/>
                <w:color w:val="1D2733"/>
                <w:sz w:val="18"/>
                <w:szCs w:val="18"/>
              </w:rPr>
              <w:t>Platform Rights and Handover (one time)</w:t>
            </w:r>
          </w:p>
        </w:tc>
        <w:tc>
          <w:tcPr>
            <w:tcW w:w="2460" w:type="dxa"/>
            <w:tcMar>
              <w:top w:w="65" w:type="dxa"/>
              <w:left w:w="130" w:type="dxa"/>
              <w:bottom w:w="65" w:type="dxa"/>
              <w:right w:w="130" w:type="dxa"/>
            </w:tcMar>
          </w:tcPr>
          <w:p w14:paraId="2FBE88FF" w14:textId="77777777" w:rsidR="00AB539F" w:rsidRDefault="00000000">
            <w:pPr>
              <w:jc w:val="right"/>
            </w:pPr>
            <w:r>
              <w:rPr>
                <w:rFonts w:ascii="Arial" w:eastAsia="Arial" w:hAnsi="Arial" w:cs="Arial"/>
                <w:b/>
                <w:bCs/>
                <w:color w:val="0095C8"/>
                <w:sz w:val="18"/>
                <w:szCs w:val="18"/>
              </w:rPr>
              <w:t>US$11,400</w:t>
            </w:r>
          </w:p>
        </w:tc>
      </w:tr>
      <w:tr w:rsidR="00AB539F" w14:paraId="5A72A86A" w14:textId="77777777">
        <w:tblPrEx>
          <w:tblCellMar>
            <w:top w:w="0" w:type="dxa"/>
            <w:bottom w:w="0" w:type="dxa"/>
          </w:tblCellMar>
        </w:tblPrEx>
        <w:tc>
          <w:tcPr>
            <w:tcW w:w="6900" w:type="dxa"/>
            <w:tcMar>
              <w:top w:w="65" w:type="dxa"/>
              <w:left w:w="130" w:type="dxa"/>
              <w:bottom w:w="65" w:type="dxa"/>
              <w:right w:w="130" w:type="dxa"/>
            </w:tcMar>
          </w:tcPr>
          <w:p w14:paraId="302F3071" w14:textId="77777777" w:rsidR="00AB539F" w:rsidRDefault="00000000">
            <w:r>
              <w:rPr>
                <w:rFonts w:ascii="Arial" w:eastAsia="Arial" w:hAnsi="Arial" w:cs="Arial"/>
                <w:color w:val="1D2733"/>
                <w:sz w:val="18"/>
                <w:szCs w:val="18"/>
              </w:rPr>
              <w:t>Production Hardening</w:t>
            </w:r>
          </w:p>
        </w:tc>
        <w:tc>
          <w:tcPr>
            <w:tcW w:w="2460" w:type="dxa"/>
            <w:tcMar>
              <w:top w:w="65" w:type="dxa"/>
              <w:left w:w="130" w:type="dxa"/>
              <w:bottom w:w="65" w:type="dxa"/>
              <w:right w:w="130" w:type="dxa"/>
            </w:tcMar>
          </w:tcPr>
          <w:p w14:paraId="1D622D5A" w14:textId="77777777" w:rsidR="00AB539F" w:rsidRDefault="00000000">
            <w:pPr>
              <w:jc w:val="right"/>
            </w:pPr>
            <w:r>
              <w:rPr>
                <w:rFonts w:ascii="Arial" w:eastAsia="Arial" w:hAnsi="Arial" w:cs="Arial"/>
                <w:b/>
                <w:bCs/>
                <w:color w:val="0095C8"/>
                <w:sz w:val="18"/>
                <w:szCs w:val="18"/>
              </w:rPr>
              <w:t>US$1,300</w:t>
            </w:r>
          </w:p>
        </w:tc>
      </w:tr>
      <w:tr w:rsidR="00AB539F" w14:paraId="1426EE2A" w14:textId="77777777">
        <w:tblPrEx>
          <w:tblCellMar>
            <w:top w:w="0" w:type="dxa"/>
            <w:bottom w:w="0" w:type="dxa"/>
          </w:tblCellMar>
        </w:tblPrEx>
        <w:tc>
          <w:tcPr>
            <w:tcW w:w="6900" w:type="dxa"/>
            <w:tcMar>
              <w:top w:w="65" w:type="dxa"/>
              <w:left w:w="130" w:type="dxa"/>
              <w:bottom w:w="65" w:type="dxa"/>
              <w:right w:w="130" w:type="dxa"/>
            </w:tcMar>
          </w:tcPr>
          <w:p w14:paraId="7BB3D8B9" w14:textId="77777777" w:rsidR="00AB539F" w:rsidRDefault="00000000">
            <w:r>
              <w:rPr>
                <w:rFonts w:ascii="Arial" w:eastAsia="Arial" w:hAnsi="Arial" w:cs="Arial"/>
                <w:color w:val="1D2733"/>
                <w:sz w:val="18"/>
                <w:szCs w:val="18"/>
              </w:rPr>
              <w:t>Production Hardening Plus</w:t>
            </w:r>
          </w:p>
        </w:tc>
        <w:tc>
          <w:tcPr>
            <w:tcW w:w="2460" w:type="dxa"/>
            <w:tcMar>
              <w:top w:w="65" w:type="dxa"/>
              <w:left w:w="130" w:type="dxa"/>
              <w:bottom w:w="65" w:type="dxa"/>
              <w:right w:w="130" w:type="dxa"/>
            </w:tcMar>
          </w:tcPr>
          <w:p w14:paraId="3D8E38D4" w14:textId="77777777" w:rsidR="00AB539F" w:rsidRDefault="00000000">
            <w:pPr>
              <w:jc w:val="right"/>
            </w:pPr>
            <w:r>
              <w:rPr>
                <w:rFonts w:ascii="Arial" w:eastAsia="Arial" w:hAnsi="Arial" w:cs="Arial"/>
                <w:b/>
                <w:bCs/>
                <w:color w:val="0095C8"/>
                <w:sz w:val="18"/>
                <w:szCs w:val="18"/>
              </w:rPr>
              <w:t>US$2,200</w:t>
            </w:r>
          </w:p>
        </w:tc>
      </w:tr>
      <w:tr w:rsidR="00AB539F" w14:paraId="67B7CE5B" w14:textId="77777777">
        <w:tblPrEx>
          <w:tblCellMar>
            <w:top w:w="0" w:type="dxa"/>
            <w:bottom w:w="0" w:type="dxa"/>
          </w:tblCellMar>
        </w:tblPrEx>
        <w:tc>
          <w:tcPr>
            <w:tcW w:w="6900" w:type="dxa"/>
            <w:tcMar>
              <w:top w:w="65" w:type="dxa"/>
              <w:left w:w="130" w:type="dxa"/>
              <w:bottom w:w="65" w:type="dxa"/>
              <w:right w:w="130" w:type="dxa"/>
            </w:tcMar>
          </w:tcPr>
          <w:p w14:paraId="348B903C" w14:textId="77777777" w:rsidR="00AB539F" w:rsidRDefault="00000000">
            <w:r>
              <w:rPr>
                <w:rFonts w:ascii="Arial" w:eastAsia="Arial" w:hAnsi="Arial" w:cs="Arial"/>
                <w:color w:val="1D2733"/>
                <w:sz w:val="18"/>
                <w:szCs w:val="18"/>
              </w:rPr>
              <w:t>Configuration and Deployment Preparation (base fee)*</w:t>
            </w:r>
          </w:p>
        </w:tc>
        <w:tc>
          <w:tcPr>
            <w:tcW w:w="2460" w:type="dxa"/>
            <w:tcMar>
              <w:top w:w="65" w:type="dxa"/>
              <w:left w:w="130" w:type="dxa"/>
              <w:bottom w:w="65" w:type="dxa"/>
              <w:right w:w="130" w:type="dxa"/>
            </w:tcMar>
          </w:tcPr>
          <w:p w14:paraId="69291281" w14:textId="77777777" w:rsidR="00AB539F" w:rsidRDefault="00000000">
            <w:pPr>
              <w:jc w:val="right"/>
            </w:pPr>
            <w:r>
              <w:rPr>
                <w:rFonts w:ascii="Arial" w:eastAsia="Arial" w:hAnsi="Arial" w:cs="Arial"/>
                <w:b/>
                <w:bCs/>
                <w:color w:val="0095C8"/>
                <w:sz w:val="18"/>
                <w:szCs w:val="18"/>
              </w:rPr>
              <w:t>US$900</w:t>
            </w:r>
          </w:p>
        </w:tc>
      </w:tr>
      <w:tr w:rsidR="00AB539F" w14:paraId="4A9301B7" w14:textId="77777777">
        <w:tblPrEx>
          <w:tblCellMar>
            <w:top w:w="0" w:type="dxa"/>
            <w:bottom w:w="0" w:type="dxa"/>
          </w:tblCellMar>
        </w:tblPrEx>
        <w:tc>
          <w:tcPr>
            <w:tcW w:w="6900" w:type="dxa"/>
            <w:tcMar>
              <w:top w:w="65" w:type="dxa"/>
              <w:left w:w="130" w:type="dxa"/>
              <w:bottom w:w="65" w:type="dxa"/>
              <w:right w:w="130" w:type="dxa"/>
            </w:tcMar>
          </w:tcPr>
          <w:p w14:paraId="11745DB1" w14:textId="77777777" w:rsidR="00AB539F" w:rsidRDefault="00000000">
            <w:r>
              <w:rPr>
                <w:rFonts w:ascii="Arial" w:eastAsia="Arial" w:hAnsi="Arial" w:cs="Arial"/>
                <w:color w:val="1D2733"/>
                <w:sz w:val="18"/>
                <w:szCs w:val="18"/>
              </w:rPr>
              <w:t>Installation and Logistics (indicative)**</w:t>
            </w:r>
          </w:p>
        </w:tc>
        <w:tc>
          <w:tcPr>
            <w:tcW w:w="2460" w:type="dxa"/>
            <w:tcMar>
              <w:top w:w="65" w:type="dxa"/>
              <w:left w:w="130" w:type="dxa"/>
              <w:bottom w:w="65" w:type="dxa"/>
              <w:right w:w="130" w:type="dxa"/>
            </w:tcMar>
          </w:tcPr>
          <w:p w14:paraId="383B009B" w14:textId="77777777" w:rsidR="00AB539F" w:rsidRDefault="00000000">
            <w:pPr>
              <w:jc w:val="right"/>
            </w:pPr>
            <w:r>
              <w:rPr>
                <w:rFonts w:ascii="Arial" w:eastAsia="Arial" w:hAnsi="Arial" w:cs="Arial"/>
                <w:b/>
                <w:bCs/>
                <w:color w:val="0095C8"/>
                <w:sz w:val="18"/>
                <w:szCs w:val="18"/>
              </w:rPr>
              <w:t>US$320 to US$1,900</w:t>
            </w:r>
          </w:p>
        </w:tc>
      </w:tr>
    </w:tbl>
    <w:p w14:paraId="04B5A74B" w14:textId="77777777" w:rsidR="00AB539F" w:rsidRDefault="00000000">
      <w:pPr>
        <w:spacing w:after="46" w:line="222" w:lineRule="auto"/>
      </w:pPr>
      <w:r>
        <w:rPr>
          <w:rFonts w:ascii="Arial" w:eastAsia="Arial" w:hAnsi="Arial" w:cs="Arial"/>
          <w:i/>
          <w:iCs/>
          <w:color w:val="1D2733"/>
          <w:sz w:val="18"/>
          <w:szCs w:val="18"/>
        </w:rPr>
        <w:t>*Base fee. The final scope may vary depending on the deployment. See Scope and Investment for details.</w:t>
      </w:r>
    </w:p>
    <w:p w14:paraId="47DFAB9B" w14:textId="77777777" w:rsidR="00AB539F" w:rsidRDefault="00000000">
      <w:pPr>
        <w:spacing w:after="46" w:line="222" w:lineRule="auto"/>
      </w:pPr>
      <w:r>
        <w:rPr>
          <w:rFonts w:ascii="Arial" w:eastAsia="Arial" w:hAnsi="Arial" w:cs="Arial"/>
          <w:i/>
          <w:iCs/>
          <w:color w:val="1D2733"/>
          <w:sz w:val="18"/>
          <w:szCs w:val="18"/>
        </w:rPr>
        <w:t>**Indicative range by location, from Kingston to international. The final cost depends on the specific deployment.</w:t>
      </w:r>
    </w:p>
    <w:tbl>
      <w:tblPr>
        <w:tblW w:w="9360" w:type="dxa"/>
        <w:tblBorders>
          <w:top w:val="single" w:sz="8" w:space="0" w:color="C8962C"/>
          <w:left w:val="single" w:sz="8" w:space="0" w:color="C8962C"/>
          <w:bottom w:val="single" w:sz="8" w:space="0" w:color="C8962C"/>
          <w:right w:val="single" w:sz="8" w:space="0" w:color="C896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39F" w14:paraId="6E5F19E7" w14:textId="77777777">
        <w:tblPrEx>
          <w:tblCellMar>
            <w:top w:w="0" w:type="dxa"/>
            <w:bottom w:w="0" w:type="dxa"/>
          </w:tblCellMar>
        </w:tblPrEx>
        <w:tc>
          <w:tcPr>
            <w:tcW w:w="9360" w:type="dxa"/>
            <w:shd w:val="clear" w:color="auto" w:fill="FBF4E8"/>
            <w:tcMar>
              <w:top w:w="110" w:type="dxa"/>
              <w:left w:w="160" w:type="dxa"/>
              <w:bottom w:w="110" w:type="dxa"/>
              <w:right w:w="160" w:type="dxa"/>
            </w:tcMar>
          </w:tcPr>
          <w:p w14:paraId="6AC73E76" w14:textId="77777777" w:rsidR="00AB539F" w:rsidRDefault="00000000">
            <w:pPr>
              <w:spacing w:after="30"/>
            </w:pPr>
            <w:r>
              <w:rPr>
                <w:rFonts w:ascii="Arial" w:eastAsia="Arial" w:hAnsi="Arial" w:cs="Arial"/>
                <w:b/>
                <w:bCs/>
                <w:color w:val="C8962C"/>
                <w:sz w:val="16"/>
                <w:szCs w:val="16"/>
              </w:rPr>
              <w:t>RECOMMENDED INITIAL PACKAGE</w:t>
            </w:r>
          </w:p>
          <w:p w14:paraId="78B416F2" w14:textId="77777777" w:rsidR="00AB539F" w:rsidRDefault="00000000">
            <w:pPr>
              <w:spacing w:after="30"/>
            </w:pPr>
            <w:r>
              <w:rPr>
                <w:rFonts w:ascii="Arial" w:eastAsia="Arial" w:hAnsi="Arial" w:cs="Arial"/>
                <w:b/>
                <w:bCs/>
                <w:color w:val="1D4289"/>
                <w:sz w:val="21"/>
                <w:szCs w:val="21"/>
              </w:rPr>
              <w:t>Platform Rights and Handover + Production Hardening Plus: US$13,600</w:t>
            </w:r>
          </w:p>
          <w:p w14:paraId="2FE13947" w14:textId="77777777" w:rsidR="00AB539F" w:rsidRDefault="00000000">
            <w:r>
              <w:rPr>
                <w:rFonts w:ascii="Arial" w:eastAsia="Arial" w:hAnsi="Arial" w:cs="Arial"/>
                <w:i/>
                <w:iCs/>
                <w:color w:val="1D2733"/>
                <w:sz w:val="17"/>
                <w:szCs w:val="17"/>
              </w:rPr>
              <w:t>This option gets the platform ready for regular use, with the extra tools and training CG United's team needs to manage it confidently.</w:t>
            </w:r>
          </w:p>
        </w:tc>
      </w:tr>
    </w:tbl>
    <w:p w14:paraId="5171AD33" w14:textId="77777777" w:rsidR="00AB539F" w:rsidRDefault="00AB539F">
      <w:pPr>
        <w:spacing w:before="80"/>
      </w:pPr>
    </w:p>
    <w:p w14:paraId="110E6827" w14:textId="77777777" w:rsidR="00AB539F" w:rsidRDefault="00000000">
      <w:pPr>
        <w:pStyle w:val="Heading1"/>
        <w:pBdr>
          <w:bottom w:val="single" w:sz="4" w:space="3" w:color="0095C8"/>
        </w:pBdr>
        <w:spacing w:before="105" w:after="42"/>
      </w:pPr>
      <w:r>
        <w:rPr>
          <w:rFonts w:ascii="Arial" w:eastAsia="Arial" w:hAnsi="Arial" w:cs="Arial"/>
          <w:b/>
          <w:bCs/>
          <w:color w:val="1D4289"/>
          <w:sz w:val="24"/>
          <w:szCs w:val="24"/>
        </w:rPr>
        <w:t>What CG United Receives</w:t>
      </w:r>
    </w:p>
    <w:p w14:paraId="70BE65D9"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Permanent rights to use the platform across CG United's events, markets, and other projects, with no annual renewal fee</w:t>
      </w:r>
    </w:p>
    <w:p w14:paraId="53563330"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The production source code built for CG United, including the application, configuration files, and build scripts, along with CG United's branding, content, and deployment documentation</w:t>
      </w:r>
    </w:p>
    <w:p w14:paraId="2CF68DEF"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The right to commission future changes to the platform, with White Owl Solutions remaining CG United's preferred technical and implementation partner</w:t>
      </w:r>
    </w:p>
    <w:p w14:paraId="3770D3F6" w14:textId="77777777" w:rsidR="00AB539F" w:rsidRDefault="00000000">
      <w:pPr>
        <w:pStyle w:val="Heading1"/>
        <w:pBdr>
          <w:bottom w:val="single" w:sz="4" w:space="3" w:color="0095C8"/>
        </w:pBdr>
        <w:spacing w:before="105" w:after="42"/>
      </w:pPr>
      <w:r>
        <w:rPr>
          <w:rFonts w:ascii="Arial" w:eastAsia="Arial" w:hAnsi="Arial" w:cs="Arial"/>
          <w:b/>
          <w:bCs/>
          <w:color w:val="1D4289"/>
          <w:sz w:val="24"/>
          <w:szCs w:val="24"/>
        </w:rPr>
        <w:t>Scope and Investment</w:t>
      </w:r>
    </w:p>
    <w:p w14:paraId="7E806339" w14:textId="77777777" w:rsidR="00AB539F" w:rsidRDefault="00000000">
      <w:pPr>
        <w:spacing w:before="62" w:after="11"/>
      </w:pPr>
      <w:r>
        <w:rPr>
          <w:rFonts w:ascii="Arial" w:eastAsia="Arial" w:hAnsi="Arial" w:cs="Arial"/>
          <w:b/>
          <w:bCs/>
          <w:color w:val="0095C8"/>
          <w:sz w:val="21"/>
          <w:szCs w:val="21"/>
        </w:rPr>
        <w:t>Platform Rights and Handover: US$11,400</w:t>
      </w:r>
    </w:p>
    <w:p w14:paraId="1E6B8043" w14:textId="77777777" w:rsidR="00AB539F" w:rsidRDefault="00000000">
      <w:pPr>
        <w:spacing w:after="46" w:line="222" w:lineRule="auto"/>
      </w:pPr>
      <w:r>
        <w:rPr>
          <w:rFonts w:ascii="Arial" w:eastAsia="Arial" w:hAnsi="Arial" w:cs="Arial"/>
          <w:color w:val="1D2733"/>
          <w:sz w:val="18"/>
          <w:szCs w:val="18"/>
        </w:rPr>
        <w:t>This is a one time, fixed fee that gives CG United permanent rights to use the platform. It is paid according to the schedule under Payment Structure, not as a single upfront payment.</w:t>
      </w:r>
    </w:p>
    <w:p w14:paraId="1D245C3D" w14:textId="77777777" w:rsidR="00AB539F" w:rsidRDefault="00000000">
      <w:pPr>
        <w:spacing w:before="62" w:after="11"/>
      </w:pPr>
      <w:r>
        <w:rPr>
          <w:rFonts w:ascii="Arial" w:eastAsia="Arial" w:hAnsi="Arial" w:cs="Arial"/>
          <w:b/>
          <w:bCs/>
          <w:color w:val="0095C8"/>
          <w:sz w:val="21"/>
          <w:szCs w:val="21"/>
        </w:rPr>
        <w:t>Production Hardening: US$1,300</w:t>
      </w:r>
    </w:p>
    <w:p w14:paraId="16F35818"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Fixes for known reliability issues</w:t>
      </w:r>
    </w:p>
    <w:p w14:paraId="10875295"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More consistent leaderboard and session behavior</w:t>
      </w:r>
    </w:p>
    <w:p w14:paraId="3277EB02"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Better display fit across devices</w:t>
      </w:r>
    </w:p>
    <w:p w14:paraId="3D7F6D24"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Browser compatibility testing</w:t>
      </w:r>
    </w:p>
    <w:p w14:paraId="5C8AC782"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Simple startup and shutdown instructions</w:t>
      </w:r>
    </w:p>
    <w:p w14:paraId="5314A05D"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Basic documentation for the team</w:t>
      </w:r>
    </w:p>
    <w:p w14:paraId="5958FD54" w14:textId="77777777" w:rsidR="00AB539F" w:rsidRDefault="00000000">
      <w:pPr>
        <w:spacing w:before="62" w:after="11"/>
      </w:pPr>
      <w:r>
        <w:rPr>
          <w:rFonts w:ascii="Arial" w:eastAsia="Arial" w:hAnsi="Arial" w:cs="Arial"/>
          <w:b/>
          <w:bCs/>
          <w:color w:val="0095C8"/>
          <w:sz w:val="21"/>
          <w:szCs w:val="21"/>
        </w:rPr>
        <w:t>Production Hardening Plus: US$2,200</w:t>
      </w:r>
    </w:p>
    <w:p w14:paraId="45FB6EC9" w14:textId="77777777" w:rsidR="00AB539F" w:rsidRDefault="00000000">
      <w:pPr>
        <w:spacing w:after="46" w:line="222" w:lineRule="auto"/>
      </w:pPr>
      <w:r>
        <w:rPr>
          <w:rFonts w:ascii="Arial" w:eastAsia="Arial" w:hAnsi="Arial" w:cs="Arial"/>
          <w:color w:val="1D2733"/>
          <w:sz w:val="18"/>
          <w:szCs w:val="18"/>
        </w:rPr>
        <w:t>Includes everything above, plus:</w:t>
      </w:r>
    </w:p>
    <w:p w14:paraId="59D5E4BE"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Wider testing across devices</w:t>
      </w:r>
    </w:p>
    <w:p w14:paraId="7DB5310D"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A simple admin screen so CG United's team can view session data, export leaderboard results, and restart activations without help from White Owl Solutions</w:t>
      </w:r>
    </w:p>
    <w:p w14:paraId="2B27AC5F"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lastRenderedPageBreak/>
        <w:t>Lead and score export</w:t>
      </w:r>
    </w:p>
    <w:p w14:paraId="2C0C7AAD"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A way to recover a session if something goes wrong</w:t>
      </w:r>
    </w:p>
    <w:p w14:paraId="75CB013B"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A training walkthrough for staff</w:t>
      </w:r>
    </w:p>
    <w:p w14:paraId="07FB3218"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Support right after handover while the team gets comfortable using it</w:t>
      </w:r>
    </w:p>
    <w:p w14:paraId="4ABD675C" w14:textId="77777777" w:rsidR="00AB539F" w:rsidRDefault="00000000">
      <w:pPr>
        <w:spacing w:before="62" w:after="11"/>
      </w:pPr>
      <w:r>
        <w:rPr>
          <w:rFonts w:ascii="Arial" w:eastAsia="Arial" w:hAnsi="Arial" w:cs="Arial"/>
          <w:b/>
          <w:bCs/>
          <w:color w:val="0095C8"/>
          <w:sz w:val="21"/>
          <w:szCs w:val="21"/>
        </w:rPr>
        <w:t>Configuration and Deployment Preparation: US$900 base fee</w:t>
      </w:r>
    </w:p>
    <w:p w14:paraId="5F330771" w14:textId="77777777" w:rsidR="00AB539F" w:rsidRDefault="00000000">
      <w:pPr>
        <w:spacing w:after="46" w:line="222" w:lineRule="auto"/>
      </w:pPr>
      <w:r>
        <w:rPr>
          <w:rFonts w:ascii="Arial" w:eastAsia="Arial" w:hAnsi="Arial" w:cs="Arial"/>
          <w:color w:val="1D2733"/>
          <w:sz w:val="18"/>
          <w:szCs w:val="18"/>
        </w:rPr>
        <w:t>This covers the routine changes needed to prepare the platform for a new use, whether that is another event, staff training, a campaign, or a different kind of activity. Work can include updating copy and content, adjusting approved branding, changing screens or settings, and updating questions, scoring, or other configurable details.</w:t>
      </w:r>
    </w:p>
    <w:p w14:paraId="43B15DC8" w14:textId="77777777" w:rsidR="00AB539F" w:rsidRDefault="00000000">
      <w:pPr>
        <w:spacing w:after="46" w:line="222" w:lineRule="auto"/>
      </w:pPr>
      <w:r>
        <w:rPr>
          <w:rFonts w:ascii="Arial" w:eastAsia="Arial" w:hAnsi="Arial" w:cs="Arial"/>
          <w:color w:val="1D2733"/>
          <w:sz w:val="18"/>
          <w:szCs w:val="18"/>
        </w:rPr>
        <w:t>It also includes testing on one agreed device, one QA session, up to two rounds of revisions, and remote support for up to 8 hours during the agreed deployment window, during standard business hours. Where relevant, White Owl Solutions can export the resulting user or activity data once the deployment is complete.</w:t>
      </w:r>
    </w:p>
    <w:p w14:paraId="0667926F" w14:textId="77777777" w:rsidR="00AB539F" w:rsidRDefault="00000000">
      <w:pPr>
        <w:spacing w:after="46" w:line="222" w:lineRule="auto"/>
      </w:pPr>
      <w:r>
        <w:rPr>
          <w:rFonts w:ascii="Arial" w:eastAsia="Arial" w:hAnsi="Arial" w:cs="Arial"/>
          <w:color w:val="1D2733"/>
          <w:sz w:val="18"/>
          <w:szCs w:val="18"/>
        </w:rPr>
        <w:t>The base fee covers routine changes within the existing platform. Larger changes, new functionality, integrations, or work that needs substantial development will be scoped and quoted separately before work begins.</w:t>
      </w:r>
    </w:p>
    <w:p w14:paraId="4E695875" w14:textId="77777777" w:rsidR="00AB539F" w:rsidRDefault="00000000">
      <w:pPr>
        <w:spacing w:before="62" w:after="11"/>
      </w:pPr>
      <w:r>
        <w:rPr>
          <w:rFonts w:ascii="Arial" w:eastAsia="Arial" w:hAnsi="Arial" w:cs="Arial"/>
          <w:b/>
          <w:bCs/>
          <w:color w:val="0095C8"/>
          <w:sz w:val="21"/>
          <w:szCs w:val="21"/>
        </w:rPr>
        <w:t>Installation and Logistics: indicative estimates, quoted per deployment</w:t>
      </w:r>
    </w:p>
    <w:p w14:paraId="3A7359D2"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Kingston and nearby: US$320 to US$570</w:t>
      </w:r>
    </w:p>
    <w:p w14:paraId="7649948B"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Other Jamaican parishes: US$500 to US$950</w:t>
      </w:r>
    </w:p>
    <w:p w14:paraId="7FD48EBB"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Caribbean and international technical labor: US$950 to US$1,900, not including travel and other costs</w:t>
      </w:r>
    </w:p>
    <w:p w14:paraId="18748E0D" w14:textId="77777777" w:rsidR="00AB539F" w:rsidRDefault="00000000">
      <w:pPr>
        <w:spacing w:after="46" w:line="222" w:lineRule="auto"/>
      </w:pPr>
      <w:r>
        <w:rPr>
          <w:rFonts w:ascii="Arial" w:eastAsia="Arial" w:hAnsi="Arial" w:cs="Arial"/>
          <w:color w:val="1D2733"/>
          <w:sz w:val="18"/>
          <w:szCs w:val="18"/>
        </w:rPr>
        <w:t>This covers setup on site, staff orientation, and testing. For international deployments, White Owl Solutions either travels directly, with expenses covered by CG United, or arranges a vetted local technician who is subcontracted through White Owl Solutions.</w:t>
      </w:r>
    </w:p>
    <w:p w14:paraId="4A7A54C6" w14:textId="77777777" w:rsidR="00AB539F" w:rsidRDefault="00000000">
      <w:pPr>
        <w:pStyle w:val="Heading1"/>
        <w:pBdr>
          <w:bottom w:val="single" w:sz="4" w:space="3" w:color="0095C8"/>
        </w:pBdr>
        <w:spacing w:before="105" w:after="42"/>
      </w:pPr>
      <w:r>
        <w:rPr>
          <w:rFonts w:ascii="Arial" w:eastAsia="Arial" w:hAnsi="Arial" w:cs="Arial"/>
          <w:b/>
          <w:bCs/>
          <w:color w:val="1D4289"/>
          <w:sz w:val="24"/>
          <w:szCs w:val="24"/>
        </w:rPr>
        <w:t>Data and User Records</w:t>
      </w:r>
    </w:p>
    <w:p w14:paraId="521317C8" w14:textId="77777777" w:rsidR="00AB539F" w:rsidRDefault="00000000">
      <w:pPr>
        <w:spacing w:after="46" w:line="222" w:lineRule="auto"/>
      </w:pPr>
      <w:r>
        <w:rPr>
          <w:rFonts w:ascii="Arial" w:eastAsia="Arial" w:hAnsi="Arial" w:cs="Arial"/>
          <w:color w:val="1D2733"/>
          <w:sz w:val="18"/>
          <w:szCs w:val="18"/>
        </w:rPr>
        <w:t>CG United owns the user and activity data generated through the platform. Returning users are identified by their email address, so repeat visits do not create duplicate records. Each individual session keeps its own result, whether that is a game score or another kind of outcome.</w:t>
      </w:r>
    </w:p>
    <w:p w14:paraId="4184240E" w14:textId="77777777" w:rsidR="00AB539F" w:rsidRDefault="00000000">
      <w:pPr>
        <w:spacing w:after="46" w:line="222" w:lineRule="auto"/>
      </w:pPr>
      <w:r>
        <w:rPr>
          <w:rFonts w:ascii="Arial" w:eastAsia="Arial" w:hAnsi="Arial" w:cs="Arial"/>
          <w:color w:val="1D2733"/>
          <w:sz w:val="18"/>
          <w:szCs w:val="18"/>
        </w:rPr>
        <w:t>White Owl Solutions can provide data exports in an agreed format after each deployment. CG United approves all consent and privacy language shown to users.</w:t>
      </w:r>
    </w:p>
    <w:p w14:paraId="0568031C" w14:textId="77777777" w:rsidR="00AB539F" w:rsidRDefault="00000000">
      <w:pPr>
        <w:pStyle w:val="Heading1"/>
        <w:pBdr>
          <w:bottom w:val="single" w:sz="4" w:space="3" w:color="0095C8"/>
        </w:pBdr>
        <w:spacing w:before="105" w:after="42"/>
      </w:pPr>
      <w:r>
        <w:rPr>
          <w:rFonts w:ascii="Arial" w:eastAsia="Arial" w:hAnsi="Arial" w:cs="Arial"/>
          <w:b/>
          <w:bCs/>
          <w:color w:val="1D4289"/>
          <w:sz w:val="24"/>
          <w:szCs w:val="24"/>
        </w:rPr>
        <w:t>Key Terms</w:t>
      </w:r>
    </w:p>
    <w:p w14:paraId="024BEA5F"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CG United has 10 business days after delivery to complete acceptance testing.</w:t>
      </w:r>
    </w:p>
    <w:p w14:paraId="356ADD88"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The 30 day warranty period begins once CG United accepts the platform, or automatically if no defects are reported within that window. It covers defect correction at no extra charge. New features or changes to what was agreed are quoted separately.</w:t>
      </w:r>
    </w:p>
    <w:p w14:paraId="5FC18BE4"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All fees are quoted in US dollars. Hardware, travel, venue charges, third party services, taxes, and other pass-through costs are not included unless specifically listed in an approved quotation.</w:t>
      </w:r>
    </w:p>
    <w:p w14:paraId="1F20805F" w14:textId="77777777" w:rsidR="00AB539F" w:rsidRDefault="00000000">
      <w:pPr>
        <w:spacing w:before="62" w:after="11"/>
      </w:pPr>
      <w:r>
        <w:rPr>
          <w:rFonts w:ascii="Arial" w:eastAsia="Arial" w:hAnsi="Arial" w:cs="Arial"/>
          <w:b/>
          <w:bCs/>
          <w:color w:val="0095C8"/>
          <w:sz w:val="21"/>
          <w:szCs w:val="21"/>
        </w:rPr>
        <w:t>Payment Structure</w:t>
      </w:r>
    </w:p>
    <w:p w14:paraId="3CE98E7C"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Platform Rights and Handover: 50% on approval, 50% following delivery and acceptance</w:t>
      </w:r>
    </w:p>
    <w:p w14:paraId="670BF9F2"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Production Hardening: 50% before work begins, 50% on delivery</w:t>
      </w:r>
    </w:p>
    <w:p w14:paraId="51809D04"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Configuration and Deployment Preparation: paid in full before work begins</w:t>
      </w:r>
    </w:p>
    <w:p w14:paraId="4E149611" w14:textId="77777777" w:rsidR="00AB539F" w:rsidRDefault="00000000">
      <w:pPr>
        <w:pStyle w:val="ListParagraph"/>
        <w:numPr>
          <w:ilvl w:val="0"/>
          <w:numId w:val="1"/>
        </w:numPr>
        <w:spacing w:after="11" w:line="208" w:lineRule="auto"/>
      </w:pPr>
      <w:r>
        <w:rPr>
          <w:rFonts w:ascii="Arial" w:eastAsia="Arial" w:hAnsi="Arial" w:cs="Arial"/>
          <w:color w:val="1D2733"/>
          <w:sz w:val="18"/>
          <w:szCs w:val="18"/>
        </w:rPr>
        <w:t>Installation and Travel: a deposit and any approved costs are paid before the deployment, with final reconciliation afterward where necessary</w:t>
      </w:r>
    </w:p>
    <w:p w14:paraId="06CDEE6F" w14:textId="77777777" w:rsidR="00AB539F" w:rsidRDefault="00000000">
      <w:pPr>
        <w:pStyle w:val="Heading1"/>
        <w:pBdr>
          <w:bottom w:val="single" w:sz="4" w:space="3" w:color="0095C8"/>
        </w:pBdr>
        <w:spacing w:before="105" w:after="42"/>
      </w:pPr>
      <w:r>
        <w:rPr>
          <w:rFonts w:ascii="Arial" w:eastAsia="Arial" w:hAnsi="Arial" w:cs="Arial"/>
          <w:b/>
          <w:bCs/>
          <w:color w:val="1D4289"/>
          <w:sz w:val="24"/>
          <w:szCs w:val="24"/>
        </w:rPr>
        <w:t>Next Steps</w:t>
      </w:r>
    </w:p>
    <w:p w14:paraId="2540CD27" w14:textId="77777777" w:rsidR="00AB539F" w:rsidRDefault="00000000">
      <w:pPr>
        <w:pStyle w:val="ListParagraph"/>
        <w:numPr>
          <w:ilvl w:val="0"/>
          <w:numId w:val="2"/>
        </w:numPr>
        <w:spacing w:after="11" w:line="208" w:lineRule="auto"/>
      </w:pPr>
      <w:r>
        <w:rPr>
          <w:rFonts w:ascii="Arial" w:eastAsia="Arial" w:hAnsi="Arial" w:cs="Arial"/>
          <w:color w:val="1D2733"/>
          <w:sz w:val="18"/>
          <w:szCs w:val="18"/>
        </w:rPr>
        <w:t>Confirm the preferred Production Hardening option</w:t>
      </w:r>
    </w:p>
    <w:p w14:paraId="420B06D1" w14:textId="77777777" w:rsidR="00AB539F" w:rsidRDefault="00000000">
      <w:pPr>
        <w:pStyle w:val="ListParagraph"/>
        <w:numPr>
          <w:ilvl w:val="0"/>
          <w:numId w:val="2"/>
        </w:numPr>
        <w:spacing w:after="11" w:line="208" w:lineRule="auto"/>
      </w:pPr>
      <w:r>
        <w:rPr>
          <w:rFonts w:ascii="Arial" w:eastAsia="Arial" w:hAnsi="Arial" w:cs="Arial"/>
          <w:color w:val="1D2733"/>
          <w:sz w:val="18"/>
          <w:szCs w:val="18"/>
        </w:rPr>
        <w:t>Approve the commercial proposal</w:t>
      </w:r>
    </w:p>
    <w:p w14:paraId="3C115BDD" w14:textId="77777777" w:rsidR="00AB539F" w:rsidRDefault="00000000">
      <w:pPr>
        <w:pStyle w:val="ListParagraph"/>
        <w:numPr>
          <w:ilvl w:val="0"/>
          <w:numId w:val="2"/>
        </w:numPr>
        <w:spacing w:after="11" w:line="208" w:lineRule="auto"/>
      </w:pPr>
      <w:r>
        <w:rPr>
          <w:rFonts w:ascii="Arial" w:eastAsia="Arial" w:hAnsi="Arial" w:cs="Arial"/>
          <w:color w:val="1D2733"/>
          <w:sz w:val="18"/>
          <w:szCs w:val="18"/>
        </w:rPr>
        <w:t>White Owl Solutions prepares the final agreement and implementation schedule</w:t>
      </w:r>
    </w:p>
    <w:p w14:paraId="00FE0242" w14:textId="77777777" w:rsidR="00AB539F" w:rsidRDefault="00000000">
      <w:pPr>
        <w:spacing w:after="46" w:line="222" w:lineRule="auto"/>
      </w:pPr>
      <w:r>
        <w:rPr>
          <w:rFonts w:ascii="Arial" w:eastAsia="Arial" w:hAnsi="Arial" w:cs="Arial"/>
          <w:color w:val="1D2733"/>
          <w:sz w:val="18"/>
          <w:szCs w:val="18"/>
        </w:rPr>
        <w:t>Once the proposal is approved, White Owl Solutions will prepare the final agreement and confirm the implementation schedule.</w:t>
      </w:r>
    </w:p>
    <w:sectPr w:rsidR="00AB539F">
      <w:footerReference w:type="default" r:id="rId8"/>
      <w:pgSz w:w="12240" w:h="15840"/>
      <w:pgMar w:top="420" w:right="900" w:bottom="4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BCCA6" w14:textId="77777777" w:rsidR="003765EA" w:rsidRDefault="003765EA">
      <w:r>
        <w:separator/>
      </w:r>
    </w:p>
  </w:endnote>
  <w:endnote w:type="continuationSeparator" w:id="0">
    <w:p w14:paraId="314E530A" w14:textId="77777777" w:rsidR="003765EA" w:rsidRDefault="00376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ECA3" w14:textId="77777777" w:rsidR="00AB539F" w:rsidRDefault="00000000">
    <w:pPr>
      <w:pBdr>
        <w:top w:val="single" w:sz="3" w:space="4" w:color="C9D6E8"/>
      </w:pBdr>
      <w:jc w:val="center"/>
    </w:pPr>
    <w:r>
      <w:rPr>
        <w:noProof/>
      </w:rPr>
      <w:drawing>
        <wp:inline distT="0" distB="0" distL="0" distR="0" wp14:anchorId="528C4686" wp14:editId="6A7A66A2">
          <wp:extent cx="247650" cy="247650"/>
          <wp:effectExtent l="0" t="0" r="0" b="0"/>
          <wp:docPr id="486797277" name="Picture 48679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47650"/>
                  </a:xfrm>
                  <a:prstGeom prst="rect">
                    <a:avLst/>
                  </a:prstGeom>
                </pic:spPr>
              </pic:pic>
            </a:graphicData>
          </a:graphic>
        </wp:inline>
      </w:drawing>
    </w:r>
    <w:r>
      <w:rPr>
        <w:rFonts w:ascii="Arial" w:eastAsia="Arial" w:hAnsi="Arial" w:cs="Arial"/>
        <w:color w:val="8A96A8"/>
        <w:sz w:val="14"/>
        <w:szCs w:val="14"/>
      </w:rPr>
      <w:t xml:space="preserve">   White Owl Solutions   |   Build Your Future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6E4B" w14:textId="77777777" w:rsidR="003765EA" w:rsidRDefault="003765EA">
      <w:r>
        <w:separator/>
      </w:r>
    </w:p>
  </w:footnote>
  <w:footnote w:type="continuationSeparator" w:id="0">
    <w:p w14:paraId="6D4F27CB" w14:textId="77777777" w:rsidR="003765EA" w:rsidRDefault="003765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A4947"/>
    <w:multiLevelType w:val="hybridMultilevel"/>
    <w:tmpl w:val="C4F0C8BC"/>
    <w:lvl w:ilvl="0" w:tplc="85B6281E">
      <w:start w:val="1"/>
      <w:numFmt w:val="decimal"/>
      <w:lvlText w:val="%1."/>
      <w:lvlJc w:val="left"/>
      <w:pPr>
        <w:ind w:left="340" w:hanging="240"/>
      </w:pPr>
    </w:lvl>
    <w:lvl w:ilvl="1" w:tplc="568A754C">
      <w:numFmt w:val="decimal"/>
      <w:lvlText w:val=""/>
      <w:lvlJc w:val="left"/>
    </w:lvl>
    <w:lvl w:ilvl="2" w:tplc="6E60C490">
      <w:numFmt w:val="decimal"/>
      <w:lvlText w:val=""/>
      <w:lvlJc w:val="left"/>
    </w:lvl>
    <w:lvl w:ilvl="3" w:tplc="52B08F3A">
      <w:numFmt w:val="decimal"/>
      <w:lvlText w:val=""/>
      <w:lvlJc w:val="left"/>
    </w:lvl>
    <w:lvl w:ilvl="4" w:tplc="42E0E780">
      <w:numFmt w:val="decimal"/>
      <w:lvlText w:val=""/>
      <w:lvlJc w:val="left"/>
    </w:lvl>
    <w:lvl w:ilvl="5" w:tplc="DD00CCCA">
      <w:numFmt w:val="decimal"/>
      <w:lvlText w:val=""/>
      <w:lvlJc w:val="left"/>
    </w:lvl>
    <w:lvl w:ilvl="6" w:tplc="1A048502">
      <w:numFmt w:val="decimal"/>
      <w:lvlText w:val=""/>
      <w:lvlJc w:val="left"/>
    </w:lvl>
    <w:lvl w:ilvl="7" w:tplc="2D4071BC">
      <w:numFmt w:val="decimal"/>
      <w:lvlText w:val=""/>
      <w:lvlJc w:val="left"/>
    </w:lvl>
    <w:lvl w:ilvl="8" w:tplc="B6544B8A">
      <w:numFmt w:val="decimal"/>
      <w:lvlText w:val=""/>
      <w:lvlJc w:val="left"/>
    </w:lvl>
  </w:abstractNum>
  <w:abstractNum w:abstractNumId="1" w15:restartNumberingAfterBreak="0">
    <w:nsid w:val="6CAD7537"/>
    <w:multiLevelType w:val="hybridMultilevel"/>
    <w:tmpl w:val="2DC41B56"/>
    <w:lvl w:ilvl="0" w:tplc="F53A6982">
      <w:start w:val="1"/>
      <w:numFmt w:val="bullet"/>
      <w:lvlText w:val="●"/>
      <w:lvlJc w:val="left"/>
      <w:pPr>
        <w:ind w:left="720" w:hanging="360"/>
      </w:pPr>
    </w:lvl>
    <w:lvl w:ilvl="1" w:tplc="2F7AB82C">
      <w:start w:val="1"/>
      <w:numFmt w:val="bullet"/>
      <w:lvlText w:val="○"/>
      <w:lvlJc w:val="left"/>
      <w:pPr>
        <w:ind w:left="1440" w:hanging="360"/>
      </w:pPr>
    </w:lvl>
    <w:lvl w:ilvl="2" w:tplc="255225BC">
      <w:start w:val="1"/>
      <w:numFmt w:val="bullet"/>
      <w:lvlText w:val="■"/>
      <w:lvlJc w:val="left"/>
      <w:pPr>
        <w:ind w:left="2160" w:hanging="360"/>
      </w:pPr>
    </w:lvl>
    <w:lvl w:ilvl="3" w:tplc="15B625F2">
      <w:start w:val="1"/>
      <w:numFmt w:val="bullet"/>
      <w:lvlText w:val="●"/>
      <w:lvlJc w:val="left"/>
      <w:pPr>
        <w:ind w:left="2880" w:hanging="360"/>
      </w:pPr>
    </w:lvl>
    <w:lvl w:ilvl="4" w:tplc="3176D5BE">
      <w:start w:val="1"/>
      <w:numFmt w:val="bullet"/>
      <w:lvlText w:val="○"/>
      <w:lvlJc w:val="left"/>
      <w:pPr>
        <w:ind w:left="3600" w:hanging="360"/>
      </w:pPr>
    </w:lvl>
    <w:lvl w:ilvl="5" w:tplc="5D7A7A74">
      <w:start w:val="1"/>
      <w:numFmt w:val="bullet"/>
      <w:lvlText w:val="■"/>
      <w:lvlJc w:val="left"/>
      <w:pPr>
        <w:ind w:left="4320" w:hanging="360"/>
      </w:pPr>
    </w:lvl>
    <w:lvl w:ilvl="6" w:tplc="1AFE0A0E">
      <w:start w:val="1"/>
      <w:numFmt w:val="bullet"/>
      <w:lvlText w:val="●"/>
      <w:lvlJc w:val="left"/>
      <w:pPr>
        <w:ind w:left="5040" w:hanging="360"/>
      </w:pPr>
    </w:lvl>
    <w:lvl w:ilvl="7" w:tplc="394478A8">
      <w:start w:val="1"/>
      <w:numFmt w:val="bullet"/>
      <w:lvlText w:val="●"/>
      <w:lvlJc w:val="left"/>
      <w:pPr>
        <w:ind w:left="5760" w:hanging="360"/>
      </w:pPr>
    </w:lvl>
    <w:lvl w:ilvl="8" w:tplc="2A6A7510">
      <w:start w:val="1"/>
      <w:numFmt w:val="bullet"/>
      <w:lvlText w:val="●"/>
      <w:lvlJc w:val="left"/>
      <w:pPr>
        <w:ind w:left="6480" w:hanging="360"/>
      </w:pPr>
    </w:lvl>
  </w:abstractNum>
  <w:num w:numId="1" w16cid:durableId="1854956215">
    <w:abstractNumId w:val="1"/>
    <w:lvlOverride w:ilvl="0">
      <w:startOverride w:val="1"/>
    </w:lvlOverride>
  </w:num>
  <w:num w:numId="2" w16cid:durableId="404885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39F"/>
    <w:rsid w:val="00034D89"/>
    <w:rsid w:val="003765EA"/>
    <w:rsid w:val="00AB539F"/>
    <w:rsid w:val="00F7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2398B"/>
  <w15:docId w15:val="{778CD03C-990C-473A-8028-B26C6CAA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Doonquah</cp:lastModifiedBy>
  <cp:revision>2</cp:revision>
  <dcterms:created xsi:type="dcterms:W3CDTF">2026-08-07T00:09:00Z</dcterms:created>
  <dcterms:modified xsi:type="dcterms:W3CDTF">2026-08-07T00:47:00Z</dcterms:modified>
</cp:coreProperties>
</file>