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Override PartName="/word/media/rId32.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comprehensive</w:t>
      </w:r>
      <w:r>
        <w:t xml:space="preserve"> </w:t>
      </w:r>
      <w:r>
        <w:t xml:space="preserve">analysis</w:t>
      </w:r>
      <w:r>
        <w:t xml:space="preserve"> </w:t>
      </w:r>
      <w:r>
        <w:t xml:space="preserve">of</w:t>
      </w:r>
      <w:r>
        <w:t xml:space="preserve"> </w:t>
      </w:r>
      <w:r>
        <w:t xml:space="preserve">natural</w:t>
      </w:r>
      <w:r>
        <w:t xml:space="preserve"> </w:t>
      </w:r>
      <w:r>
        <w:t xml:space="preserve">sequence</w:t>
      </w:r>
      <w:r>
        <w:t xml:space="preserve"> </w:t>
      </w:r>
      <w:r>
        <w:t xml:space="preserve">variation</w:t>
      </w:r>
      <w:r>
        <w:t xml:space="preserve"> </w:t>
      </w:r>
      <w:r>
        <w:t xml:space="preserve">within</w:t>
      </w:r>
      <w:r>
        <w:t xml:space="preserve"> </w:t>
      </w:r>
      <w:r>
        <w:t xml:space="preserve">the</w:t>
      </w:r>
      <w:r>
        <w:t xml:space="preserve"> </w:t>
      </w:r>
      <w:r>
        <w:t xml:space="preserve">Arabidopsis</w:t>
      </w:r>
      <w:r>
        <w:t xml:space="preserve"> </w:t>
      </w:r>
      <w:r>
        <w:t xml:space="preserve">thaliana</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using</w:t>
      </w:r>
      <w:r>
        <w:t xml:space="preserve"> </w:t>
      </w:r>
      <w:r>
        <w:t xml:space="preserve">an</w:t>
      </w:r>
      <w:r>
        <w:t xml:space="preserve"> </w:t>
      </w:r>
      <w:r>
        <w:t xml:space="preserve">accessible</w:t>
      </w:r>
      <w:r>
        <w:t xml:space="preserve"> </w:t>
      </w:r>
      <w:r>
        <w:t xml:space="preserve">web</w:t>
      </w:r>
      <w:r>
        <w:t xml:space="preserve"> </w:t>
      </w:r>
      <w:r>
        <w:t xml:space="preserve">application</w:t>
      </w:r>
    </w:p>
    <w:p>
      <w:pPr>
        <w:pStyle w:val="Date"/>
      </w:pPr>
      <w:r>
        <w:t xml:space="preserve">2018-07-02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 </w:t>
      </w:r>
      <w:r>
        <w:rPr>
          <w:rStyle w:val="DataTypeTok"/>
        </w:rPr>
        <w:t xml:space="preserve">tidy =</w:t>
      </w:r>
      <w:r>
        <w:rPr>
          <w:rStyle w:val="NormalTok"/>
        </w:rPr>
        <w:t xml:space="preserve"> </w:t>
      </w:r>
      <w:r>
        <w:rPr>
          <w:rStyle w:val="OtherTok"/>
        </w:rPr>
        <w:t xml:space="preserve">TRUE</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 </w:t>
      </w:r>
      <w:r>
        <w:rPr>
          <w:rStyle w:val="DataTypeTok"/>
        </w:rPr>
        <w:t xml:space="preserve">cache.lazy =</w:t>
      </w:r>
      <w:r>
        <w:rPr>
          <w:rStyle w:val="NormalTok"/>
        </w:rPr>
        <w:t xml:space="preserve"> </w:t>
      </w:r>
      <w:r>
        <w:rPr>
          <w:rStyle w:val="OtherTok"/>
        </w:rPr>
        <w:t xml:space="preserve">FALSE</w:t>
      </w:r>
      <w:r>
        <w:rPr>
          <w:rStyle w:val="NormalTok"/>
        </w:rPr>
        <w:t xml:space="preserve">, </w:t>
      </w:r>
      <w:r>
        <w:rPr>
          <w:rStyle w:val="DataTypeTok"/>
        </w:rPr>
        <w:t xml:space="preserve">out.width =</w:t>
      </w:r>
      <w:r>
        <w:rPr>
          <w:rStyle w:val="NormalTok"/>
        </w:rPr>
        <w:t xml:space="preserve"> </w:t>
      </w:r>
      <w:r>
        <w:rPr>
          <w:rStyle w:val="StringTok"/>
        </w:rPr>
        <w:t xml:space="preserve">"90%"</w:t>
      </w:r>
      <w:r>
        <w:rPr>
          <w:rStyle w:val="NormalTok"/>
        </w:rPr>
        <w:t xml:space="preserve">, </w:t>
      </w:r>
      <w:r>
        <w:rPr>
          <w:rStyle w:val="DataTypeTok"/>
        </w:rPr>
        <w:t xml:space="preserve">fig.height=</w:t>
      </w:r>
      <w:r>
        <w:rPr>
          <w:rStyle w:val="DecValTok"/>
        </w:rPr>
        <w:t xml:space="preserve">4</w:t>
      </w:r>
      <w:r>
        <w:rPr>
          <w:rStyle w:val="NormalTok"/>
        </w:rPr>
        <w:t xml:space="preserve">, </w:t>
      </w:r>
      <w:r>
        <w:rPr>
          <w:rStyle w:val="DataTypeTok"/>
        </w:rPr>
        <w:t xml:space="preserve">fig.width=</w:t>
      </w:r>
      <w:r>
        <w:rPr>
          <w:rStyle w:val="DecValTok"/>
        </w:rPr>
        <w:t xml:space="preserve">7</w:t>
      </w:r>
      <w:r>
        <w:rPr>
          <w:rStyle w:val="NormalTok"/>
        </w:rPr>
        <w:t xml:space="preserve">, </w:t>
      </w:r>
      <w:r>
        <w:rPr>
          <w:rStyle w:val="DataTypeTok"/>
        </w:rPr>
        <w:t xml:space="preserve">out.extra=</w:t>
      </w:r>
      <w:r>
        <w:rPr>
          <w:rStyle w:val="StringTok"/>
        </w:rPr>
        <w:t xml:space="preserve">'style="margin: auto; display: block; padding-top: 15px;"'</w:t>
      </w:r>
      <w:r>
        <w:rPr>
          <w:rStyle w:val="NormalTok"/>
        </w:rPr>
        <w:t xml:space="preserve">)</w:t>
      </w:r>
      <w:r>
        <w:br w:type="textWrapping"/>
      </w:r>
      <w:r>
        <w:br w:type="textWrapping"/>
      </w:r>
      <w:r>
        <w:rPr>
          <w:rStyle w:val="CommentTok"/>
        </w:rPr>
        <w:t xml:space="preserve">#devtools::install_github("wrightrc/r1001genomes", ref = "auxin-natural-variation")</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(r1001genomes)</w:t>
      </w:r>
      <w:r>
        <w:br w:type="textWrapping"/>
      </w: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(ggpmisc)</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(ggseqlogo)</w:t>
      </w:r>
      <w:r>
        <w:br w:type="textWrapping"/>
      </w:r>
      <w:r>
        <w:rPr>
          <w:rStyle w:val="KeywordTok"/>
        </w:rPr>
        <w:t xml:space="preserve">library</w:t>
      </w:r>
      <w:r>
        <w:rPr>
          <w:rStyle w:val="NormalTok"/>
        </w:rPr>
        <w:t xml:space="preserve">(ggtree)</w:t>
      </w:r>
      <w:r>
        <w:br w:type="textWrapping"/>
      </w:r>
      <w:r>
        <w:rPr>
          <w:rStyle w:val="KeywordTok"/>
        </w:rPr>
        <w:t xml:space="preserve">library</w:t>
      </w:r>
      <w:r>
        <w:rPr>
          <w:rStyle w:val="NormalTok"/>
        </w:rPr>
        <w:t xml:space="preserve">(reticulate)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(ips)</w:t>
      </w:r>
      <w:r>
        <w:br w:type="textWrapping"/>
      </w:r>
      <w:r>
        <w:rPr>
          <w:rStyle w:val="KeywordTok"/>
        </w:rPr>
        <w:t xml:space="preserve">library</w:t>
      </w:r>
      <w:r>
        <w:rPr>
          <w:rStyle w:val="NormalTok"/>
        </w:rPr>
        <w:t xml:space="preserve">(knitr)</w:t>
      </w:r>
      <w:r>
        <w:br w:type="textWrapping"/>
      </w:r>
      <w:r>
        <w:rPr>
          <w:rStyle w:val="CommentTok"/>
        </w:rPr>
        <w:t xml:space="preserve">#use_python(python = "/usr/local/bin/python")</w:t>
      </w:r>
    </w:p>
    <w:p>
      <w:pPr>
        <w:pStyle w:val="Heading1"/>
      </w:pPr>
      <w:bookmarkStart w:id="20" w:name="list-of-working-titles"/>
      <w:r>
        <w:t xml:space="preserve">List of working titles</w:t>
      </w:r>
      <w:bookmarkEnd w:id="20"/>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r>
        <w:br w:type="textWrapping"/>
      </w:r>
    </w:p>
    <w:p>
      <w:pPr>
        <w:pStyle w:val="Compact"/>
        <w:numPr>
          <w:numId w:val="1001"/>
          <w:ilvl w:val="0"/>
        </w:numPr>
      </w:pPr>
      <w:r>
        <w:rPr>
          <w:b/>
        </w:rPr>
        <w:t xml:space="preserve">Add your suggestions</w:t>
      </w:r>
    </w:p>
    <w:p>
      <w:pPr>
        <w:pStyle w:val="Heading1"/>
      </w:pPr>
      <w:bookmarkStart w:id="21" w:name="abstract"/>
      <w:r>
        <w:t xml:space="preserve">Abstract</w:t>
      </w:r>
      <w:bookmarkEnd w:id="21"/>
    </w:p>
    <w:p>
      <w:pPr>
        <w:pStyle w:val="Compact"/>
        <w:numPr>
          <w:numId w:val="1002"/>
          <w:ilvl w:val="0"/>
        </w:numPr>
      </w:pPr>
      <w:r>
        <w:t xml:space="preserve">Motivating, high level statement</w:t>
      </w:r>
      <w:r>
        <w:br w:type="textWrapping"/>
      </w:r>
    </w:p>
    <w:p>
      <w:pPr>
        <w:pStyle w:val="Compact"/>
        <w:numPr>
          <w:numId w:val="1002"/>
          <w:ilvl w:val="0"/>
        </w:numPr>
      </w:pPr>
      <w:r>
        <w:t xml:space="preserve">Statement defining the cutting edge of your research area</w:t>
      </w:r>
      <w:r>
        <w:br w:type="textWrapping"/>
      </w:r>
    </w:p>
    <w:p>
      <w:pPr>
        <w:pStyle w:val="Compact"/>
        <w:numPr>
          <w:numId w:val="1002"/>
          <w:ilvl w:val="0"/>
        </w:numPr>
      </w:pPr>
      <w:r>
        <w:t xml:space="preserve">A statement of the form:</w:t>
      </w:r>
      <w:r>
        <w:t xml:space="preserve"> </w:t>
      </w:r>
      <w:r>
        <w:t xml:space="preserve">“</w:t>
      </w:r>
      <w:r>
        <w:t xml:space="preserve">However, it remains unclear …</w:t>
      </w:r>
      <w:r>
        <w:t xml:space="preserve">”</w:t>
      </w:r>
      <w:r>
        <w:t xml:space="preserve"> </w:t>
      </w:r>
      <w:r>
        <w:t xml:space="preserve">that defines what problem you are</w:t>
      </w:r>
      <w:r>
        <w:br w:type="textWrapping"/>
      </w:r>
      <w:r>
        <w:t xml:space="preserve">addressing.</w:t>
      </w:r>
      <w:r>
        <w:br w:type="textWrapping"/>
      </w:r>
    </w:p>
    <w:p>
      <w:pPr>
        <w:pStyle w:val="Compact"/>
        <w:numPr>
          <w:numId w:val="1002"/>
          <w:ilvl w:val="0"/>
        </w:numPr>
      </w:pPr>
      <w:r>
        <w:t xml:space="preserve">A statement of the form:</w:t>
      </w:r>
      <w:r>
        <w:t xml:space="preserve">“</w:t>
      </w:r>
      <w:r>
        <w:t xml:space="preserve">Here, we …</w:t>
      </w:r>
      <w:r>
        <w:t xml:space="preserve">”</w:t>
      </w:r>
      <w:r>
        <w:t xml:space="preserve"> </w:t>
      </w:r>
      <w:r>
        <w:t xml:space="preserve">that concisely states your contribution.</w:t>
      </w:r>
      <w:r>
        <w:br w:type="textWrapping"/>
      </w:r>
    </w:p>
    <w:p>
      <w:pPr>
        <w:pStyle w:val="Compact"/>
        <w:numPr>
          <w:numId w:val="1002"/>
          <w:ilvl w:val="0"/>
        </w:numPr>
      </w:pPr>
      <w:r>
        <w:t xml:space="preserve">A series of 3?5 statement about your results.</w:t>
      </w:r>
      <w:r>
        <w:br w:type="textWrapping"/>
      </w:r>
    </w:p>
    <w:p>
      <w:pPr>
        <w:pStyle w:val="Compact"/>
        <w:numPr>
          <w:numId w:val="1002"/>
          <w:ilvl w:val="0"/>
        </w:numPr>
      </w:pPr>
      <w:r>
        <w:t xml:space="preserve">A concluding statement.</w:t>
      </w:r>
    </w:p>
    <w:p>
      <w:pPr>
        <w:pStyle w:val="Heading1"/>
      </w:pPr>
      <w:bookmarkStart w:id="22" w:name="intro"/>
      <w:r>
        <w:t xml:space="preserve">Intro</w:t>
      </w:r>
      <w:bookmarkEnd w:id="22"/>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 through molecular genetics. Since this initial genome, massive scaling of sequencing technology has allowed a pioneering group to survey the global genomic variation in natural</w:t>
      </w:r>
      <w:r>
        <w:t xml:space="preserve"> </w:t>
      </w:r>
      <w:r>
        <w:rPr>
          <w:i/>
        </w:rPr>
        <w:t xml:space="preserve">Arabidopsis thaliana</w:t>
      </w:r>
      <w:r>
        <w:t xml:space="preserve"> </w:t>
      </w:r>
      <w:r>
        <w:t xml:space="preserve">populations. This valuable population genetics resource has led to several associations of genetic loci with phenotypic traits and provided insights into how selective pressure has and is influencing the evolution of plant genomes. Outside of genome-wide studies however, this valuable dataset has seen little use. Natural genomic variation also provides a set of feasible functional variation at the gene, gene family and gene network level that may provide insight into the function and evolution of genes, families and networks. Here, we present a web application and R-package through which plant molecular biologists with little-to-no bioinformatics experience can make use of this rich dataset of genetic variation to formulate hypotheses as to the sequence/function/phenotype relationships determined by the gene, family, or network of their interest. We demonstrate the utility of this tool through comprehensive analysis and identification of potential functional variation in the nuclear auxin signaling pathway.</w:t>
      </w:r>
    </w:p>
    <w:p>
      <w:pPr>
        <w:pStyle w:val="BodyText"/>
      </w:pPr>
      <w:r>
        <w:t xml:space="preserve">This application allows easy access to</w:t>
      </w:r>
      <w:r>
        <w:t xml:space="preserve"> </w:t>
      </w:r>
      <w:r>
        <w:t xml:space="preserve">1. lists of missense polymorphisms to facilitate biochemical assays of variant effects</w:t>
      </w:r>
      <w:r>
        <w:t xml:space="preserve"> </w:t>
      </w:r>
      <w:r>
        <w:t xml:space="preserve">(Starita et al.,</w:t>
      </w:r>
      <w:r>
        <w:t xml:space="preserve"> </w:t>
      </w:r>
      <w:hyperlink w:anchor="ref-starita_variant_2017">
        <w:r>
          <w:rPr>
            <w:rStyle w:val="Hyperlink"/>
          </w:rPr>
          <w:t xml:space="preserve">2017</w:t>
        </w:r>
      </w:hyperlink>
      <w:r>
        <w:t xml:space="preserve">)</w:t>
      </w:r>
      <w:r>
        <w:t xml:space="preserve">,</w:t>
      </w:r>
      <w:r>
        <w:t xml:space="preserve"> </w:t>
      </w:r>
      <w:r>
        <w:t xml:space="preserve">2. family-wise alignments of variants to facilitate de novo functional domain identification</w:t>
      </w:r>
      <w:r>
        <w:t xml:space="preserve"> </w:t>
      </w:r>
      <w:r>
        <w:t xml:space="preserve">(Melamed, Young, Miller, &amp; Fields,</w:t>
      </w:r>
      <w:r>
        <w:t xml:space="preserve"> </w:t>
      </w:r>
      <w:hyperlink w:anchor="ref-melamed_combining_2015">
        <w:r>
          <w:rPr>
            <w:rStyle w:val="Hyperlink"/>
          </w:rPr>
          <w:t xml:space="preserve">2015</w:t>
        </w:r>
      </w:hyperlink>
      <w:r>
        <w:t xml:space="preserve">)</w:t>
      </w:r>
      <w:r>
        <w:t xml:space="preserve">,</w:t>
      </w:r>
      <w:r>
        <w:t xml:space="preserve"> </w:t>
      </w:r>
      <w:r>
        <w:t xml:space="preserve">3. lists of accessions containing missense (or any type of) polymorphisms to facilitate segregation analysis and measurment of the distribution of variant effects on phenotype</w:t>
      </w:r>
      <w:r>
        <w:t xml:space="preserve"> </w:t>
      </w:r>
      <w:r>
        <w:t xml:space="preserve">(Park et al.,</w:t>
      </w:r>
      <w:r>
        <w:t xml:space="preserve"> </w:t>
      </w:r>
      <w:hyperlink w:anchor="ref-park_distributions_2017">
        <w:r>
          <w:rPr>
            <w:rStyle w:val="Hyperlink"/>
          </w:rPr>
          <w:t xml:space="preserve">2017</w:t>
        </w:r>
      </w:hyperlink>
      <w:r>
        <w:t xml:space="preserve">)</w:t>
      </w:r>
      <w:r>
        <w:t xml:space="preserve">,</w:t>
      </w:r>
      <w:r>
        <w:t xml:space="preserve"> </w:t>
      </w:r>
      <w:r>
        <w:t xml:space="preserve">4. as well as the study of gene and network evolution</w:t>
      </w:r>
      <w:r>
        <w:t xml:space="preserve"> </w:t>
      </w:r>
      <w:r>
        <w:t xml:space="preserve">(</w:t>
      </w:r>
      <w:r>
        <w:rPr>
          <w:b/>
        </w:rPr>
        <w:t xml:space="preserve">???</w:t>
      </w:r>
      <w:r>
        <w:t xml:space="preserve">; Delker et al.,</w:t>
      </w:r>
      <w:r>
        <w:t xml:space="preserve"> </w:t>
      </w:r>
      <w:hyperlink w:anchor="ref-delker_natural_2010">
        <w:r>
          <w:rPr>
            <w:rStyle w:val="Hyperlink"/>
          </w:rPr>
          <w:t xml:space="preserve">2010</w:t>
        </w:r>
      </w:hyperlink>
      <w:r>
        <w:t xml:space="preserve">)</w:t>
      </w:r>
      <w:r>
        <w:t xml:space="preserve">.</w:t>
      </w:r>
    </w:p>
    <w:p>
      <w:pPr>
        <w:pStyle w:val="BodyText"/>
      </w:pPr>
      <w:r>
        <w:t xml:space="preserve">Here, we have utilized this tool to analyze the genetic variation in the nuclear auxin signaling pathway and formulate hypotheses regarding the functional implications of this variation and the evolution of the genes and gene families in this pathway. Our analysis also provided further confirmation of much of the existing knowledge of these genes demonstrating the validity of this approach.</w:t>
      </w:r>
    </w:p>
    <w:p>
      <w:pPr>
        <w:pStyle w:val="Heading1"/>
      </w:pPr>
      <w:bookmarkStart w:id="23" w:name="methods"/>
      <w:r>
        <w:t xml:space="preserve">Methods</w:t>
      </w:r>
      <w:bookmarkEnd w:id="23"/>
    </w:p>
    <w:p>
      <w:pPr>
        <w:pStyle w:val="Heading2"/>
      </w:pPr>
      <w:bookmarkStart w:id="24" w:name="nucleotide-diversity-calculation"/>
      <w:r>
        <w:t xml:space="preserve">Nucleotide Diversity Calculation</w:t>
      </w:r>
      <w:bookmarkEnd w:id="24"/>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oMath>
    </w:p>
    <w:p>
      <w:pPr>
        <w:pStyle w:val="BodyText"/>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oMath>
    </w:p>
    <w:p>
      <w:pPr>
        <w:pStyle w:val="BodyText"/>
      </w:pPr>
      <w:r>
        <w:t xml:space="preserve">where</w:t>
      </w:r>
      <w:r>
        <w:t xml:space="preserve"> </w:t>
      </w:r>
      <m:oMath>
        <m:sSub>
          <m:e>
            <m:r>
              <m:t>N</m:t>
            </m:r>
          </m:e>
          <m:sub>
            <m:r>
              <m:t>i</m:t>
            </m:r>
            <m:r>
              <m:t>k</m:t>
            </m:r>
          </m:sub>
        </m:sSub>
      </m:oMath>
      <w:r>
        <w:t xml:space="preserve"> </w:t>
      </w:r>
      <w:r>
        <w:t xml:space="preserve">is the nucleotide (A, T, C or G) at position k on the ith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oMath>
    </w:p>
    <w:p>
      <w:pPr>
        <w:pStyle w:val="BodyText"/>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25" w:name="detailed-pi_k-calculaiton-simplification."/>
      <w:r>
        <w:t xml:space="preserve">Detailed</w:t>
      </w:r>
      <w:r>
        <w:t xml:space="preserve"> </w:t>
      </w:r>
      <m:oMath>
        <m:sSub>
          <m:e>
            <m:r>
              <m:t>π</m:t>
            </m:r>
          </m:e>
          <m:sub>
            <m:r>
              <m:t>k</m:t>
            </m:r>
          </m:sub>
        </m:sSub>
      </m:oMath>
      <w:r>
        <w:t xml:space="preserve"> </w:t>
      </w:r>
      <w:r>
        <w:t xml:space="preserve">calculaiton simplification.</w:t>
      </w:r>
      <w:bookmarkEnd w:id="25"/>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 subscripts i and k are summed only over unique forms [need to clarify this]</w:t>
      </w:r>
    </w:p>
    <w:p>
      <w:pPr>
        <w:pStyle w:val="BodyText"/>
      </w:pPr>
      <m:oMath>
        <m:sSub>
          <m:e>
            <m:r>
              <m:t>π</m:t>
            </m:r>
          </m:e>
          <m:sub>
            <m:r>
              <m:t>k</m:t>
            </m:r>
          </m:sub>
        </m:sSub>
        <m:r>
          <m:t>=</m:t>
        </m:r>
        <m:nary>
          <m:naryPr>
            <m:chr m:val="∑"/>
            <m:limLoc m:val="undOvr"/>
            <m:subHide m:val="0"/>
            <m:supHide m:val="1"/>
          </m:naryPr>
          <m:sub>
            <m:r>
              <m:t>i</m:t>
            </m:r>
            <m:r>
              <m:t>j</m:t>
            </m:r>
          </m:sub>
          <m:sup/>
          <m:e>
            <m:f>
              <m:fPr>
                <m:type m:val="bar"/>
              </m:fPr>
              <m:num>
                <m:sSub>
                  <m:e>
                    <m:r>
                      <m:t>n</m:t>
                    </m:r>
                  </m:e>
                  <m:sub>
                    <m:r>
                      <m:t>i</m:t>
                    </m:r>
                  </m:sub>
                </m:sSub>
              </m:num>
              <m:den>
                <m:r>
                  <m:t>n</m:t>
                </m:r>
              </m:den>
            </m:f>
          </m:e>
        </m:nary>
        <m:f>
          <m:fPr>
            <m:type m:val="bar"/>
          </m:fPr>
          <m:num>
            <m:sSub>
              <m:e>
                <m:r>
                  <m:t>n</m:t>
                </m:r>
              </m:e>
              <m:sub>
                <m:r>
                  <m:t>j</m:t>
                </m:r>
              </m:sub>
            </m:sSub>
          </m:num>
          <m:den>
            <m:r>
              <m:t>n</m:t>
            </m:r>
          </m:den>
        </m:f>
        <m:sSub>
          <m:e>
            <m:r>
              <m:t>π</m:t>
            </m:r>
          </m:e>
          <m:sub>
            <m:r>
              <m:t>i</m:t>
            </m:r>
            <m:r>
              <m:t>j</m:t>
            </m:r>
          </m:sub>
        </m:sSub>
        <m:r>
          <m:t>=</m:t>
        </m:r>
        <m:f>
          <m:fPr>
            <m:type m:val="bar"/>
          </m:fPr>
          <m:num>
            <m:r>
              <m:t>1</m:t>
            </m:r>
          </m:num>
          <m:den>
            <m:sSup>
              <m:e>
                <m:r>
                  <m:t>n</m:t>
                </m:r>
              </m:e>
              <m:sup>
                <m:r>
                  <m:t>2</m:t>
                </m:r>
              </m:sup>
            </m:sSup>
          </m:den>
        </m:f>
        <m:nary>
          <m:naryPr>
            <m:chr m:val="∑"/>
            <m:limLoc m:val="undOvr"/>
            <m:subHide m:val="0"/>
            <m:supHide m:val="1"/>
          </m:naryPr>
          <m:sub>
            <m:r>
              <m:t>i</m:t>
            </m:r>
            <m:r>
              <m:t>j</m:t>
            </m:r>
          </m:sub>
          <m:sup/>
          <m:e>
            <m:sSub>
              <m:e>
                <m:r>
                  <m:t>n</m:t>
                </m:r>
              </m:e>
              <m:sub>
                <m:r>
                  <m:t>i</m:t>
                </m:r>
              </m:sub>
            </m:sSub>
          </m:e>
        </m:nary>
        <m:sSub>
          <m:e>
            <m:r>
              <m:t>n</m:t>
            </m:r>
          </m:e>
          <m:sub>
            <m:r>
              <m:t>j</m:t>
            </m:r>
          </m:sub>
        </m:sSub>
        <m:sSub>
          <m:e>
            <m:r>
              <m:t>π</m:t>
            </m:r>
          </m:e>
          <m:sub>
            <m:r>
              <m:t>i</m:t>
            </m:r>
            <m:r>
              <m:t>j</m:t>
            </m:r>
          </m:sub>
        </m:sSub>
      </m:oMath>
    </w:p>
    <w:p>
      <w:pPr>
        <w:pStyle w:val="BodyText"/>
      </w:pPr>
      <m:oMath>
        <m:sSub>
          <m:e>
            <m:r>
              <m:t>π</m:t>
            </m:r>
          </m:e>
          <m:sub>
            <m:r>
              <m:t>i</m:t>
            </m:r>
            <m:r>
              <m:t>j</m:t>
            </m:r>
            <m:r>
              <m:t>(</m:t>
            </m:r>
            <m:r>
              <m:t>k</m:t>
            </m:r>
            <m:r>
              <m:t>)</m:t>
            </m:r>
          </m:sub>
        </m:sSub>
        <m:r>
          <m:t>=</m:t>
        </m:r>
        <m:d>
          <m:dPr>
            <m:begChr m:val="{"/>
            <m:endChr m:val=""/>
            <m:grow/>
          </m:dPr>
          <m:e>
            <m:m>
              <m:mPr>
                <m:baseJc m:val="center"/>
                <m:plcHide m:val="1"/>
                <m:mcs>
                  <m:mc>
                    <m:mcPr>
                      <m:mcJc m:val="left"/>
                      <m:count m:val="1"/>
                    </m:mcPr>
                  </m:mc>
                </m:mcs>
              </m:mPr>
              <m:mr>
                <m:e>
                  <m:r>
                    <m:t>1</m:t>
                  </m:r>
                  <m:r>
                    <m:t> </m:t>
                  </m:r>
                  <m:r>
                    <m:rPr>
                      <m:sty m:val="p"/>
                    </m:rPr>
                    <m:t>if</m:t>
                  </m:r>
                  <m:r>
                    <m:t> </m:t>
                  </m:r>
                  <m:r>
                    <m:t>i</m:t>
                  </m:r>
                  <m:r>
                    <m:t>≠</m:t>
                  </m:r>
                  <m:r>
                    <m:t>j</m:t>
                  </m:r>
                </m:e>
              </m:mr>
              <m:mr>
                <m:e>
                  <m:r>
                    <m:t>0</m:t>
                  </m:r>
                  <m:r>
                    <m:t> </m:t>
                  </m:r>
                  <m:r>
                    <m:rPr>
                      <m:sty m:val="p"/>
                    </m:rPr>
                    <m:t>if</m:t>
                  </m:r>
                  <m:r>
                    <m:t> </m:t>
                  </m:r>
                  <m:r>
                    <m:t>i</m:t>
                  </m:r>
                  <m:r>
                    <m:t>=</m:t>
                  </m:r>
                  <m:r>
                    <m:t>j</m:t>
                  </m:r>
                </m:e>
              </m:mr>
            </m:m>
          </m:e>
        </m:d>
      </m:oMath>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oMath>
    </w:p>
    <w:p>
      <w:pPr>
        <w:pStyle w:val="BodyText"/>
      </w:pPr>
      <w:r>
        <w:t xml:space="preserve">next we substitute our definition of</w:t>
      </w:r>
      <w:r>
        <w:t xml:space="preserve"> </w:t>
      </w:r>
      <m:oMath>
        <m:sSub>
          <m:e>
            <m:r>
              <m:t>n</m:t>
            </m:r>
          </m:e>
          <m:sub>
            <m:r>
              <m:t>!</m:t>
            </m:r>
            <m:r>
              <m:t>i</m:t>
            </m:r>
          </m:sub>
        </m:sSub>
      </m:oMath>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oMath>
    </w:p>
    <w:p>
      <w:pPr>
        <w:pStyle w:val="BodyText"/>
      </w:pPr>
      <w:r>
        <w:t xml:space="preserve">then distribute and split summation:</w:t>
      </w:r>
    </w:p>
    <w:p>
      <w:pPr>
        <w:pStyle w:val="BodyText"/>
      </w:p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1"/>
      </w:pPr>
      <w:bookmarkStart w:id="26" w:name="results"/>
      <w:r>
        <w:t xml:space="preserve">Results</w:t>
      </w:r>
      <w:bookmarkEnd w:id="26"/>
    </w:p>
    <w:p>
      <w:pPr>
        <w:pStyle w:val="Heading2"/>
      </w:pPr>
      <w:bookmarkStart w:id="27" w:name="tir1afb-genes"/>
      <w:r>
        <w:rPr>
          <w:i/>
        </w:rPr>
        <w:t xml:space="preserve">TIR1/AFB</w:t>
      </w:r>
      <w:r>
        <w:t xml:space="preserve"> </w:t>
      </w:r>
      <w:r>
        <w:t xml:space="preserve">genes</w:t>
      </w:r>
      <w:bookmarkEnd w:id="27"/>
    </w:p>
    <w:p>
      <w:pPr>
        <w:pStyle w:val="FirstParagraph"/>
      </w:pPr>
      <w:r>
        <w:t xml:space="preserve">Auxin acts by binding to receptors that in turn target co-repressors for degradation. Auxin receptors (six in the model plant</w:t>
      </w:r>
      <w:r>
        <w:t xml:space="preserve"> </w:t>
      </w:r>
      <w:r>
        <w:rPr>
          <w:i/>
        </w:rPr>
        <w:t xml:space="preserve">Arabidopsis thaliana</w:t>
      </w:r>
      <w:r>
        <w:t xml:space="preserve">) evolved through gene duplication and diversification early in the history of vascular plants</w:t>
      </w:r>
      <w:r>
        <w:t xml:space="preserve"> </w:t>
      </w:r>
      <w:r>
        <w:t xml:space="preserve">(</w:t>
      </w:r>
      <w:r>
        <w:rPr>
          <w:b/>
        </w:rPr>
        <w:t xml:space="preserve">???</w:t>
      </w:r>
      <w:r>
        <w:t xml:space="preserve">)</w:t>
      </w:r>
      <w:r>
        <w:t xml:space="preserve">. The rate of co-repressor degradation is determined by the identity of both the receptor and co-repressor</w:t>
      </w:r>
      <w:r>
        <w:t xml:space="preserve"> </w:t>
      </w:r>
      <w:r>
        <w:t xml:space="preserve">(</w:t>
      </w:r>
      <w:r>
        <w:rPr>
          <w:b/>
        </w:rPr>
        <w:t xml:space="preserve">???</w:t>
      </w:r>
      <w:r>
        <w:t xml:space="preserve">)</w:t>
      </w:r>
      <w:r>
        <w:t xml:space="preserve">, and this rate sets the pace of lateral root development</w:t>
      </w:r>
      <w:r>
        <w:t xml:space="preserve"> </w:t>
      </w:r>
      <w:r>
        <w:t xml:space="preserve">(</w:t>
      </w:r>
      <w:r>
        <w:rPr>
          <w:b/>
        </w:rPr>
        <w:t xml:space="preserve">???</w:t>
      </w:r>
      <w:r>
        <w:t xml:space="preserve">)</w:t>
      </w:r>
      <w:r>
        <w:t xml:space="preserve">.</w:t>
      </w:r>
    </w:p>
    <w:p>
      <w:pPr>
        <w:pStyle w:val="BodyText"/>
      </w:pPr>
      <w:r>
        <w:t xml:space="preserve">Although it is unclear what unique roles each receptor plays in growth and development, a number of studies have pointed out differences in the ways the six different receptors in A. thaliana differ in biochemical function and expression domain</w:t>
      </w:r>
      <w:r>
        <w:t xml:space="preserve">(Dharmasiri et al.,</w:t>
      </w:r>
      <w:r>
        <w:t xml:space="preserve"> </w:t>
      </w:r>
      <w:hyperlink w:anchor="ref-dharmasiri_plant_2005">
        <w:r>
          <w:rPr>
            <w:rStyle w:val="Hyperlink"/>
          </w:rPr>
          <w:t xml:space="preserve">2005</w:t>
        </w:r>
      </w:hyperlink>
      <w:r>
        <w:t xml:space="preserve">; Parry et al.,</w:t>
      </w:r>
      <w:r>
        <w:t xml:space="preserve"> </w:t>
      </w:r>
      <w:hyperlink w:anchor="ref-parry_complex_2009">
        <w:r>
          <w:rPr>
            <w:rStyle w:val="Hyperlink"/>
          </w:rPr>
          <w:t xml:space="preserve">2009</w:t>
        </w:r>
      </w:hyperlink>
      <w:r>
        <w:t xml:space="preserve">; Prigge et al.,</w:t>
      </w:r>
      <w:r>
        <w:t xml:space="preserve"> </w:t>
      </w:r>
      <w:hyperlink w:anchor="ref-prigge_arabidopsis_2016">
        <w:r>
          <w:rPr>
            <w:rStyle w:val="Hyperlink"/>
          </w:rPr>
          <w:t xml:space="preserve">2016</w:t>
        </w:r>
      </w:hyperlink>
      <w:r>
        <w:t xml:space="preserve">)</w:t>
      </w:r>
      <w:r>
        <w:t xml:space="preserve">. Although TIR1/AFBs are expressed ubiquitously in A. thaliana tissues, TIR1, AFB2, and AFB3 have been shown to accumulate in the shoot and root meristems and leaf tissues, with slightly different expression patterns for TIR1</w:t>
      </w:r>
      <w:r>
        <w:t xml:space="preserve"> </w:t>
      </w:r>
      <w:r>
        <w:t xml:space="preserve">(</w:t>
      </w:r>
      <w:r>
        <w:rPr>
          <w:b/>
        </w:rPr>
        <w:t xml:space="preserve">???</w:t>
      </w:r>
      <w:r>
        <w:t xml:space="preserve">)</w:t>
      </w:r>
      <w:r>
        <w:t xml:space="preserve">. Additionally, the expression of AFB5 is stronly circadian-regulated</w:t>
      </w:r>
      <w:r>
        <w:t xml:space="preserve"> </w:t>
      </w:r>
      <w:r>
        <w:t xml:space="preserve">(</w:t>
      </w:r>
      <w:r>
        <w:rPr>
          <w:b/>
        </w:rPr>
        <w:t xml:space="preserve">???</w:t>
      </w:r>
      <w:r>
        <w:t xml:space="preserve">)</w:t>
      </w:r>
      <w:r>
        <w:t xml:space="preserve"> </w:t>
      </w:r>
      <w:r>
        <w:t xml:space="preserve">and AFB3 is more highly expressed in the roots in the presence of nitrate, allowing increased lateral root formation</w:t>
      </w:r>
      <w:r>
        <w:t xml:space="preserve"> </w:t>
      </w:r>
      <w:r>
        <w:t xml:space="preserve">(</w:t>
      </w:r>
      <w:r>
        <w:rPr>
          <w:b/>
        </w:rPr>
        <w:t xml:space="preserve">???</w:t>
      </w:r>
      <w:r>
        <w:t xml:space="preserve">)</w:t>
      </w:r>
      <w:r>
        <w:t xml:space="preserve">, suggesting more broad environmental regulation of this gene family may exist.</w:t>
      </w:r>
      <w:r>
        <w:t xml:space="preserve"> </w:t>
      </w:r>
      <w:r>
        <w:t xml:space="preserve">Functionally, all members of this family have been shown to bind auxin and Aux/IAA proteins. However, AFB1 has drastically reduced ability to assemble into an SCF complex, due to the substitution E8K in its F-box domain, preventing it from inducing degradation of Aux/IAAs</w:t>
      </w:r>
      <w:r>
        <w:t xml:space="preserve">(</w:t>
      </w:r>
      <w:r>
        <w:rPr>
          <w:b/>
        </w:rPr>
        <w:t xml:space="preserve">???</w:t>
      </w:r>
      <w:r>
        <w:t xml:space="preserve">)</w:t>
      </w:r>
      <w:r>
        <w:t xml:space="preserve">. This lack of complexation may allow observed high ubiquitous AFB1 accumulation</w:t>
      </w:r>
      <w:r>
        <w:t xml:space="preserve"> </w:t>
      </w:r>
      <w:r>
        <w:t xml:space="preserve">(</w:t>
      </w:r>
      <w:r>
        <w:rPr>
          <w:b/>
        </w:rPr>
        <w:t xml:space="preserve">???</w:t>
      </w:r>
      <w:r>
        <w:t xml:space="preserve">)</w:t>
      </w:r>
      <w:r>
        <w:t xml:space="preserve">. Higher order mutants in the family containing</w:t>
      </w:r>
      <w:r>
        <w:t xml:space="preserve"> </w:t>
      </w:r>
      <w:r>
        <w:rPr>
          <w:i/>
        </w:rPr>
        <w:t xml:space="preserve">afb1</w:t>
      </w:r>
      <w:r>
        <w:t xml:space="preserve"> </w:t>
      </w:r>
      <w:r>
        <w:t xml:space="preserve">mutants suggest that</w:t>
      </w:r>
      <w:r>
        <w:t xml:space="preserve"> </w:t>
      </w:r>
      <w:r>
        <w:rPr>
          <w:i/>
        </w:rPr>
        <w:t xml:space="preserve">AFB1</w:t>
      </w:r>
      <w:r>
        <w:t xml:space="preserve"> </w:t>
      </w:r>
      <w:r>
        <w:t xml:space="preserve">has a moderate positive effect on auxin signaling. Additionally, AFB4 and AFB5 have been shown to preferentially and functionally bind the synthetic auxin picloram, while other family members preferentially bind indole-3-acetic acid</w:t>
      </w:r>
      <w:r>
        <w:t xml:space="preserve"> </w:t>
      </w:r>
      <w:r>
        <w:t xml:space="preserve">(</w:t>
      </w:r>
      <w:r>
        <w:rPr>
          <w:b/>
        </w:rPr>
        <w:t xml:space="preserve">???</w:t>
      </w:r>
      <w:r>
        <w:t xml:space="preserve">)</w:t>
      </w:r>
      <w:r>
        <w:t xml:space="preserve">. Interestingly, the strength and rate with which TIR1/AFBs are able to bind and mark Aux/IAAs for degradation are variable</w:t>
      </w:r>
      <w:r>
        <w:t xml:space="preserve"> </w:t>
      </w:r>
      <w:r>
        <w:t xml:space="preserve">(</w:t>
      </w:r>
      <w:r>
        <w:rPr>
          <w:b/>
        </w:rPr>
        <w:t xml:space="preserve">???</w:t>
      </w:r>
      <w:r>
        <w:t xml:space="preserve">; Calderón Villalobos et al., n.d.)</w:t>
      </w:r>
      <w:r>
        <w:t xml:space="preserve">. AFB2 induced the degradation of certain Aux/IAA proteins at a faster rate than TIR1, suggesting some functional specificity has arisen since the initial duplication between the</w:t>
      </w:r>
      <w:r>
        <w:t xml:space="preserve"> </w:t>
      </w:r>
      <w:r>
        <w:rPr>
          <w:i/>
        </w:rPr>
        <w:t xml:space="preserve">TIR1/AFB1</w:t>
      </w:r>
      <w:r>
        <w:t xml:space="preserve"> </w:t>
      </w:r>
      <w:r>
        <w:t xml:space="preserve">and</w:t>
      </w:r>
      <w:r>
        <w:t xml:space="preserve"> </w:t>
      </w:r>
      <w:r>
        <w:rPr>
          <w:i/>
        </w:rPr>
        <w:t xml:space="preserve">AFB2/AFB3</w:t>
      </w:r>
      <w:r>
        <w:t xml:space="preserve"> </w:t>
      </w:r>
      <w:r>
        <w:t xml:space="preserve">clades.</w:t>
      </w:r>
    </w:p>
    <w:p>
      <w:pPr>
        <w:pStyle w:val="SourceCode"/>
      </w:pPr>
      <w:r>
        <w:rPr>
          <w:rStyle w:val="VerbatimChar"/>
        </w:rPr>
        <w:t xml:space="preserve">#&gt; [1] "new genes:"</w:t>
      </w:r>
      <w:r>
        <w:br w:type="textWrapping"/>
      </w:r>
      <w:r>
        <w:rPr>
          <w:rStyle w:val="VerbatimChar"/>
        </w:rPr>
        <w:t xml:space="preserve">#&gt; character(0)</w:t>
      </w:r>
      <w:r>
        <w:br w:type="textWrapping"/>
      </w:r>
      <w:r>
        <w:rPr>
          <w:rStyle w:val="VerbatimChar"/>
        </w:rPr>
        <w:t xml:space="preserve">#&gt; Determining distance matrix based on shared 5-mers: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0.2 secs</w:t>
      </w:r>
      <w:r>
        <w:br w:type="textWrapping"/>
      </w:r>
      <w:r>
        <w:rPr>
          <w:rStyle w:val="VerbatimChar"/>
        </w:rPr>
        <w:t xml:space="preserve">#&gt; </w:t>
      </w:r>
      <w:r>
        <w:br w:type="textWrapping"/>
      </w:r>
      <w:r>
        <w:rPr>
          <w:rStyle w:val="VerbatimChar"/>
        </w:rPr>
        <w:t xml:space="preserve">#&gt; Iteration 1 of 2:</w:t>
      </w:r>
      <w:r>
        <w:br w:type="textWrapping"/>
      </w:r>
      <w:r>
        <w:rPr>
          <w:rStyle w:val="VerbatimChar"/>
        </w:rPr>
        <w:t xml:space="preserve">#&gt; </w:t>
      </w:r>
      <w:r>
        <w:br w:type="textWrapping"/>
      </w:r>
      <w:r>
        <w:rPr>
          <w:rStyle w:val="VerbatimChar"/>
        </w:rPr>
        <w:t xml:space="preserve">#&gt; Determining distance matrix based on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Realigning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0.09 secs</w:t>
      </w:r>
      <w:r>
        <w:br w:type="textWrapping"/>
      </w:r>
      <w:r>
        <w:rPr>
          <w:rStyle w:val="VerbatimChar"/>
        </w:rPr>
        <w:t xml:space="preserve">#&gt; </w:t>
      </w:r>
      <w:r>
        <w:br w:type="textWrapping"/>
      </w:r>
      <w:r>
        <w:rPr>
          <w:rStyle w:val="VerbatimChar"/>
        </w:rPr>
        <w:t xml:space="preserve">#&gt; Alignment converged - skipping remaining iteration.</w:t>
      </w:r>
    </w:p>
    <w:bookmarkStart w:id="28" w:name="htmlwidget-7895724e08110fa7fd89"/>
    <w:bookmarkEnd w:id="28"/>
    <w:p>
      <w:pPr>
        <w:pStyle w:val="FirstParagraph"/>
      </w:pPr>
      <w:r>
        <w:t xml:space="preserve">Examining the natural sequence variation across the</w:t>
      </w:r>
      <w:r>
        <w:t xml:space="preserve"> </w:t>
      </w:r>
      <w:r>
        <w:rPr>
          <w:i/>
        </w:rPr>
        <w:t xml:space="preserve">AFB</w:t>
      </w:r>
      <w:r>
        <w:t xml:space="preserve"> </w:t>
      </w:r>
      <w:r>
        <w:t xml:space="preserve">family revealed that</w:t>
      </w:r>
      <w:r>
        <w:t xml:space="preserve"> </w:t>
      </w:r>
      <w:r>
        <w:rPr>
          <w:i/>
        </w:rPr>
        <w:t xml:space="preserve">TIR1</w:t>
      </w:r>
      <w:r>
        <w:t xml:space="preserve"> </w:t>
      </w:r>
      <w:r>
        <w:t xml:space="preserve">and</w:t>
      </w:r>
      <w:r>
        <w:t xml:space="preserve"> </w:t>
      </w:r>
      <w:r>
        <w:rPr>
          <w:i/>
        </w:rPr>
        <w:t xml:space="preserve">AFB1</w:t>
      </w:r>
      <w:r>
        <w:t xml:space="preserve"> </w:t>
      </w:r>
      <w:r>
        <w:t xml:space="preserve">both had very low nonsynonymous diversity, hinting at their likely functional importance and bringing in to question the inconclusive role of</w:t>
      </w:r>
      <w:r>
        <w:t xml:space="preserve"> </w:t>
      </w:r>
      <w:r>
        <w:rPr>
          <w:i/>
        </w:rPr>
        <w:t xml:space="preserve">AFB1</w:t>
      </w:r>
      <w:r>
        <w:t xml:space="preserve"> </w:t>
      </w:r>
      <w:r>
        <w:t xml:space="preserve">in auxin signaling.</w:t>
      </w:r>
      <w:r>
        <w:t xml:space="preserve"> </w:t>
      </w:r>
      <w:r>
        <w:rPr>
          <w:i/>
        </w:rPr>
        <w:t xml:space="preserve">AFB3</w:t>
      </w:r>
      <w:r>
        <w:t xml:space="preserve"> </w:t>
      </w:r>
      <w:r>
        <w:t xml:space="preserve">and</w:t>
      </w:r>
      <w:r>
        <w:t xml:space="preserve"> </w:t>
      </w:r>
      <w:r>
        <w:rPr>
          <w:i/>
        </w:rPr>
        <w:t xml:space="preserve">AFB4</w:t>
      </w:r>
      <w:r>
        <w:t xml:space="preserve"> </w:t>
      </w:r>
      <w:r>
        <w:t xml:space="preserve">had higher nonsynonymous diversity, while their sister genes,</w:t>
      </w:r>
      <w:r>
        <w:t xml:space="preserve"> </w:t>
      </w:r>
      <w:r>
        <w:rPr>
          <w:i/>
        </w:rPr>
        <w:t xml:space="preserve">AFB2</w:t>
      </w:r>
      <w:r>
        <w:t xml:space="preserve"> </w:t>
      </w:r>
      <w:r>
        <w:t xml:space="preserve">and</w:t>
      </w:r>
      <w:r>
        <w:t xml:space="preserve"> </w:t>
      </w:r>
      <w:r>
        <w:rPr>
          <w:i/>
        </w:rPr>
        <w:t xml:space="preserve">AFB5</w:t>
      </w:r>
      <w:r>
        <w:t xml:space="preserve"> </w:t>
      </w:r>
      <w:r>
        <w:t xml:space="preserve">were more conserved. This matches our current understanding of</w:t>
      </w:r>
      <w:r>
        <w:t xml:space="preserve"> </w:t>
      </w:r>
      <w:r>
        <w:rPr>
          <w:i/>
        </w:rPr>
        <w:t xml:space="preserve">AFB3</w:t>
      </w:r>
      <w:r>
        <w:t xml:space="preserve"> </w:t>
      </w:r>
      <w:r>
        <w:t xml:space="preserve">as playing a minor role in the auxin signaling pathway and</w:t>
      </w:r>
      <w:r>
        <w:t xml:space="preserve"> </w:t>
      </w:r>
      <w:r>
        <w:rPr>
          <w:i/>
        </w:rPr>
        <w:t xml:space="preserve">AFB4</w:t>
      </w:r>
      <w:r>
        <w:t xml:space="preserve"> </w:t>
      </w:r>
      <w:r>
        <w:t xml:space="preserve">perhaps undergoing pseudogenization.</w:t>
      </w:r>
    </w:p>
    <w:p>
      <w:pPr>
        <w:pStyle w:val="BodyText"/>
      </w:pPr>
      <w:r>
        <w:t xml:space="preserve">Although most known functional regions are highly conserved in</w:t>
      </w:r>
      <w:r>
        <w:t xml:space="preserve"> </w:t>
      </w:r>
      <w:r>
        <w:rPr>
          <w:i/>
        </w:rPr>
        <w:t xml:space="preserve">AFB1</w:t>
      </w:r>
      <w:r>
        <w:t xml:space="preserve">, there is a nonsynonymous polymorphism in the oligomerization domain, only found in the Can-0 accession. Mutations in this domain of</w:t>
      </w:r>
      <w:r>
        <w:t xml:space="preserve"> </w:t>
      </w:r>
      <w:r>
        <w:rPr>
          <w:i/>
        </w:rPr>
        <w:t xml:space="preserve">TIR1</w:t>
      </w:r>
      <w:r>
        <w:t xml:space="preserve"> </w:t>
      </w:r>
      <w:r>
        <w:t xml:space="preserve">frequently have a semidominant effect on root phenotypes</w:t>
      </w:r>
      <w:r>
        <w:t xml:space="preserve"> </w:t>
      </w:r>
      <w:r>
        <w:t xml:space="preserve">(Dezfulian et al.,</w:t>
      </w:r>
      <w:r>
        <w:t xml:space="preserve"> </w:t>
      </w:r>
      <w:hyperlink w:anchor="ref-dezfulian_oligomerization_2016">
        <w:r>
          <w:rPr>
            <w:rStyle w:val="Hyperlink"/>
          </w:rPr>
          <w:t xml:space="preserve">2016</w:t>
        </w:r>
      </w:hyperlink>
      <w:r>
        <w:t xml:space="preserve">; Wright, Zahler, Gerben, &amp; Nemhauser,</w:t>
      </w:r>
      <w:r>
        <w:t xml:space="preserve"> </w:t>
      </w:r>
      <w:hyperlink w:anchor="ref-wright_insights_2017a">
        <w:r>
          <w:rPr>
            <w:rStyle w:val="Hyperlink"/>
          </w:rPr>
          <w:t xml:space="preserve">2017</w:t>
        </w:r>
      </w:hyperlink>
      <w:r>
        <w:t xml:space="preserve">)</w:t>
      </w:r>
      <w:r>
        <w:t xml:space="preserve">. Characterization of this accession may identify potential</w:t>
      </w:r>
      <w:r>
        <w:t xml:space="preserve"> </w:t>
      </w:r>
      <w:r>
        <w:rPr>
          <w:i/>
        </w:rPr>
        <w:t xml:space="preserve">AFB1</w:t>
      </w:r>
      <w:r>
        <w:t xml:space="preserve"> </w:t>
      </w:r>
      <w:r>
        <w:t xml:space="preserve">phenotypes and may also test the hypothesis that AFB1 functions through oligomerization with other TIR1/AFBs.</w:t>
      </w:r>
    </w:p>
    <w:p>
      <w:pPr>
        <w:pStyle w:val="BodyText"/>
      </w:pPr>
      <w:r>
        <w:drawing>
          <wp:inline>
            <wp:extent cx="5334000" cy="3048000"/>
            <wp:effectExtent b="0" l="0" r="0" t="0"/>
            <wp:docPr descr="" title="" id="1" name="Picture"/>
            <a:graphic>
              <a:graphicData uri="http://schemas.openxmlformats.org/drawingml/2006/picture">
                <pic:pic>
                  <pic:nvPicPr>
                    <pic:cNvPr descr="manuscript_files/figure-docx/AFB1%20diversity%20plot-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AFB4 and AFB5 receptors have an N-terminal extension prior to the F-box domains. This extension had very high nonsynonymous diversity(Fig. 4), suggesting that this extension does not play an important functional role in these proteins. Additionally, two frameshift variants and one stop-gained variant were observed in</w:t>
      </w:r>
      <w:r>
        <w:t xml:space="preserve"> </w:t>
      </w:r>
      <w:r>
        <w:rPr>
          <w:i/>
        </w:rPr>
        <w:t xml:space="preserve">AFB4</w:t>
      </w:r>
      <w:r>
        <w:t xml:space="preserve"> </w:t>
      </w:r>
      <w:r>
        <w:t xml:space="preserve">supporting its pseudogenization.</w:t>
      </w:r>
    </w:p>
    <w:p>
      <w:pPr>
        <w:pStyle w:val="BodyText"/>
      </w:pPr>
      <w:r>
        <w:t xml:space="preserve">Figure 4: Alignment of A. thaliana TIR1/AFB F-box domains showing variants. Cyan marks the F-box binding domain. Yellow, green, and magenta, mark missense and synonymous, synonymous only, and missense only variant locations respectively. Yellow squared E’s show Cul1-interacting residues, differing in AFB1.</w:t>
      </w:r>
      <w:r>
        <w:t xml:space="preserve"> </w:t>
      </w:r>
      <w:r>
        <w:drawing>
          <wp:inline>
            <wp:extent cx="5334000" cy="3048000"/>
            <wp:effectExtent b="0" l="0" r="0" t="0"/>
            <wp:docPr descr="" title="" id="1" name="Picture"/>
            <a:graphic>
              <a:graphicData uri="http://schemas.openxmlformats.org/drawingml/2006/picture">
                <pic:pic>
                  <pic:nvPicPr>
                    <pic:cNvPr descr="manuscript_files/figure-docx/TIR1/AFB%20F-box%20Alignment-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1" w:name="auxiaa-genes"/>
      <w:r>
        <w:rPr>
          <w:i/>
        </w:rPr>
        <w:t xml:space="preserve">Aux/IAA</w:t>
      </w:r>
      <w:r>
        <w:t xml:space="preserve"> </w:t>
      </w:r>
      <w:r>
        <w:t xml:space="preserve">genes</w:t>
      </w:r>
      <w:bookmarkEnd w:id="31"/>
    </w:p>
    <w:p>
      <w:pPr>
        <w:pStyle w:val="FirstParagraph"/>
      </w:pPr>
      <w:r>
        <w:t xml:space="preserve">The Aux/IAA proteins (IAAs) mediate both auxin perception and transcriptional co-repression of auxin responsive genes. Auxin perception is carried out along with TIR1/AFB proteins, which together with IAAs act as co-receptors to bind and perceive nuclear auxin. Interaction of IAAs with auxin and TIR1/AFBs is conferred by the highly conserved 13 amino acid degron motif</w:t>
      </w:r>
      <w:r>
        <w:t xml:space="preserve"> </w:t>
      </w:r>
      <w:r>
        <w:t xml:space="preserve">(Tan et al., n.d.)</w:t>
      </w:r>
      <w:r>
        <w:t xml:space="preserve">. Formation of this auxin co-receptor complex triggers ubiquitination and subsequent degradation of IAAs. This degradation in turn relieves their repression upon ARF transcription factors. Stabilizing mutations within the degron can lead to dominant phenotypes</w:t>
      </w:r>
      <w:r>
        <w:t xml:space="preserve"> </w:t>
      </w:r>
      <w:r>
        <w:t xml:space="preserve">(Berleth, Krogan, &amp; Scarpella,</w:t>
      </w:r>
      <w:r>
        <w:t xml:space="preserve"> </w:t>
      </w:r>
      <w:hyperlink w:anchor="ref-berleth_auxin_2004">
        <w:r>
          <w:rPr>
            <w:rStyle w:val="Hyperlink"/>
          </w:rPr>
          <w:t xml:space="preserve">2004</w:t>
        </w:r>
      </w:hyperlink>
      <w:r>
        <w:t xml:space="preserve">; Yang et al.,</w:t>
      </w:r>
      <w:r>
        <w:t xml:space="preserve"> </w:t>
      </w:r>
      <w:hyperlink w:anchor="ref-yang_iaa1_2004">
        <w:r>
          <w:rPr>
            <w:rStyle w:val="Hyperlink"/>
          </w:rPr>
          <w:t xml:space="preserve">2004</w:t>
        </w:r>
      </w:hyperlink>
      <w:r>
        <w:t xml:space="preserve">)</w:t>
      </w:r>
      <w:r>
        <w:t xml:space="preserve">. The</w:t>
      </w:r>
      <w:r>
        <w:t xml:space="preserve"> </w:t>
      </w:r>
      <w:r>
        <w:rPr>
          <w:i/>
        </w:rPr>
        <w:t xml:space="preserve">Arabidopsis thaliana</w:t>
      </w:r>
      <w:r>
        <w:t xml:space="preserve"> </w:t>
      </w:r>
      <w:r>
        <w:t xml:space="preserve">Aux/IAA family has 29 members, most of which possess a canonical auxin degron. Notable exceptions are the auxin-insensitive IAA20 and IAA30 that lack a degron sequence entirely, while the closely related IAA31 retains a semi-functional degron sequence with a very slow degradation rate</w:t>
      </w:r>
      <w:r>
        <w:t xml:space="preserve"> </w:t>
      </w:r>
      <w:r>
        <w:t xml:space="preserve">(Dreher, Brown, Saw, &amp; Callis,</w:t>
      </w:r>
      <w:r>
        <w:t xml:space="preserve"> </w:t>
      </w:r>
      <w:hyperlink w:anchor="ref-dreher_arabidopsis_2006">
        <w:r>
          <w:rPr>
            <w:rStyle w:val="Hyperlink"/>
          </w:rPr>
          <w:t xml:space="preserve">2006</w:t>
        </w:r>
      </w:hyperlink>
      <w:r>
        <w:t xml:space="preserve">; Havens et al., n.d.)</w:t>
      </w:r>
      <w:r>
        <w:t xml:space="preserve">. Additionally, IAA degradation rate is influenced by rate motifs found outside the degron, such as the KR motif</w:t>
      </w:r>
      <w:r>
        <w:t xml:space="preserve"> </w:t>
      </w:r>
      <w:r>
        <w:t xml:space="preserve">(Dreher et al.,</w:t>
      </w:r>
      <w:r>
        <w:t xml:space="preserve"> </w:t>
      </w:r>
      <w:hyperlink w:anchor="ref-dreher_arabidopsis_2006">
        <w:r>
          <w:rPr>
            <w:rStyle w:val="Hyperlink"/>
          </w:rPr>
          <w:t xml:space="preserve">2006</w:t>
        </w:r>
      </w:hyperlink>
      <w:r>
        <w:t xml:space="preserve">; Moss et al.,</w:t>
      </w:r>
      <w:r>
        <w:t xml:space="preserve"> </w:t>
      </w:r>
      <w:hyperlink w:anchor="ref-moss_rate_2015">
        <w:r>
          <w:rPr>
            <w:rStyle w:val="Hyperlink"/>
          </w:rPr>
          <w:t xml:space="preserve">2015</w:t>
        </w:r>
      </w:hyperlink>
      <w:r>
        <w:t xml:space="preserve">)</w:t>
      </w:r>
      <w:r>
        <w:t xml:space="preserve">. IAA-mediated repression of ARFs depends upon both an EAR domain, N-terminal of the degron, that recruits co-repressors of the TOPLESS (TPL) family, and a Phox and Bem1 (PB1) domain that enables interaction via hetero-oligomerization with ARF PB1 domains</w:t>
      </w:r>
      <w:r>
        <w:t xml:space="preserve"> </w:t>
      </w:r>
      <w:r>
        <w:t xml:space="preserve">(Kagale &amp; Rozwadowski,</w:t>
      </w:r>
      <w:r>
        <w:t xml:space="preserve"> </w:t>
      </w:r>
      <w:hyperlink w:anchor="ref-kagale_ear_2011">
        <w:r>
          <w:rPr>
            <w:rStyle w:val="Hyperlink"/>
          </w:rPr>
          <w:t xml:space="preserve">2011</w:t>
        </w:r>
      </w:hyperlink>
      <w:r>
        <w:t xml:space="preserve">; Nanao et al.,</w:t>
      </w:r>
      <w:r>
        <w:t xml:space="preserve"> </w:t>
      </w:r>
      <w:hyperlink w:anchor="ref-nanao_structural_2014">
        <w:r>
          <w:rPr>
            <w:rStyle w:val="Hyperlink"/>
          </w:rPr>
          <w:t xml:space="preserve">2014</w:t>
        </w:r>
      </w:hyperlink>
      <w:r>
        <w:t xml:space="preserve">)</w:t>
      </w:r>
      <w:r>
        <w:t xml:space="preserve">.</w:t>
      </w:r>
    </w:p>
    <w:p>
      <w:pPr>
        <w:pStyle w:val="SourceCode"/>
      </w:pPr>
      <w:r>
        <w:rPr>
          <w:rStyle w:val="VerbatimChar"/>
        </w:rPr>
        <w:t xml:space="preserve">#&gt; [1] "new genes:"</w:t>
      </w:r>
      <w:r>
        <w:br w:type="textWrapping"/>
      </w:r>
      <w:r>
        <w:rPr>
          <w:rStyle w:val="VerbatimChar"/>
        </w:rPr>
        <w:t xml:space="preserve">#&gt; character(0)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transcript_ID</w:t>
            </w:r>
          </w:p>
        </w:tc>
        <w:tc>
          <w:tcPr>
            <w:tcBorders>
              <w:bottom w:val="single"/>
            </w:tcBorders>
            <w:vAlign w:val="bottom"/>
          </w:tcPr>
          <w:p>
            <w:pPr>
              <w:pStyle w:val="Compact"/>
              <w:jc w:val="left"/>
            </w:pPr>
            <w:r>
              <w:t xml:space="preserve">tair_symbol</w:t>
            </w:r>
          </w:p>
        </w:tc>
        <w:tc>
          <w:tcPr>
            <w:tcBorders>
              <w:bottom w:val="single"/>
            </w:tcBorders>
            <w:vAlign w:val="bottom"/>
          </w:tcPr>
          <w:p>
            <w:pPr>
              <w:pStyle w:val="Compact"/>
              <w:jc w:val="right"/>
            </w:pPr>
            <w:r>
              <w:t xml:space="preserve">Pi_non_syn</w:t>
            </w:r>
          </w:p>
        </w:tc>
        <w:tc>
          <w:tcPr>
            <w:tcBorders>
              <w:bottom w:val="single"/>
            </w:tcBorders>
            <w:vAlign w:val="bottom"/>
          </w:tcPr>
          <w:p>
            <w:pPr>
              <w:pStyle w:val="Compact"/>
              <w:jc w:val="right"/>
            </w:pPr>
            <w:r>
              <w:t xml:space="preserve">Pi_syn</w:t>
            </w:r>
          </w:p>
        </w:tc>
        <w:tc>
          <w:tcPr>
            <w:tcBorders>
              <w:bottom w:val="single"/>
            </w:tcBorders>
            <w:vAlign w:val="bottom"/>
          </w:tcPr>
          <w:p>
            <w:pPr>
              <w:pStyle w:val="Compact"/>
              <w:jc w:val="right"/>
            </w:pPr>
            <w:r>
              <w:t xml:space="preserve">Pi_NS_Ratio</w:t>
            </w:r>
          </w:p>
        </w:tc>
        <w:tc>
          <w:tcPr>
            <w:tcBorders>
              <w:bottom w:val="single"/>
            </w:tcBorders>
            <w:vAlign w:val="bottom"/>
          </w:tcPr>
          <w:p>
            <w:pPr>
              <w:pStyle w:val="Compact"/>
              <w:jc w:val="right"/>
            </w:pPr>
            <w:r>
              <w:t xml:space="preserve">Pi_coding</w:t>
            </w:r>
          </w:p>
        </w:tc>
        <w:tc>
          <w:tcPr>
            <w:tcBorders>
              <w:bottom w:val="single"/>
            </w:tcBorders>
            <w:vAlign w:val="bottom"/>
          </w:tcPr>
          <w:p>
            <w:pPr>
              <w:pStyle w:val="Compact"/>
              <w:jc w:val="right"/>
            </w:pPr>
            <w:r>
              <w:t xml:space="preserve">Pi_transcript</w:t>
            </w:r>
          </w:p>
        </w:tc>
      </w:tr>
      <w:tr>
        <w:tc>
          <w:p>
            <w:pPr>
              <w:pStyle w:val="Compact"/>
              <w:jc w:val="left"/>
            </w:pPr>
            <w:r>
              <w:t xml:space="preserve">22</w:t>
            </w:r>
          </w:p>
        </w:tc>
        <w:tc>
          <w:p>
            <w:pPr>
              <w:pStyle w:val="Compact"/>
              <w:jc w:val="left"/>
            </w:pPr>
            <w:r>
              <w:t xml:space="preserve">AT4G14560.1</w:t>
            </w:r>
          </w:p>
        </w:tc>
        <w:tc>
          <w:p>
            <w:pPr>
              <w:pStyle w:val="Compact"/>
              <w:jc w:val="left"/>
            </w:pPr>
            <w:r>
              <w:t xml:space="preserve">IAA1</w:t>
            </w:r>
          </w:p>
        </w:tc>
        <w:tc>
          <w:p>
            <w:pPr>
              <w:pStyle w:val="Compact"/>
              <w:jc w:val="right"/>
            </w:pPr>
            <w:r>
              <w:t xml:space="preserve">0.0009780</w:t>
            </w:r>
          </w:p>
        </w:tc>
        <w:tc>
          <w:p>
            <w:pPr>
              <w:pStyle w:val="Compact"/>
              <w:jc w:val="right"/>
            </w:pPr>
            <w:r>
              <w:t xml:space="preserve">0.0001767</w:t>
            </w:r>
          </w:p>
        </w:tc>
        <w:tc>
          <w:p>
            <w:pPr>
              <w:pStyle w:val="Compact"/>
              <w:jc w:val="right"/>
            </w:pPr>
            <w:r>
              <w:t xml:space="preserve">5.5362351</w:t>
            </w:r>
          </w:p>
        </w:tc>
        <w:tc>
          <w:p>
            <w:pPr>
              <w:pStyle w:val="Compact"/>
              <w:jc w:val="right"/>
            </w:pPr>
            <w:r>
              <w:t xml:space="preserve">0.0011547</w:t>
            </w:r>
          </w:p>
        </w:tc>
        <w:tc>
          <w:p>
            <w:pPr>
              <w:pStyle w:val="Compact"/>
              <w:jc w:val="right"/>
            </w:pPr>
            <w:r>
              <w:t xml:space="preserve">0.0046573</w:t>
            </w:r>
          </w:p>
        </w:tc>
      </w:tr>
      <w:tr>
        <w:tc>
          <w:p>
            <w:pPr>
              <w:pStyle w:val="Compact"/>
              <w:jc w:val="left"/>
            </w:pPr>
            <w:r>
              <w:t xml:space="preserve">18</w:t>
            </w:r>
          </w:p>
        </w:tc>
        <w:tc>
          <w:p>
            <w:pPr>
              <w:pStyle w:val="Compact"/>
              <w:jc w:val="left"/>
            </w:pPr>
            <w:r>
              <w:t xml:space="preserve">AT3G23030.1</w:t>
            </w:r>
          </w:p>
        </w:tc>
        <w:tc>
          <w:p>
            <w:pPr>
              <w:pStyle w:val="Compact"/>
              <w:jc w:val="left"/>
            </w:pPr>
            <w:r>
              <w:t xml:space="preserve">IAA2</w:t>
            </w:r>
          </w:p>
        </w:tc>
        <w:tc>
          <w:p>
            <w:pPr>
              <w:pStyle w:val="Compact"/>
              <w:jc w:val="right"/>
            </w:pPr>
            <w:r>
              <w:t xml:space="preserve">0.0014169</w:t>
            </w:r>
          </w:p>
        </w:tc>
        <w:tc>
          <w:p>
            <w:pPr>
              <w:pStyle w:val="Compact"/>
              <w:jc w:val="right"/>
            </w:pPr>
            <w:r>
              <w:t xml:space="preserve">0.0044385</w:t>
            </w:r>
          </w:p>
        </w:tc>
        <w:tc>
          <w:p>
            <w:pPr>
              <w:pStyle w:val="Compact"/>
              <w:jc w:val="right"/>
            </w:pPr>
            <w:r>
              <w:t xml:space="preserve">0.3192218</w:t>
            </w:r>
          </w:p>
        </w:tc>
        <w:tc>
          <w:p>
            <w:pPr>
              <w:pStyle w:val="Compact"/>
              <w:jc w:val="right"/>
            </w:pPr>
            <w:r>
              <w:t xml:space="preserve">0.0058554</w:t>
            </w:r>
          </w:p>
        </w:tc>
        <w:tc>
          <w:p>
            <w:pPr>
              <w:pStyle w:val="Compact"/>
              <w:jc w:val="right"/>
            </w:pPr>
            <w:r>
              <w:t xml:space="preserve">0.0099218</w:t>
            </w:r>
          </w:p>
        </w:tc>
      </w:tr>
      <w:tr>
        <w:tc>
          <w:p>
            <w:pPr>
              <w:pStyle w:val="Compact"/>
              <w:jc w:val="left"/>
            </w:pPr>
            <w:r>
              <w:t xml:space="preserve">2</w:t>
            </w:r>
          </w:p>
        </w:tc>
        <w:tc>
          <w:p>
            <w:pPr>
              <w:pStyle w:val="Compact"/>
              <w:jc w:val="left"/>
            </w:pPr>
            <w:r>
              <w:t xml:space="preserve">AT1G04240.1</w:t>
            </w:r>
          </w:p>
        </w:tc>
        <w:tc>
          <w:p>
            <w:pPr>
              <w:pStyle w:val="Compact"/>
              <w:jc w:val="left"/>
            </w:pPr>
            <w:r>
              <w:t xml:space="preserve">IAA3</w:t>
            </w:r>
          </w:p>
        </w:tc>
        <w:tc>
          <w:p>
            <w:pPr>
              <w:pStyle w:val="Compact"/>
              <w:jc w:val="right"/>
            </w:pPr>
            <w:r>
              <w:t xml:space="preserve">0.0010998</w:t>
            </w:r>
          </w:p>
        </w:tc>
        <w:tc>
          <w:p>
            <w:pPr>
              <w:pStyle w:val="Compact"/>
              <w:jc w:val="right"/>
            </w:pPr>
            <w:r>
              <w:t xml:space="preserve">0.0004480</w:t>
            </w:r>
          </w:p>
        </w:tc>
        <w:tc>
          <w:p>
            <w:pPr>
              <w:pStyle w:val="Compact"/>
              <w:jc w:val="right"/>
            </w:pPr>
            <w:r>
              <w:t xml:space="preserve">2.4548590</w:t>
            </w:r>
          </w:p>
        </w:tc>
        <w:tc>
          <w:p>
            <w:pPr>
              <w:pStyle w:val="Compact"/>
              <w:jc w:val="right"/>
            </w:pPr>
            <w:r>
              <w:t xml:space="preserve">0.0015478</w:t>
            </w:r>
          </w:p>
        </w:tc>
        <w:tc>
          <w:p>
            <w:pPr>
              <w:pStyle w:val="Compact"/>
              <w:jc w:val="right"/>
            </w:pPr>
            <w:r>
              <w:t xml:space="preserve">0.0029756</w:t>
            </w:r>
          </w:p>
        </w:tc>
      </w:tr>
      <w:tr>
        <w:tc>
          <w:p>
            <w:pPr>
              <w:pStyle w:val="Compact"/>
              <w:jc w:val="left"/>
            </w:pPr>
            <w:r>
              <w:t xml:space="preserve">27</w:t>
            </w:r>
          </w:p>
        </w:tc>
        <w:tc>
          <w:p>
            <w:pPr>
              <w:pStyle w:val="Compact"/>
              <w:jc w:val="left"/>
            </w:pPr>
            <w:r>
              <w:t xml:space="preserve">AT5G43700.1</w:t>
            </w:r>
          </w:p>
        </w:tc>
        <w:tc>
          <w:p>
            <w:pPr>
              <w:pStyle w:val="Compact"/>
              <w:jc w:val="left"/>
            </w:pPr>
            <w:r>
              <w:t xml:space="preserve">IAA4</w:t>
            </w:r>
          </w:p>
        </w:tc>
        <w:tc>
          <w:p>
            <w:pPr>
              <w:pStyle w:val="Compact"/>
              <w:jc w:val="right"/>
            </w:pPr>
            <w:r>
              <w:t xml:space="preserve">0.0032561</w:t>
            </w:r>
          </w:p>
        </w:tc>
        <w:tc>
          <w:p>
            <w:pPr>
              <w:pStyle w:val="Compact"/>
              <w:jc w:val="right"/>
            </w:pPr>
            <w:r>
              <w:t xml:space="preserve">0.0031912</w:t>
            </w:r>
          </w:p>
        </w:tc>
        <w:tc>
          <w:p>
            <w:pPr>
              <w:pStyle w:val="Compact"/>
              <w:jc w:val="right"/>
            </w:pPr>
            <w:r>
              <w:t xml:space="preserve">1.0203537</w:t>
            </w:r>
          </w:p>
        </w:tc>
        <w:tc>
          <w:p>
            <w:pPr>
              <w:pStyle w:val="Compact"/>
              <w:jc w:val="right"/>
            </w:pPr>
            <w:r>
              <w:t xml:space="preserve">0.0064473</w:t>
            </w:r>
          </w:p>
        </w:tc>
        <w:tc>
          <w:p>
            <w:pPr>
              <w:pStyle w:val="Compact"/>
              <w:jc w:val="right"/>
            </w:pPr>
            <w:r>
              <w:t xml:space="preserve">0.0162985</w:t>
            </w:r>
          </w:p>
        </w:tc>
      </w:tr>
      <w:tr>
        <w:tc>
          <w:p>
            <w:pPr>
              <w:pStyle w:val="Compact"/>
              <w:jc w:val="left"/>
            </w:pPr>
            <w:r>
              <w:t xml:space="preserve">6</w:t>
            </w:r>
          </w:p>
        </w:tc>
        <w:tc>
          <w:p>
            <w:pPr>
              <w:pStyle w:val="Compact"/>
              <w:jc w:val="left"/>
            </w:pPr>
            <w:r>
              <w:t xml:space="preserve">AT1G15580.1</w:t>
            </w:r>
          </w:p>
        </w:tc>
        <w:tc>
          <w:p>
            <w:pPr>
              <w:pStyle w:val="Compact"/>
              <w:jc w:val="left"/>
            </w:pPr>
            <w:r>
              <w:t xml:space="preserve">IAA5</w:t>
            </w:r>
          </w:p>
        </w:tc>
        <w:tc>
          <w:p>
            <w:pPr>
              <w:pStyle w:val="Compact"/>
              <w:jc w:val="right"/>
            </w:pPr>
            <w:r>
              <w:t xml:space="preserve">0.0005073</w:t>
            </w:r>
          </w:p>
        </w:tc>
        <w:tc>
          <w:p>
            <w:pPr>
              <w:pStyle w:val="Compact"/>
              <w:jc w:val="right"/>
            </w:pPr>
            <w:r>
              <w:t xml:space="preserve">0.0020145</w:t>
            </w:r>
          </w:p>
        </w:tc>
        <w:tc>
          <w:p>
            <w:pPr>
              <w:pStyle w:val="Compact"/>
              <w:jc w:val="right"/>
            </w:pPr>
            <w:r>
              <w:t xml:space="preserve">0.2518279</w:t>
            </w:r>
          </w:p>
        </w:tc>
        <w:tc>
          <w:p>
            <w:pPr>
              <w:pStyle w:val="Compact"/>
              <w:jc w:val="right"/>
            </w:pPr>
            <w:r>
              <w:t xml:space="preserve">0.0025218</w:t>
            </w:r>
          </w:p>
        </w:tc>
        <w:tc>
          <w:p>
            <w:pPr>
              <w:pStyle w:val="Compact"/>
              <w:jc w:val="right"/>
            </w:pPr>
            <w:r>
              <w:t xml:space="preserve">0.0038507</w:t>
            </w:r>
          </w:p>
        </w:tc>
      </w:tr>
      <w:tr>
        <w:tc>
          <w:p>
            <w:pPr>
              <w:pStyle w:val="Compact"/>
              <w:jc w:val="left"/>
            </w:pPr>
            <w:r>
              <w:t xml:space="preserve">8</w:t>
            </w:r>
          </w:p>
        </w:tc>
        <w:tc>
          <w:p>
            <w:pPr>
              <w:pStyle w:val="Compact"/>
              <w:jc w:val="left"/>
            </w:pPr>
            <w:r>
              <w:t xml:space="preserve">AT1G52830.1</w:t>
            </w:r>
          </w:p>
        </w:tc>
        <w:tc>
          <w:p>
            <w:pPr>
              <w:pStyle w:val="Compact"/>
              <w:jc w:val="left"/>
            </w:pPr>
            <w:r>
              <w:t xml:space="preserve">IAA6</w:t>
            </w:r>
          </w:p>
        </w:tc>
        <w:tc>
          <w:p>
            <w:pPr>
              <w:pStyle w:val="Compact"/>
              <w:jc w:val="right"/>
            </w:pPr>
            <w:r>
              <w:t xml:space="preserve">0.0026281</w:t>
            </w:r>
          </w:p>
        </w:tc>
        <w:tc>
          <w:p>
            <w:pPr>
              <w:pStyle w:val="Compact"/>
              <w:jc w:val="right"/>
            </w:pPr>
            <w:r>
              <w:t xml:space="preserve">0.0011744</w:t>
            </w:r>
          </w:p>
        </w:tc>
        <w:tc>
          <w:p>
            <w:pPr>
              <w:pStyle w:val="Compact"/>
              <w:jc w:val="right"/>
            </w:pPr>
            <w:r>
              <w:t xml:space="preserve">2.2379097</w:t>
            </w:r>
          </w:p>
        </w:tc>
        <w:tc>
          <w:p>
            <w:pPr>
              <w:pStyle w:val="Compact"/>
              <w:jc w:val="right"/>
            </w:pPr>
            <w:r>
              <w:t xml:space="preserve">0.0037731</w:t>
            </w:r>
          </w:p>
        </w:tc>
        <w:tc>
          <w:p>
            <w:pPr>
              <w:pStyle w:val="Compact"/>
              <w:jc w:val="right"/>
            </w:pPr>
            <w:r>
              <w:t xml:space="preserve">0.0060295</w:t>
            </w:r>
          </w:p>
        </w:tc>
      </w:tr>
      <w:tr>
        <w:tc>
          <w:p>
            <w:pPr>
              <w:pStyle w:val="Compact"/>
              <w:jc w:val="left"/>
            </w:pPr>
            <w:r>
              <w:t xml:space="preserve">19</w:t>
            </w:r>
          </w:p>
        </w:tc>
        <w:tc>
          <w:p>
            <w:pPr>
              <w:pStyle w:val="Compact"/>
              <w:jc w:val="left"/>
            </w:pPr>
            <w:r>
              <w:t xml:space="preserve">AT3G23050.1</w:t>
            </w:r>
          </w:p>
        </w:tc>
        <w:tc>
          <w:p>
            <w:pPr>
              <w:pStyle w:val="Compact"/>
              <w:jc w:val="left"/>
            </w:pPr>
            <w:r>
              <w:t xml:space="preserve">IAA7</w:t>
            </w:r>
          </w:p>
        </w:tc>
        <w:tc>
          <w:p>
            <w:pPr>
              <w:pStyle w:val="Compact"/>
              <w:jc w:val="right"/>
            </w:pPr>
            <w:r>
              <w:t xml:space="preserve">0.0013970</w:t>
            </w:r>
          </w:p>
        </w:tc>
        <w:tc>
          <w:p>
            <w:pPr>
              <w:pStyle w:val="Compact"/>
              <w:jc w:val="right"/>
            </w:pPr>
            <w:r>
              <w:t xml:space="preserve">0.0026000</w:t>
            </w:r>
          </w:p>
        </w:tc>
        <w:tc>
          <w:p>
            <w:pPr>
              <w:pStyle w:val="Compact"/>
              <w:jc w:val="right"/>
            </w:pPr>
            <w:r>
              <w:t xml:space="preserve">0.5373104</w:t>
            </w:r>
          </w:p>
        </w:tc>
        <w:tc>
          <w:p>
            <w:pPr>
              <w:pStyle w:val="Compact"/>
              <w:jc w:val="right"/>
            </w:pPr>
            <w:r>
              <w:t xml:space="preserve">0.0039970</w:t>
            </w:r>
          </w:p>
        </w:tc>
        <w:tc>
          <w:p>
            <w:pPr>
              <w:pStyle w:val="Compact"/>
              <w:jc w:val="right"/>
            </w:pPr>
            <w:r>
              <w:t xml:space="preserve">0.0058084</w:t>
            </w:r>
          </w:p>
        </w:tc>
      </w:tr>
      <w:tr>
        <w:tc>
          <w:p>
            <w:pPr>
              <w:pStyle w:val="Compact"/>
              <w:jc w:val="left"/>
            </w:pPr>
            <w:r>
              <w:t xml:space="preserve">11</w:t>
            </w:r>
          </w:p>
        </w:tc>
        <w:tc>
          <w:p>
            <w:pPr>
              <w:pStyle w:val="Compact"/>
              <w:jc w:val="left"/>
            </w:pPr>
            <w:r>
              <w:t xml:space="preserve">AT2G22670.1</w:t>
            </w:r>
          </w:p>
        </w:tc>
        <w:tc>
          <w:p>
            <w:pPr>
              <w:pStyle w:val="Compact"/>
              <w:jc w:val="left"/>
            </w:pPr>
            <w:r>
              <w:t xml:space="preserve">IAA8</w:t>
            </w:r>
          </w:p>
        </w:tc>
        <w:tc>
          <w:p>
            <w:pPr>
              <w:pStyle w:val="Compact"/>
              <w:jc w:val="right"/>
            </w:pPr>
            <w:r>
              <w:t xml:space="preserve">0.0011169</w:t>
            </w:r>
          </w:p>
        </w:tc>
        <w:tc>
          <w:p>
            <w:pPr>
              <w:pStyle w:val="Compact"/>
              <w:jc w:val="right"/>
            </w:pPr>
            <w:r>
              <w:t xml:space="preserve">0.0014635</w:t>
            </w:r>
          </w:p>
        </w:tc>
        <w:tc>
          <w:p>
            <w:pPr>
              <w:pStyle w:val="Compact"/>
              <w:jc w:val="right"/>
            </w:pPr>
            <w:r>
              <w:t xml:space="preserve">0.7631611</w:t>
            </w:r>
          </w:p>
        </w:tc>
        <w:tc>
          <w:p>
            <w:pPr>
              <w:pStyle w:val="Compact"/>
              <w:jc w:val="right"/>
            </w:pPr>
            <w:r>
              <w:t xml:space="preserve">0.0025805</w:t>
            </w:r>
          </w:p>
        </w:tc>
        <w:tc>
          <w:p>
            <w:pPr>
              <w:pStyle w:val="Compact"/>
              <w:jc w:val="right"/>
            </w:pPr>
            <w:r>
              <w:t xml:space="preserve">0.0066460</w:t>
            </w:r>
          </w:p>
        </w:tc>
      </w:tr>
      <w:tr>
        <w:tc>
          <w:p>
            <w:pPr>
              <w:pStyle w:val="Compact"/>
              <w:jc w:val="left"/>
            </w:pPr>
            <w:r>
              <w:t xml:space="preserve">29</w:t>
            </w:r>
          </w:p>
        </w:tc>
        <w:tc>
          <w:p>
            <w:pPr>
              <w:pStyle w:val="Compact"/>
              <w:jc w:val="left"/>
            </w:pPr>
            <w:r>
              <w:t xml:space="preserve">AT5G65670.1</w:t>
            </w:r>
          </w:p>
        </w:tc>
        <w:tc>
          <w:p>
            <w:pPr>
              <w:pStyle w:val="Compact"/>
              <w:jc w:val="left"/>
            </w:pPr>
            <w:r>
              <w:t xml:space="preserve">IAA9</w:t>
            </w:r>
          </w:p>
        </w:tc>
        <w:tc>
          <w:p>
            <w:pPr>
              <w:pStyle w:val="Compact"/>
              <w:jc w:val="right"/>
            </w:pPr>
            <w:r>
              <w:t xml:space="preserve">0.0008058</w:t>
            </w:r>
          </w:p>
        </w:tc>
        <w:tc>
          <w:p>
            <w:pPr>
              <w:pStyle w:val="Compact"/>
              <w:jc w:val="right"/>
            </w:pPr>
            <w:r>
              <w:t xml:space="preserve">0.0008839</w:t>
            </w:r>
          </w:p>
        </w:tc>
        <w:tc>
          <w:p>
            <w:pPr>
              <w:pStyle w:val="Compact"/>
              <w:jc w:val="right"/>
            </w:pPr>
            <w:r>
              <w:t xml:space="preserve">0.9116481</w:t>
            </w:r>
          </w:p>
        </w:tc>
        <w:tc>
          <w:p>
            <w:pPr>
              <w:pStyle w:val="Compact"/>
              <w:jc w:val="right"/>
            </w:pPr>
            <w:r>
              <w:t xml:space="preserve">0.0016896</w:t>
            </w:r>
          </w:p>
        </w:tc>
        <w:tc>
          <w:p>
            <w:pPr>
              <w:pStyle w:val="Compact"/>
              <w:jc w:val="right"/>
            </w:pPr>
            <w:r>
              <w:t xml:space="preserve">0.0059209</w:t>
            </w:r>
          </w:p>
        </w:tc>
      </w:tr>
      <w:tr>
        <w:tc>
          <w:p>
            <w:pPr>
              <w:pStyle w:val="Compact"/>
              <w:jc w:val="left"/>
            </w:pPr>
            <w:r>
              <w:t xml:space="preserve">1</w:t>
            </w:r>
          </w:p>
        </w:tc>
        <w:tc>
          <w:p>
            <w:pPr>
              <w:pStyle w:val="Compact"/>
              <w:jc w:val="left"/>
            </w:pPr>
            <w:r>
              <w:t xml:space="preserve">AT1G04100.1</w:t>
            </w:r>
          </w:p>
        </w:tc>
        <w:tc>
          <w:p>
            <w:pPr>
              <w:pStyle w:val="Compact"/>
              <w:jc w:val="left"/>
            </w:pPr>
            <w:r>
              <w:t xml:space="preserve">IAA10</w:t>
            </w:r>
          </w:p>
        </w:tc>
        <w:tc>
          <w:p>
            <w:pPr>
              <w:pStyle w:val="Compact"/>
              <w:jc w:val="right"/>
            </w:pPr>
            <w:r>
              <w:t xml:space="preserve">0.0004919</w:t>
            </w:r>
          </w:p>
        </w:tc>
        <w:tc>
          <w:p>
            <w:pPr>
              <w:pStyle w:val="Compact"/>
              <w:jc w:val="right"/>
            </w:pPr>
            <w:r>
              <w:t xml:space="preserve">0.0007381</w:t>
            </w:r>
          </w:p>
        </w:tc>
        <w:tc>
          <w:p>
            <w:pPr>
              <w:pStyle w:val="Compact"/>
              <w:jc w:val="right"/>
            </w:pPr>
            <w:r>
              <w:t xml:space="preserve">0.6664307</w:t>
            </w:r>
          </w:p>
        </w:tc>
        <w:tc>
          <w:p>
            <w:pPr>
              <w:pStyle w:val="Compact"/>
              <w:jc w:val="right"/>
            </w:pPr>
            <w:r>
              <w:t xml:space="preserve">0.0012277</w:t>
            </w:r>
          </w:p>
        </w:tc>
        <w:tc>
          <w:p>
            <w:pPr>
              <w:pStyle w:val="Compact"/>
              <w:jc w:val="right"/>
            </w:pPr>
            <w:r>
              <w:t xml:space="preserve">0.0015522</w:t>
            </w:r>
          </w:p>
        </w:tc>
      </w:tr>
      <w:tr>
        <w:tc>
          <w:p>
            <w:pPr>
              <w:pStyle w:val="Compact"/>
              <w:jc w:val="left"/>
            </w:pPr>
            <w:r>
              <w:t xml:space="preserve">23</w:t>
            </w:r>
          </w:p>
        </w:tc>
        <w:tc>
          <w:p>
            <w:pPr>
              <w:pStyle w:val="Compact"/>
              <w:jc w:val="left"/>
            </w:pPr>
            <w:r>
              <w:t xml:space="preserve">AT4G28640.1</w:t>
            </w:r>
          </w:p>
        </w:tc>
        <w:tc>
          <w:p>
            <w:pPr>
              <w:pStyle w:val="Compact"/>
              <w:jc w:val="left"/>
            </w:pPr>
            <w:r>
              <w:t xml:space="preserve">IAA11</w:t>
            </w:r>
          </w:p>
        </w:tc>
        <w:tc>
          <w:p>
            <w:pPr>
              <w:pStyle w:val="Compact"/>
              <w:jc w:val="right"/>
            </w:pPr>
            <w:r>
              <w:t xml:space="preserve">0.0005417</w:t>
            </w:r>
          </w:p>
        </w:tc>
        <w:tc>
          <w:p>
            <w:pPr>
              <w:pStyle w:val="Compact"/>
              <w:jc w:val="right"/>
            </w:pPr>
            <w:r>
              <w:t xml:space="preserve">0.0006757</w:t>
            </w:r>
          </w:p>
        </w:tc>
        <w:tc>
          <w:p>
            <w:pPr>
              <w:pStyle w:val="Compact"/>
              <w:jc w:val="right"/>
            </w:pPr>
            <w:r>
              <w:t xml:space="preserve">0.8017605</w:t>
            </w:r>
          </w:p>
        </w:tc>
        <w:tc>
          <w:p>
            <w:pPr>
              <w:pStyle w:val="Compact"/>
              <w:jc w:val="right"/>
            </w:pPr>
            <w:r>
              <w:t xml:space="preserve">0.0012174</w:t>
            </w:r>
          </w:p>
        </w:tc>
        <w:tc>
          <w:p>
            <w:pPr>
              <w:pStyle w:val="Compact"/>
              <w:jc w:val="right"/>
            </w:pPr>
            <w:r>
              <w:t xml:space="preserve">0.0021788</w:t>
            </w:r>
          </w:p>
        </w:tc>
      </w:tr>
      <w:tr>
        <w:tc>
          <w:p>
            <w:pPr>
              <w:pStyle w:val="Compact"/>
              <w:jc w:val="left"/>
            </w:pPr>
            <w:r>
              <w:t xml:space="preserve">4</w:t>
            </w:r>
          </w:p>
        </w:tc>
        <w:tc>
          <w:p>
            <w:pPr>
              <w:pStyle w:val="Compact"/>
              <w:jc w:val="left"/>
            </w:pPr>
            <w:r>
              <w:t xml:space="preserve">AT1G04550.1</w:t>
            </w:r>
          </w:p>
        </w:tc>
        <w:tc>
          <w:p>
            <w:pPr>
              <w:pStyle w:val="Compact"/>
              <w:jc w:val="left"/>
            </w:pPr>
            <w:r>
              <w:t xml:space="preserve">IAA12</w:t>
            </w:r>
          </w:p>
        </w:tc>
        <w:tc>
          <w:p>
            <w:pPr>
              <w:pStyle w:val="Compact"/>
              <w:jc w:val="right"/>
            </w:pPr>
            <w:r>
              <w:t xml:space="preserve">0.0012202</w:t>
            </w:r>
          </w:p>
        </w:tc>
        <w:tc>
          <w:p>
            <w:pPr>
              <w:pStyle w:val="Compact"/>
              <w:jc w:val="right"/>
            </w:pPr>
            <w:r>
              <w:t xml:space="preserve">0.0005767</w:t>
            </w:r>
          </w:p>
        </w:tc>
        <w:tc>
          <w:p>
            <w:pPr>
              <w:pStyle w:val="Compact"/>
              <w:jc w:val="right"/>
            </w:pPr>
            <w:r>
              <w:t xml:space="preserve">2.1157879</w:t>
            </w:r>
          </w:p>
        </w:tc>
        <w:tc>
          <w:p>
            <w:pPr>
              <w:pStyle w:val="Compact"/>
              <w:jc w:val="right"/>
            </w:pPr>
            <w:r>
              <w:t xml:space="preserve">0.0017969</w:t>
            </w:r>
          </w:p>
        </w:tc>
        <w:tc>
          <w:p>
            <w:pPr>
              <w:pStyle w:val="Compact"/>
              <w:jc w:val="right"/>
            </w:pPr>
            <w:r>
              <w:t xml:space="preserve">0.0034247</w:t>
            </w:r>
          </w:p>
        </w:tc>
      </w:tr>
      <w:tr>
        <w:tc>
          <w:p>
            <w:pPr>
              <w:pStyle w:val="Compact"/>
              <w:jc w:val="left"/>
            </w:pPr>
            <w:r>
              <w:t xml:space="preserve">12</w:t>
            </w:r>
          </w:p>
        </w:tc>
        <w:tc>
          <w:p>
            <w:pPr>
              <w:pStyle w:val="Compact"/>
              <w:jc w:val="left"/>
            </w:pPr>
            <w:r>
              <w:t xml:space="preserve">AT2G33310.1</w:t>
            </w:r>
          </w:p>
        </w:tc>
        <w:tc>
          <w:p>
            <w:pPr>
              <w:pStyle w:val="Compact"/>
              <w:jc w:val="left"/>
            </w:pPr>
            <w:r>
              <w:t xml:space="preserve">IAA13</w:t>
            </w:r>
          </w:p>
        </w:tc>
        <w:tc>
          <w:p>
            <w:pPr>
              <w:pStyle w:val="Compact"/>
              <w:jc w:val="right"/>
            </w:pPr>
            <w:r>
              <w:t xml:space="preserve">0.0001873</w:t>
            </w:r>
          </w:p>
        </w:tc>
        <w:tc>
          <w:p>
            <w:pPr>
              <w:pStyle w:val="Compact"/>
              <w:jc w:val="right"/>
            </w:pPr>
            <w:r>
              <w:t xml:space="preserve">0.0006675</w:t>
            </w:r>
          </w:p>
        </w:tc>
        <w:tc>
          <w:p>
            <w:pPr>
              <w:pStyle w:val="Compact"/>
              <w:jc w:val="right"/>
            </w:pPr>
            <w:r>
              <w:t xml:space="preserve">0.2806617</w:t>
            </w:r>
          </w:p>
        </w:tc>
        <w:tc>
          <w:p>
            <w:pPr>
              <w:pStyle w:val="Compact"/>
              <w:jc w:val="right"/>
            </w:pPr>
            <w:r>
              <w:t xml:space="preserve">0.0008548</w:t>
            </w:r>
          </w:p>
        </w:tc>
        <w:tc>
          <w:p>
            <w:pPr>
              <w:pStyle w:val="Compact"/>
              <w:jc w:val="right"/>
            </w:pPr>
            <w:r>
              <w:t xml:space="preserve">0.0032696</w:t>
            </w:r>
          </w:p>
        </w:tc>
      </w:tr>
      <w:tr>
        <w:tc>
          <w:p>
            <w:pPr>
              <w:pStyle w:val="Compact"/>
              <w:jc w:val="left"/>
            </w:pPr>
            <w:r>
              <w:t xml:space="preserve">21</w:t>
            </w:r>
          </w:p>
        </w:tc>
        <w:tc>
          <w:p>
            <w:pPr>
              <w:pStyle w:val="Compact"/>
              <w:jc w:val="left"/>
            </w:pPr>
            <w:r>
              <w:t xml:space="preserve">AT4G14550.1</w:t>
            </w:r>
          </w:p>
        </w:tc>
        <w:tc>
          <w:p>
            <w:pPr>
              <w:pStyle w:val="Compact"/>
              <w:jc w:val="left"/>
            </w:pPr>
            <w:r>
              <w:t xml:space="preserve">IAA14</w:t>
            </w:r>
          </w:p>
        </w:tc>
        <w:tc>
          <w:p>
            <w:pPr>
              <w:pStyle w:val="Compact"/>
              <w:jc w:val="right"/>
            </w:pPr>
            <w:r>
              <w:t xml:space="preserve">0.0006636</w:t>
            </w:r>
          </w:p>
        </w:tc>
        <w:tc>
          <w:p>
            <w:pPr>
              <w:pStyle w:val="Compact"/>
              <w:jc w:val="right"/>
            </w:pPr>
            <w:r>
              <w:t xml:space="preserve">0.0002034</w:t>
            </w:r>
          </w:p>
        </w:tc>
        <w:tc>
          <w:p>
            <w:pPr>
              <w:pStyle w:val="Compact"/>
              <w:jc w:val="right"/>
            </w:pPr>
            <w:r>
              <w:t xml:space="preserve">3.2624668</w:t>
            </w:r>
          </w:p>
        </w:tc>
        <w:tc>
          <w:p>
            <w:pPr>
              <w:pStyle w:val="Compact"/>
              <w:jc w:val="right"/>
            </w:pPr>
            <w:r>
              <w:t xml:space="preserve">0.0008670</w:t>
            </w:r>
          </w:p>
        </w:tc>
        <w:tc>
          <w:p>
            <w:pPr>
              <w:pStyle w:val="Compact"/>
              <w:jc w:val="right"/>
            </w:pPr>
            <w:r>
              <w:t xml:space="preserve">0.0062600</w:t>
            </w:r>
          </w:p>
        </w:tc>
      </w:tr>
      <w:tr>
        <w:tc>
          <w:p>
            <w:pPr>
              <w:pStyle w:val="Compact"/>
              <w:jc w:val="left"/>
            </w:pPr>
            <w:r>
              <w:t xml:space="preserve">9</w:t>
            </w:r>
          </w:p>
        </w:tc>
        <w:tc>
          <w:p>
            <w:pPr>
              <w:pStyle w:val="Compact"/>
              <w:jc w:val="left"/>
            </w:pPr>
            <w:r>
              <w:t xml:space="preserve">AT1G80390.1</w:t>
            </w:r>
          </w:p>
        </w:tc>
        <w:tc>
          <w:p>
            <w:pPr>
              <w:pStyle w:val="Compact"/>
              <w:jc w:val="left"/>
            </w:pPr>
            <w:r>
              <w:t xml:space="preserve">IAA15</w:t>
            </w:r>
          </w:p>
        </w:tc>
        <w:tc>
          <w:p>
            <w:pPr>
              <w:pStyle w:val="Compact"/>
              <w:jc w:val="right"/>
            </w:pPr>
            <w:r>
              <w:t xml:space="preserve">0.0004124</w:t>
            </w:r>
          </w:p>
        </w:tc>
        <w:tc>
          <w:p>
            <w:pPr>
              <w:pStyle w:val="Compact"/>
              <w:jc w:val="right"/>
            </w:pPr>
            <w:r>
              <w:t xml:space="preserve">0.0015116</w:t>
            </w:r>
          </w:p>
        </w:tc>
        <w:tc>
          <w:p>
            <w:pPr>
              <w:pStyle w:val="Compact"/>
              <w:jc w:val="right"/>
            </w:pPr>
            <w:r>
              <w:t xml:space="preserve">0.2728366</w:t>
            </w:r>
          </w:p>
        </w:tc>
        <w:tc>
          <w:p>
            <w:pPr>
              <w:pStyle w:val="Compact"/>
              <w:jc w:val="right"/>
            </w:pPr>
            <w:r>
              <w:t xml:space="preserve">0.0019207</w:t>
            </w:r>
          </w:p>
        </w:tc>
        <w:tc>
          <w:p>
            <w:pPr>
              <w:pStyle w:val="Compact"/>
              <w:jc w:val="right"/>
            </w:pPr>
            <w:r>
              <w:t xml:space="preserve">0.0055105</w:t>
            </w:r>
          </w:p>
        </w:tc>
      </w:tr>
      <w:tr>
        <w:tc>
          <w:p>
            <w:pPr>
              <w:pStyle w:val="Compact"/>
              <w:jc w:val="left"/>
            </w:pPr>
            <w:r>
              <w:t xml:space="preserve">14</w:t>
            </w:r>
          </w:p>
        </w:tc>
        <w:tc>
          <w:p>
            <w:pPr>
              <w:pStyle w:val="Compact"/>
              <w:jc w:val="left"/>
            </w:pPr>
            <w:r>
              <w:t xml:space="preserve">AT3G04730.1</w:t>
            </w:r>
          </w:p>
        </w:tc>
        <w:tc>
          <w:p>
            <w:pPr>
              <w:pStyle w:val="Compact"/>
              <w:jc w:val="left"/>
            </w:pPr>
            <w:r>
              <w:t xml:space="preserve">IAA16</w:t>
            </w:r>
          </w:p>
        </w:tc>
        <w:tc>
          <w:p>
            <w:pPr>
              <w:pStyle w:val="Compact"/>
              <w:jc w:val="right"/>
            </w:pPr>
            <w:r>
              <w:t xml:space="preserve">0.0000622</w:t>
            </w:r>
          </w:p>
        </w:tc>
        <w:tc>
          <w:p>
            <w:pPr>
              <w:pStyle w:val="Compact"/>
              <w:jc w:val="right"/>
            </w:pPr>
            <w:r>
              <w:t xml:space="preserve">0.0017632</w:t>
            </w:r>
          </w:p>
        </w:tc>
        <w:tc>
          <w:p>
            <w:pPr>
              <w:pStyle w:val="Compact"/>
              <w:jc w:val="right"/>
            </w:pPr>
            <w:r>
              <w:t xml:space="preserve">0.0353022</w:t>
            </w:r>
          </w:p>
        </w:tc>
        <w:tc>
          <w:p>
            <w:pPr>
              <w:pStyle w:val="Compact"/>
              <w:jc w:val="right"/>
            </w:pPr>
            <w:r>
              <w:t xml:space="preserve">0.0018254</w:t>
            </w:r>
          </w:p>
        </w:tc>
        <w:tc>
          <w:p>
            <w:pPr>
              <w:pStyle w:val="Compact"/>
              <w:jc w:val="right"/>
            </w:pPr>
            <w:r>
              <w:t xml:space="preserve">0.0087302</w:t>
            </w:r>
          </w:p>
        </w:tc>
      </w:tr>
      <w:tr>
        <w:tc>
          <w:p>
            <w:pPr>
              <w:pStyle w:val="Compact"/>
              <w:jc w:val="left"/>
            </w:pPr>
            <w:r>
              <w:t xml:space="preserve">3</w:t>
            </w:r>
          </w:p>
        </w:tc>
        <w:tc>
          <w:p>
            <w:pPr>
              <w:pStyle w:val="Compact"/>
              <w:jc w:val="left"/>
            </w:pPr>
            <w:r>
              <w:t xml:space="preserve">AT1G04250.1</w:t>
            </w:r>
          </w:p>
        </w:tc>
        <w:tc>
          <w:p>
            <w:pPr>
              <w:pStyle w:val="Compact"/>
              <w:jc w:val="left"/>
            </w:pPr>
            <w:r>
              <w:t xml:space="preserve">IAA17</w:t>
            </w:r>
          </w:p>
        </w:tc>
        <w:tc>
          <w:p>
            <w:pPr>
              <w:pStyle w:val="Compact"/>
              <w:jc w:val="right"/>
            </w:pPr>
            <w:r>
              <w:t xml:space="preserve">0.0000502</w:t>
            </w:r>
          </w:p>
        </w:tc>
        <w:tc>
          <w:p>
            <w:pPr>
              <w:pStyle w:val="Compact"/>
              <w:jc w:val="right"/>
            </w:pPr>
            <w:r>
              <w:t xml:space="preserve">0.0005422</w:t>
            </w:r>
          </w:p>
        </w:tc>
        <w:tc>
          <w:p>
            <w:pPr>
              <w:pStyle w:val="Compact"/>
              <w:jc w:val="right"/>
            </w:pPr>
            <w:r>
              <w:t xml:space="preserve">0.0926491</w:t>
            </w:r>
          </w:p>
        </w:tc>
        <w:tc>
          <w:p>
            <w:pPr>
              <w:pStyle w:val="Compact"/>
              <w:jc w:val="right"/>
            </w:pPr>
            <w:r>
              <w:t xml:space="preserve">0.0005924</w:t>
            </w:r>
          </w:p>
        </w:tc>
        <w:tc>
          <w:p>
            <w:pPr>
              <w:pStyle w:val="Compact"/>
              <w:jc w:val="right"/>
            </w:pPr>
            <w:r>
              <w:t xml:space="preserve">0.0029045</w:t>
            </w:r>
          </w:p>
        </w:tc>
      </w:tr>
      <w:tr>
        <w:tc>
          <w:p>
            <w:pPr>
              <w:pStyle w:val="Compact"/>
              <w:jc w:val="left"/>
            </w:pPr>
            <w:r>
              <w:t xml:space="preserve">7</w:t>
            </w:r>
          </w:p>
        </w:tc>
        <w:tc>
          <w:p>
            <w:pPr>
              <w:pStyle w:val="Compact"/>
              <w:jc w:val="left"/>
            </w:pPr>
            <w:r>
              <w:t xml:space="preserve">AT1G51950.1</w:t>
            </w:r>
          </w:p>
        </w:tc>
        <w:tc>
          <w:p>
            <w:pPr>
              <w:pStyle w:val="Compact"/>
              <w:jc w:val="left"/>
            </w:pPr>
            <w:r>
              <w:t xml:space="preserve">IAA18</w:t>
            </w:r>
          </w:p>
        </w:tc>
        <w:tc>
          <w:p>
            <w:pPr>
              <w:pStyle w:val="Compact"/>
              <w:jc w:val="right"/>
            </w:pPr>
            <w:r>
              <w:t xml:space="preserve">0.0014673</w:t>
            </w:r>
          </w:p>
        </w:tc>
        <w:tc>
          <w:p>
            <w:pPr>
              <w:pStyle w:val="Compact"/>
              <w:jc w:val="right"/>
            </w:pPr>
            <w:r>
              <w:t xml:space="preserve">0.0012853</w:t>
            </w:r>
          </w:p>
        </w:tc>
        <w:tc>
          <w:p>
            <w:pPr>
              <w:pStyle w:val="Compact"/>
              <w:jc w:val="right"/>
            </w:pPr>
            <w:r>
              <w:t xml:space="preserve">1.1416256</w:t>
            </w:r>
          </w:p>
        </w:tc>
        <w:tc>
          <w:p>
            <w:pPr>
              <w:pStyle w:val="Compact"/>
              <w:jc w:val="right"/>
            </w:pPr>
            <w:r>
              <w:t xml:space="preserve">0.0027460</w:t>
            </w:r>
          </w:p>
        </w:tc>
        <w:tc>
          <w:p>
            <w:pPr>
              <w:pStyle w:val="Compact"/>
              <w:jc w:val="right"/>
            </w:pPr>
            <w:r>
              <w:t xml:space="preserve">0.0083006</w:t>
            </w:r>
          </w:p>
        </w:tc>
      </w:tr>
      <w:tr>
        <w:tc>
          <w:p>
            <w:pPr>
              <w:pStyle w:val="Compact"/>
              <w:jc w:val="left"/>
            </w:pPr>
            <w:r>
              <w:t xml:space="preserve">15</w:t>
            </w:r>
          </w:p>
        </w:tc>
        <w:tc>
          <w:p>
            <w:pPr>
              <w:pStyle w:val="Compact"/>
              <w:jc w:val="left"/>
            </w:pPr>
            <w:r>
              <w:t xml:space="preserve">AT3G15540.1</w:t>
            </w:r>
          </w:p>
        </w:tc>
        <w:tc>
          <w:p>
            <w:pPr>
              <w:pStyle w:val="Compact"/>
              <w:jc w:val="left"/>
            </w:pPr>
            <w:r>
              <w:t xml:space="preserve">IAA19</w:t>
            </w:r>
          </w:p>
        </w:tc>
        <w:tc>
          <w:p>
            <w:pPr>
              <w:pStyle w:val="Compact"/>
              <w:jc w:val="right"/>
            </w:pPr>
            <w:r>
              <w:t xml:space="preserve">0.0023656</w:t>
            </w:r>
          </w:p>
        </w:tc>
        <w:tc>
          <w:p>
            <w:pPr>
              <w:pStyle w:val="Compact"/>
              <w:jc w:val="right"/>
            </w:pPr>
            <w:r>
              <w:t xml:space="preserve">0.0042675</w:t>
            </w:r>
          </w:p>
        </w:tc>
        <w:tc>
          <w:p>
            <w:pPr>
              <w:pStyle w:val="Compact"/>
              <w:jc w:val="right"/>
            </w:pPr>
            <w:r>
              <w:t xml:space="preserve">0.5543224</w:t>
            </w:r>
          </w:p>
        </w:tc>
        <w:tc>
          <w:p>
            <w:pPr>
              <w:pStyle w:val="Compact"/>
              <w:jc w:val="right"/>
            </w:pPr>
            <w:r>
              <w:t xml:space="preserve">0.0066330</w:t>
            </w:r>
          </w:p>
        </w:tc>
        <w:tc>
          <w:p>
            <w:pPr>
              <w:pStyle w:val="Compact"/>
              <w:jc w:val="right"/>
            </w:pPr>
            <w:r>
              <w:t xml:space="preserve">0.0141514</w:t>
            </w:r>
          </w:p>
        </w:tc>
      </w:tr>
      <w:tr>
        <w:tc>
          <w:p>
            <w:pPr>
              <w:pStyle w:val="Compact"/>
              <w:jc w:val="left"/>
            </w:pPr>
            <w:r>
              <w:t xml:space="preserve">13</w:t>
            </w:r>
          </w:p>
        </w:tc>
        <w:tc>
          <w:p>
            <w:pPr>
              <w:pStyle w:val="Compact"/>
              <w:jc w:val="left"/>
            </w:pPr>
            <w:r>
              <w:t xml:space="preserve">AT2G46990.1</w:t>
            </w:r>
          </w:p>
        </w:tc>
        <w:tc>
          <w:p>
            <w:pPr>
              <w:pStyle w:val="Compact"/>
              <w:jc w:val="left"/>
            </w:pPr>
            <w:r>
              <w:t xml:space="preserve">IAA20</w:t>
            </w:r>
          </w:p>
        </w:tc>
        <w:tc>
          <w:p>
            <w:pPr>
              <w:pStyle w:val="Compact"/>
              <w:jc w:val="right"/>
            </w:pPr>
            <w:r>
              <w:t xml:space="preserve">0.0003983</w:t>
            </w:r>
          </w:p>
        </w:tc>
        <w:tc>
          <w:p>
            <w:pPr>
              <w:pStyle w:val="Compact"/>
              <w:jc w:val="right"/>
            </w:pPr>
            <w:r>
              <w:t xml:space="preserve">0.0013118</w:t>
            </w:r>
          </w:p>
        </w:tc>
        <w:tc>
          <w:p>
            <w:pPr>
              <w:pStyle w:val="Compact"/>
              <w:jc w:val="right"/>
            </w:pPr>
            <w:r>
              <w:t xml:space="preserve">0.3036532</w:t>
            </w:r>
          </w:p>
        </w:tc>
        <w:tc>
          <w:p>
            <w:pPr>
              <w:pStyle w:val="Compact"/>
              <w:jc w:val="right"/>
            </w:pPr>
            <w:r>
              <w:t xml:space="preserve">0.0017102</w:t>
            </w:r>
          </w:p>
        </w:tc>
        <w:tc>
          <w:p>
            <w:pPr>
              <w:pStyle w:val="Compact"/>
              <w:jc w:val="right"/>
            </w:pPr>
            <w:r>
              <w:t xml:space="preserve">0.0068619</w:t>
            </w:r>
          </w:p>
        </w:tc>
      </w:tr>
      <w:tr>
        <w:tc>
          <w:p>
            <w:pPr>
              <w:pStyle w:val="Compact"/>
              <w:jc w:val="left"/>
            </w:pPr>
            <w:r>
              <w:t xml:space="preserve">16</w:t>
            </w:r>
          </w:p>
        </w:tc>
        <w:tc>
          <w:p>
            <w:pPr>
              <w:pStyle w:val="Compact"/>
              <w:jc w:val="left"/>
            </w:pPr>
            <w:r>
              <w:t xml:space="preserve">AT3G16500.1</w:t>
            </w:r>
          </w:p>
        </w:tc>
        <w:tc>
          <w:p>
            <w:pPr>
              <w:pStyle w:val="Compact"/>
              <w:jc w:val="left"/>
            </w:pPr>
            <w:r>
              <w:t xml:space="preserve">IAA26</w:t>
            </w:r>
          </w:p>
        </w:tc>
        <w:tc>
          <w:p>
            <w:pPr>
              <w:pStyle w:val="Compact"/>
              <w:jc w:val="right"/>
            </w:pPr>
            <w:r>
              <w:t xml:space="preserve">0.0004433</w:t>
            </w:r>
          </w:p>
        </w:tc>
        <w:tc>
          <w:p>
            <w:pPr>
              <w:pStyle w:val="Compact"/>
              <w:jc w:val="right"/>
            </w:pPr>
            <w:r>
              <w:t xml:space="preserve">0.0004886</w:t>
            </w:r>
          </w:p>
        </w:tc>
        <w:tc>
          <w:p>
            <w:pPr>
              <w:pStyle w:val="Compact"/>
              <w:jc w:val="right"/>
            </w:pPr>
            <w:r>
              <w:t xml:space="preserve">0.9071937</w:t>
            </w:r>
          </w:p>
        </w:tc>
        <w:tc>
          <w:p>
            <w:pPr>
              <w:pStyle w:val="Compact"/>
              <w:jc w:val="right"/>
            </w:pPr>
            <w:r>
              <w:t xml:space="preserve">0.0009319</w:t>
            </w:r>
          </w:p>
        </w:tc>
        <w:tc>
          <w:p>
            <w:pPr>
              <w:pStyle w:val="Compact"/>
              <w:jc w:val="right"/>
            </w:pPr>
            <w:r>
              <w:t xml:space="preserve">0.0038490</w:t>
            </w:r>
          </w:p>
        </w:tc>
      </w:tr>
      <w:tr>
        <w:tc>
          <w:p>
            <w:pPr>
              <w:pStyle w:val="Compact"/>
              <w:jc w:val="left"/>
            </w:pPr>
            <w:r>
              <w:t xml:space="preserve">24</w:t>
            </w:r>
          </w:p>
        </w:tc>
        <w:tc>
          <w:p>
            <w:pPr>
              <w:pStyle w:val="Compact"/>
              <w:jc w:val="left"/>
            </w:pPr>
            <w:r>
              <w:t xml:space="preserve">AT4G29080.1</w:t>
            </w:r>
          </w:p>
        </w:tc>
        <w:tc>
          <w:p>
            <w:pPr>
              <w:pStyle w:val="Compact"/>
              <w:jc w:val="left"/>
            </w:pPr>
            <w:r>
              <w:t xml:space="preserve">IAA27</w:t>
            </w:r>
          </w:p>
        </w:tc>
        <w:tc>
          <w:p>
            <w:pPr>
              <w:pStyle w:val="Compact"/>
              <w:jc w:val="right"/>
            </w:pPr>
            <w:r>
              <w:t xml:space="preserve">0.0004636</w:t>
            </w:r>
          </w:p>
        </w:tc>
        <w:tc>
          <w:p>
            <w:pPr>
              <w:pStyle w:val="Compact"/>
              <w:jc w:val="right"/>
            </w:pPr>
            <w:r>
              <w:t xml:space="preserve">0.0001038</w:t>
            </w:r>
          </w:p>
        </w:tc>
        <w:tc>
          <w:p>
            <w:pPr>
              <w:pStyle w:val="Compact"/>
              <w:jc w:val="right"/>
            </w:pPr>
            <w:r>
              <w:t xml:space="preserve">4.4668822</w:t>
            </w:r>
          </w:p>
        </w:tc>
        <w:tc>
          <w:p>
            <w:pPr>
              <w:pStyle w:val="Compact"/>
              <w:jc w:val="right"/>
            </w:pPr>
            <w:r>
              <w:t xml:space="preserve">0.0005413</w:t>
            </w:r>
          </w:p>
        </w:tc>
        <w:tc>
          <w:p>
            <w:pPr>
              <w:pStyle w:val="Compact"/>
              <w:jc w:val="right"/>
            </w:pPr>
            <w:r>
              <w:t xml:space="preserve">0.0018219</w:t>
            </w:r>
          </w:p>
        </w:tc>
      </w:tr>
      <w:tr>
        <w:tc>
          <w:p>
            <w:pPr>
              <w:pStyle w:val="Compact"/>
              <w:jc w:val="left"/>
            </w:pPr>
            <w:r>
              <w:t xml:space="preserve">26</w:t>
            </w:r>
          </w:p>
        </w:tc>
        <w:tc>
          <w:p>
            <w:pPr>
              <w:pStyle w:val="Compact"/>
              <w:jc w:val="left"/>
            </w:pPr>
            <w:r>
              <w:t xml:space="preserve">AT5G25890.1</w:t>
            </w:r>
          </w:p>
        </w:tc>
        <w:tc>
          <w:p>
            <w:pPr>
              <w:pStyle w:val="Compact"/>
              <w:jc w:val="left"/>
            </w:pPr>
            <w:r>
              <w:t xml:space="preserve">IAA28</w:t>
            </w:r>
          </w:p>
        </w:tc>
        <w:tc>
          <w:p>
            <w:pPr>
              <w:pStyle w:val="Compact"/>
              <w:jc w:val="right"/>
            </w:pPr>
            <w:r>
              <w:t xml:space="preserve">0.0000654</w:t>
            </w:r>
          </w:p>
        </w:tc>
        <w:tc>
          <w:p>
            <w:pPr>
              <w:pStyle w:val="Compact"/>
              <w:jc w:val="right"/>
            </w:pPr>
            <w:r>
              <w:t xml:space="preserve">0.0006997</w:t>
            </w:r>
          </w:p>
        </w:tc>
        <w:tc>
          <w:p>
            <w:pPr>
              <w:pStyle w:val="Compact"/>
              <w:jc w:val="right"/>
            </w:pPr>
            <w:r>
              <w:t xml:space="preserve">0.0935064</w:t>
            </w:r>
          </w:p>
        </w:tc>
        <w:tc>
          <w:p>
            <w:pPr>
              <w:pStyle w:val="Compact"/>
              <w:jc w:val="right"/>
            </w:pPr>
            <w:r>
              <w:t xml:space="preserve">0.0007651</w:t>
            </w:r>
          </w:p>
        </w:tc>
        <w:tc>
          <w:p>
            <w:pPr>
              <w:pStyle w:val="Compact"/>
              <w:jc w:val="right"/>
            </w:pPr>
            <w:r>
              <w:t xml:space="preserve">0.0051677</w:t>
            </w:r>
          </w:p>
        </w:tc>
      </w:tr>
      <w:tr>
        <w:tc>
          <w:p>
            <w:pPr>
              <w:pStyle w:val="Compact"/>
              <w:jc w:val="left"/>
            </w:pPr>
            <w:r>
              <w:t xml:space="preserve">25</w:t>
            </w:r>
          </w:p>
        </w:tc>
        <w:tc>
          <w:p>
            <w:pPr>
              <w:pStyle w:val="Compact"/>
              <w:jc w:val="left"/>
            </w:pPr>
            <w:r>
              <w:t xml:space="preserve">AT4G32280.1</w:t>
            </w:r>
          </w:p>
        </w:tc>
        <w:tc>
          <w:p>
            <w:pPr>
              <w:pStyle w:val="Compact"/>
              <w:jc w:val="left"/>
            </w:pPr>
            <w:r>
              <w:t xml:space="preserve">IAA29</w:t>
            </w:r>
          </w:p>
        </w:tc>
        <w:tc>
          <w:p>
            <w:pPr>
              <w:pStyle w:val="Compact"/>
              <w:jc w:val="right"/>
            </w:pPr>
            <w:r>
              <w:t xml:space="preserve">0.0003527</w:t>
            </w:r>
          </w:p>
        </w:tc>
        <w:tc>
          <w:p>
            <w:pPr>
              <w:pStyle w:val="Compact"/>
              <w:jc w:val="right"/>
            </w:pPr>
            <w:r>
              <w:t xml:space="preserve">0.0008899</w:t>
            </w:r>
          </w:p>
        </w:tc>
        <w:tc>
          <w:p>
            <w:pPr>
              <w:pStyle w:val="Compact"/>
              <w:jc w:val="right"/>
            </w:pPr>
            <w:r>
              <w:t xml:space="preserve">0.3963790</w:t>
            </w:r>
          </w:p>
        </w:tc>
        <w:tc>
          <w:p>
            <w:pPr>
              <w:pStyle w:val="Compact"/>
              <w:jc w:val="right"/>
            </w:pPr>
            <w:r>
              <w:t xml:space="preserve">0.0012426</w:t>
            </w:r>
          </w:p>
        </w:tc>
        <w:tc>
          <w:p>
            <w:pPr>
              <w:pStyle w:val="Compact"/>
              <w:jc w:val="right"/>
            </w:pPr>
            <w:r>
              <w:t xml:space="preserve">0.0025075</w:t>
            </w:r>
          </w:p>
        </w:tc>
      </w:tr>
      <w:tr>
        <w:tc>
          <w:p>
            <w:pPr>
              <w:pStyle w:val="Compact"/>
              <w:jc w:val="left"/>
            </w:pPr>
            <w:r>
              <w:t xml:space="preserve">20</w:t>
            </w:r>
          </w:p>
        </w:tc>
        <w:tc>
          <w:p>
            <w:pPr>
              <w:pStyle w:val="Compact"/>
              <w:jc w:val="left"/>
            </w:pPr>
            <w:r>
              <w:t xml:space="preserve">AT3G62100.1</w:t>
            </w:r>
          </w:p>
        </w:tc>
        <w:tc>
          <w:p>
            <w:pPr>
              <w:pStyle w:val="Compact"/>
              <w:jc w:val="left"/>
            </w:pPr>
            <w:r>
              <w:t xml:space="preserve">IAA30</w:t>
            </w:r>
          </w:p>
        </w:tc>
        <w:tc>
          <w:p>
            <w:pPr>
              <w:pStyle w:val="Compact"/>
              <w:jc w:val="right"/>
            </w:pPr>
            <w:r>
              <w:t xml:space="preserve">0.0001038</w:t>
            </w:r>
          </w:p>
        </w:tc>
        <w:tc>
          <w:p>
            <w:pPr>
              <w:pStyle w:val="Compact"/>
              <w:jc w:val="right"/>
            </w:pPr>
            <w:r>
              <w:t xml:space="preserve">0.0017895</w:t>
            </w:r>
          </w:p>
        </w:tc>
        <w:tc>
          <w:p>
            <w:pPr>
              <w:pStyle w:val="Compact"/>
              <w:jc w:val="right"/>
            </w:pPr>
            <w:r>
              <w:t xml:space="preserve">0.0580112</w:t>
            </w:r>
          </w:p>
        </w:tc>
        <w:tc>
          <w:p>
            <w:pPr>
              <w:pStyle w:val="Compact"/>
              <w:jc w:val="right"/>
            </w:pPr>
            <w:r>
              <w:t xml:space="preserve">0.0018933</w:t>
            </w:r>
          </w:p>
        </w:tc>
        <w:tc>
          <w:p>
            <w:pPr>
              <w:pStyle w:val="Compact"/>
              <w:jc w:val="right"/>
            </w:pPr>
            <w:r>
              <w:t xml:space="preserve">0.0058015</w:t>
            </w:r>
          </w:p>
        </w:tc>
      </w:tr>
      <w:tr>
        <w:tc>
          <w:p>
            <w:pPr>
              <w:pStyle w:val="Compact"/>
              <w:jc w:val="left"/>
            </w:pPr>
            <w:r>
              <w:t xml:space="preserve">17</w:t>
            </w:r>
          </w:p>
        </w:tc>
        <w:tc>
          <w:p>
            <w:pPr>
              <w:pStyle w:val="Compact"/>
              <w:jc w:val="left"/>
            </w:pPr>
            <w:r>
              <w:t xml:space="preserve">AT3G17600.1</w:t>
            </w:r>
          </w:p>
        </w:tc>
        <w:tc>
          <w:p>
            <w:pPr>
              <w:pStyle w:val="Compact"/>
              <w:jc w:val="left"/>
            </w:pPr>
            <w:r>
              <w:t xml:space="preserve">IAA31</w:t>
            </w:r>
          </w:p>
        </w:tc>
        <w:tc>
          <w:p>
            <w:pPr>
              <w:pStyle w:val="Compact"/>
              <w:jc w:val="right"/>
            </w:pPr>
            <w:r>
              <w:t xml:space="preserve">0.0007073</w:t>
            </w:r>
          </w:p>
        </w:tc>
        <w:tc>
          <w:p>
            <w:pPr>
              <w:pStyle w:val="Compact"/>
              <w:jc w:val="right"/>
            </w:pPr>
            <w:r>
              <w:t xml:space="preserve">0.0000641</w:t>
            </w:r>
          </w:p>
        </w:tc>
        <w:tc>
          <w:p>
            <w:pPr>
              <w:pStyle w:val="Compact"/>
              <w:jc w:val="right"/>
            </w:pPr>
            <w:r>
              <w:t xml:space="preserve">11.0405664</w:t>
            </w:r>
          </w:p>
        </w:tc>
        <w:tc>
          <w:p>
            <w:pPr>
              <w:pStyle w:val="Compact"/>
              <w:jc w:val="right"/>
            </w:pPr>
            <w:r>
              <w:t xml:space="preserve">0.0007714</w:t>
            </w:r>
          </w:p>
        </w:tc>
        <w:tc>
          <w:p>
            <w:pPr>
              <w:pStyle w:val="Compact"/>
              <w:jc w:val="right"/>
            </w:pPr>
            <w:r>
              <w:t xml:space="preserve">0.0026228</w:t>
            </w:r>
          </w:p>
        </w:tc>
      </w:tr>
      <w:tr>
        <w:tc>
          <w:p>
            <w:pPr>
              <w:pStyle w:val="Compact"/>
              <w:jc w:val="left"/>
            </w:pPr>
            <w:r>
              <w:t xml:space="preserve">10</w:t>
            </w:r>
          </w:p>
        </w:tc>
        <w:tc>
          <w:p>
            <w:pPr>
              <w:pStyle w:val="Compact"/>
              <w:jc w:val="left"/>
            </w:pPr>
            <w:r>
              <w:t xml:space="preserve">AT2G01200.1</w:t>
            </w:r>
          </w:p>
        </w:tc>
        <w:tc>
          <w:p>
            <w:pPr>
              <w:pStyle w:val="Compact"/>
              <w:jc w:val="left"/>
            </w:pPr>
            <w:r>
              <w:t xml:space="preserve">IAA32</w:t>
            </w:r>
          </w:p>
        </w:tc>
        <w:tc>
          <w:p>
            <w:pPr>
              <w:pStyle w:val="Compact"/>
              <w:jc w:val="right"/>
            </w:pPr>
            <w:r>
              <w:t xml:space="preserve">0.0003362</w:t>
            </w:r>
          </w:p>
        </w:tc>
        <w:tc>
          <w:p>
            <w:pPr>
              <w:pStyle w:val="Compact"/>
              <w:jc w:val="right"/>
            </w:pPr>
            <w:r>
              <w:t xml:space="preserve">0.0004071</w:t>
            </w:r>
          </w:p>
        </w:tc>
        <w:tc>
          <w:p>
            <w:pPr>
              <w:pStyle w:val="Compact"/>
              <w:jc w:val="right"/>
            </w:pPr>
            <w:r>
              <w:t xml:space="preserve">0.8256960</w:t>
            </w:r>
          </w:p>
        </w:tc>
        <w:tc>
          <w:p>
            <w:pPr>
              <w:pStyle w:val="Compact"/>
              <w:jc w:val="right"/>
            </w:pPr>
            <w:r>
              <w:t xml:space="preserve">0.0007433</w:t>
            </w:r>
          </w:p>
        </w:tc>
        <w:tc>
          <w:p>
            <w:pPr>
              <w:pStyle w:val="Compact"/>
              <w:jc w:val="right"/>
            </w:pPr>
            <w:r>
              <w:t xml:space="preserve">0.0044000</w:t>
            </w:r>
          </w:p>
        </w:tc>
      </w:tr>
      <w:tr>
        <w:tc>
          <w:p>
            <w:pPr>
              <w:pStyle w:val="Compact"/>
              <w:jc w:val="left"/>
            </w:pPr>
            <w:r>
              <w:t xml:space="preserve">28</w:t>
            </w:r>
          </w:p>
        </w:tc>
        <w:tc>
          <w:p>
            <w:pPr>
              <w:pStyle w:val="Compact"/>
              <w:jc w:val="left"/>
            </w:pPr>
            <w:r>
              <w:t xml:space="preserve">AT5G57420.1</w:t>
            </w:r>
          </w:p>
        </w:tc>
        <w:tc>
          <w:p>
            <w:pPr>
              <w:pStyle w:val="Compact"/>
              <w:jc w:val="left"/>
            </w:pPr>
            <w:r>
              <w:t xml:space="preserve">IAA33</w:t>
            </w:r>
          </w:p>
        </w:tc>
        <w:tc>
          <w:p>
            <w:pPr>
              <w:pStyle w:val="Compact"/>
              <w:jc w:val="right"/>
            </w:pPr>
            <w:r>
              <w:t xml:space="preserve">0.0005714</w:t>
            </w:r>
          </w:p>
        </w:tc>
        <w:tc>
          <w:p>
            <w:pPr>
              <w:pStyle w:val="Compact"/>
              <w:jc w:val="right"/>
            </w:pPr>
            <w:r>
              <w:t xml:space="preserve">0.0003498</w:t>
            </w:r>
          </w:p>
        </w:tc>
        <w:tc>
          <w:p>
            <w:pPr>
              <w:pStyle w:val="Compact"/>
              <w:jc w:val="right"/>
            </w:pPr>
            <w:r>
              <w:t xml:space="preserve">1.6335067</w:t>
            </w:r>
          </w:p>
        </w:tc>
        <w:tc>
          <w:p>
            <w:pPr>
              <w:pStyle w:val="Compact"/>
              <w:jc w:val="right"/>
            </w:pPr>
            <w:r>
              <w:t xml:space="preserve">0.0009212</w:t>
            </w:r>
          </w:p>
        </w:tc>
        <w:tc>
          <w:p>
            <w:pPr>
              <w:pStyle w:val="Compact"/>
              <w:jc w:val="right"/>
            </w:pPr>
            <w:r>
              <w:t xml:space="preserve">0.0026045</w:t>
            </w:r>
          </w:p>
        </w:tc>
      </w:tr>
      <w:tr>
        <w:tc>
          <w:p>
            <w:pPr>
              <w:pStyle w:val="Compact"/>
              <w:jc w:val="left"/>
            </w:pPr>
            <w:r>
              <w:t xml:space="preserve">5</w:t>
            </w:r>
          </w:p>
        </w:tc>
        <w:tc>
          <w:p>
            <w:pPr>
              <w:pStyle w:val="Compact"/>
              <w:jc w:val="left"/>
            </w:pPr>
            <w:r>
              <w:t xml:space="preserve">AT1G15050.1</w:t>
            </w:r>
          </w:p>
        </w:tc>
        <w:tc>
          <w:p>
            <w:pPr>
              <w:pStyle w:val="Compact"/>
              <w:jc w:val="left"/>
            </w:pPr>
            <w:r>
              <w:t xml:space="preserve">IAA34</w:t>
            </w:r>
          </w:p>
        </w:tc>
        <w:tc>
          <w:p>
            <w:pPr>
              <w:pStyle w:val="Compact"/>
              <w:jc w:val="right"/>
            </w:pPr>
            <w:r>
              <w:t xml:space="preserve">0.0025070</w:t>
            </w:r>
          </w:p>
        </w:tc>
        <w:tc>
          <w:p>
            <w:pPr>
              <w:pStyle w:val="Compact"/>
              <w:jc w:val="right"/>
            </w:pPr>
            <w:r>
              <w:t xml:space="preserve">0.0010654</w:t>
            </w:r>
          </w:p>
        </w:tc>
        <w:tc>
          <w:p>
            <w:pPr>
              <w:pStyle w:val="Compact"/>
              <w:jc w:val="right"/>
            </w:pPr>
            <w:r>
              <w:t xml:space="preserve">2.3530711</w:t>
            </w:r>
          </w:p>
        </w:tc>
        <w:tc>
          <w:p>
            <w:pPr>
              <w:pStyle w:val="Compact"/>
              <w:jc w:val="right"/>
            </w:pPr>
            <w:r>
              <w:t xml:space="preserve">0.0035659</w:t>
            </w:r>
          </w:p>
        </w:tc>
        <w:tc>
          <w:p>
            <w:pPr>
              <w:pStyle w:val="Compact"/>
              <w:jc w:val="right"/>
            </w:pPr>
            <w:r>
              <w:t xml:space="preserve">0.0041099</w:t>
            </w:r>
          </w:p>
        </w:tc>
      </w:tr>
    </w:tbl>
    <w:p>
      <w:pPr>
        <w:pStyle w:val="BodyText"/>
      </w:pPr>
      <w:r>
        <w:t xml:space="preserve">Within the available natural sequence variation, we found several missense polymorphisms affecting the EAR domain or degron of several canonical IAAs. However, no missense polymorphisms were present in the KR motif or residues critical for PB1-PB1 domain interactions (Supp. Fig. Alignment of canonical IAAs). The majority of missense mutations observed were in the variable regions between the conserved domains.</w:t>
      </w:r>
    </w:p>
    <w:p>
      <w:pPr>
        <w:pStyle w:val="BodyText"/>
      </w:pPr>
      <w:r>
        <w:t xml:space="preserve">###Sister Pair Diversification</w:t>
      </w:r>
    </w:p>
    <w:p>
      <w:pPr>
        <w:pStyle w:val="BodyText"/>
      </w:pPr>
      <w:r>
        <w:t xml:space="preserve">Previous research has found evidence of both broad genetic redundancy and specificity within closely related pairs or groups of IAA proteins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For example, the</w:t>
      </w:r>
      <w:r>
        <w:t xml:space="preserve"> </w:t>
      </w:r>
      <w:r>
        <w:rPr>
          <w:i/>
        </w:rPr>
        <w:t xml:space="preserve">iaa8-1 iaa9-1</w:t>
      </w:r>
      <w:r>
        <w:t xml:space="preserve"> </w:t>
      </w:r>
      <w:r>
        <w:t xml:space="preserve">double mutant and the</w:t>
      </w:r>
      <w:r>
        <w:t xml:space="preserve"> </w:t>
      </w:r>
      <w:r>
        <w:rPr>
          <w:i/>
        </w:rPr>
        <w:t xml:space="preserve">iaa5-1 iaa6-1 iaa19-1</w:t>
      </w:r>
      <w:r>
        <w:t xml:space="preserve"> </w:t>
      </w:r>
      <w:r>
        <w:t xml:space="preserve">triple mutant have wild-type phenotypes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yet the</w:t>
      </w:r>
      <w:r>
        <w:t xml:space="preserve"> </w:t>
      </w:r>
      <w:r>
        <w:rPr>
          <w:i/>
        </w:rPr>
        <w:t xml:space="preserve">IAA6/19</w:t>
      </w:r>
      <w:r>
        <w:t xml:space="preserve"> </w:t>
      </w:r>
      <w:r>
        <w:t xml:space="preserve">sister pair has significant differences in expression patterns, protein abundances and functions suggesting they have undergone functional specialization since their divergence</w:t>
      </w:r>
      <w:r>
        <w:t xml:space="preserve"> </w:t>
      </w:r>
      <w:r>
        <w:t xml:space="preserve">(Winkler et al.,</w:t>
      </w:r>
      <w:r>
        <w:t xml:space="preserve"> </w:t>
      </w:r>
      <w:hyperlink w:anchor="ref-winkler_variation_2017">
        <w:r>
          <w:rPr>
            <w:rStyle w:val="Hyperlink"/>
          </w:rPr>
          <w:t xml:space="preserve">2017</w:t>
        </w:r>
      </w:hyperlink>
      <w:r>
        <w:t xml:space="preserve">)</w:t>
      </w:r>
      <w:r>
        <w:t xml:space="preserve">.</w:t>
      </w:r>
    </w:p>
    <w:p>
      <w:pPr>
        <w:pStyle w:val="BodyText"/>
      </w:pPr>
      <w:r>
        <w:t xml:space="preserve">In our analysis of the</w:t>
      </w:r>
      <w:r>
        <w:t xml:space="preserve"> </w:t>
      </w:r>
      <w:r>
        <w:rPr>
          <w:i/>
        </w:rPr>
        <w:t xml:space="preserve">IAA</w:t>
      </w:r>
      <w:r>
        <w:t xml:space="preserve"> </w:t>
      </w:r>
      <w:r>
        <w:t xml:space="preserve">gene family, we frequently observed that one member of most</w:t>
      </w:r>
      <w:r>
        <w:t xml:space="preserve"> </w:t>
      </w:r>
      <w:r>
        <w:rPr>
          <w:i/>
        </w:rPr>
        <w:t xml:space="preserve">IAA</w:t>
      </w:r>
      <w:r>
        <w:t xml:space="preserve"> </w:t>
      </w:r>
      <w:r>
        <w:t xml:space="preserve">sister pairs had high nonsynonymous diversity while the other sister was more conserved (Figure IAA phylogeny heat map). In an interspecific comparison between</w:t>
      </w:r>
      <w:r>
        <w:t xml:space="preserve"> </w:t>
      </w:r>
      <w:r>
        <w:rPr>
          <w:i/>
        </w:rPr>
        <w:t xml:space="preserve">A. thaliana</w:t>
      </w:r>
      <w:r>
        <w:t xml:space="preserve"> </w:t>
      </w:r>
      <w:r>
        <w:t xml:space="preserve">and</w:t>
      </w:r>
      <w:r>
        <w:t xml:space="preserve"> </w:t>
      </w:r>
      <w:r>
        <w:rPr>
          <w:i/>
        </w:rPr>
        <w:t xml:space="preserve">A. lyrata</w:t>
      </w:r>
      <w:r>
        <w:t xml:space="preserve">,</w:t>
      </w:r>
      <w:r>
        <w:t xml:space="preserve"> </w:t>
      </w:r>
      <w:r>
        <w:rPr>
          <w:i/>
        </w:rPr>
        <w:t xml:space="preserve">IAA19</w:t>
      </w:r>
      <w:r>
        <w:t xml:space="preserve"> </w:t>
      </w:r>
      <w:r>
        <w:t xml:space="preserve">is more conserved, while</w:t>
      </w:r>
      <w:r>
        <w:t xml:space="preserve"> </w:t>
      </w:r>
      <w:r>
        <w:rPr>
          <w:i/>
        </w:rPr>
        <w:t xml:space="preserve">IAA6</w:t>
      </w:r>
      <w:r>
        <w:t xml:space="preserve"> </w:t>
      </w:r>
      <w:r>
        <w:t xml:space="preserve">has regions of increased sequence divergence upstream of the degron and in the N-terminal half of the PB1 domain</w:t>
      </w:r>
      <w:r>
        <w:t xml:space="preserve"> </w:t>
      </w:r>
      <w:r>
        <w:t xml:space="preserve">(Winkler et al.,</w:t>
      </w:r>
      <w:r>
        <w:t xml:space="preserve"> </w:t>
      </w:r>
      <w:hyperlink w:anchor="ref-winkler_variation_2017">
        <w:r>
          <w:rPr>
            <w:rStyle w:val="Hyperlink"/>
          </w:rPr>
          <w:t xml:space="preserve">2017</w:t>
        </w:r>
      </w:hyperlink>
      <w:r>
        <w:t xml:space="preserve">)</w:t>
      </w:r>
      <w:r>
        <w:t xml:space="preserve">. Consistent with these results, our analysis of intraspecific natural variation revealed higher conservation for</w:t>
      </w:r>
      <w:r>
        <w:t xml:space="preserve"> </w:t>
      </w:r>
      <w:r>
        <w:rPr>
          <w:i/>
        </w:rPr>
        <w:t xml:space="preserve">IAA19</w:t>
      </w:r>
      <w:r>
        <w:t xml:space="preserve"> </w:t>
      </w:r>
      <w:r>
        <w:t xml:space="preserve">(</w:t>
      </w:r>
      <m:oMath>
        <m:sSub>
          <m:e>
            <m:r>
              <m:t>π</m:t>
            </m:r>
          </m:e>
          <m:sub>
            <m:r>
              <m:t>N</m:t>
            </m:r>
          </m:sub>
        </m:sSub>
        <m:r>
          <m:t>/</m:t>
        </m:r>
        <m:sSub>
          <m:e>
            <m:r>
              <m:t>π</m:t>
            </m:r>
          </m:e>
          <m:sub>
            <m:r>
              <m:t>S</m:t>
            </m:r>
          </m:sub>
        </m:sSub>
      </m:oMath>
      <w:r>
        <w:t xml:space="preserve"> </w:t>
      </w:r>
      <w:r>
        <w:t xml:space="preserve">= 0.55) compared to</w:t>
      </w:r>
      <w:r>
        <w:t xml:space="preserve"> </w:t>
      </w:r>
      <w:r>
        <w:rPr>
          <w:i/>
        </w:rPr>
        <w:t xml:space="preserve">IAA6</w:t>
      </w:r>
      <w:r>
        <w:t xml:space="preserve"> </w:t>
      </w:r>
      <w:r>
        <w:t xml:space="preserve">(</w:t>
      </w:r>
      <m:oMath>
        <m:sSub>
          <m:e>
            <m:r>
              <m:t>π</m:t>
            </m:r>
          </m:e>
          <m:sub>
            <m:r>
              <m:t>N</m:t>
            </m:r>
          </m:sub>
        </m:sSub>
        <m:r>
          <m:t>/</m:t>
        </m:r>
        <m:sSub>
          <m:e>
            <m:r>
              <m:t>π</m:t>
            </m:r>
          </m:e>
          <m:sub>
            <m:r>
              <m:t>S</m:t>
            </m:r>
          </m:sub>
        </m:sSub>
      </m:oMath>
      <w:r>
        <w:t xml:space="preserve"> </w:t>
      </w:r>
      <w:r>
        <w:t xml:space="preserve">= 2.3) (Figure IAA phylogeny heat map), and also detected high diversity within the same regions of</w:t>
      </w:r>
      <w:r>
        <w:t xml:space="preserve"> </w:t>
      </w:r>
      <w:r>
        <w:rPr>
          <w:i/>
        </w:rPr>
        <w:t xml:space="preserve">IAA6</w:t>
      </w:r>
      <w:r>
        <w:t xml:space="preserve"> </w:t>
      </w:r>
      <w:r>
        <w:t xml:space="preserve">as seen in Winkler et al. (Supp Fig IAA6 diversity plot).</w:t>
      </w:r>
    </w:p>
    <w:p>
      <w:pPr>
        <w:pStyle w:val="SourceCode"/>
      </w:pPr>
      <w:r>
        <w:rPr>
          <w:rStyle w:val="VerbatimChar"/>
        </w:rPr>
        <w:t xml:space="preserve">#&gt; Determining distance matrix based on shared 4-mers: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0.02 secs</w:t>
      </w:r>
      <w:r>
        <w:br w:type="textWrapping"/>
      </w:r>
      <w:r>
        <w:rPr>
          <w:rStyle w:val="VerbatimChar"/>
        </w:rPr>
        <w:t xml:space="preserve">#&gt; </w:t>
      </w:r>
      <w:r>
        <w:br w:type="textWrapping"/>
      </w:r>
      <w:r>
        <w:rPr>
          <w:rStyle w:val="VerbatimChar"/>
        </w:rPr>
        <w:t xml:space="preserve">#&gt; 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0.47 secs</w:t>
      </w:r>
      <w:r>
        <w:br w:type="textWrapping"/>
      </w:r>
      <w:r>
        <w:rPr>
          <w:rStyle w:val="VerbatimChar"/>
        </w:rPr>
        <w:t xml:space="preserve">#&gt; </w:t>
      </w:r>
      <w:r>
        <w:br w:type="textWrapping"/>
      </w:r>
      <w:r>
        <w:rPr>
          <w:rStyle w:val="VerbatimChar"/>
        </w:rPr>
        <w:t xml:space="preserve">#&gt; Iteration 1 of 2:</w:t>
      </w:r>
      <w:r>
        <w:br w:type="textWrapping"/>
      </w:r>
      <w:r>
        <w:rPr>
          <w:rStyle w:val="VerbatimChar"/>
        </w:rPr>
        <w:t xml:space="preserve">#&gt; </w:t>
      </w:r>
      <w:r>
        <w:br w:type="textWrapping"/>
      </w:r>
      <w:r>
        <w:rPr>
          <w:rStyle w:val="VerbatimChar"/>
        </w:rPr>
        <w:t xml:space="preserve">#&gt; Determining distance matrix based on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0.03 secs</w:t>
      </w:r>
      <w:r>
        <w:br w:type="textWrapping"/>
      </w:r>
      <w:r>
        <w:rPr>
          <w:rStyle w:val="VerbatimChar"/>
        </w:rPr>
        <w:t xml:space="preserve">#&gt; </w:t>
      </w:r>
      <w:r>
        <w:br w:type="textWrapping"/>
      </w:r>
      <w:r>
        <w:rPr>
          <w:rStyle w:val="VerbatimChar"/>
        </w:rPr>
        <w:t xml:space="preserve">#&gt; Realigning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0.51 secs</w:t>
      </w:r>
      <w:r>
        <w:br w:type="textWrapping"/>
      </w:r>
      <w:r>
        <w:rPr>
          <w:rStyle w:val="VerbatimChar"/>
        </w:rPr>
        <w:t xml:space="preserve">#&gt; </w:t>
      </w:r>
      <w:r>
        <w:br w:type="textWrapping"/>
      </w:r>
      <w:r>
        <w:rPr>
          <w:rStyle w:val="VerbatimChar"/>
        </w:rPr>
        <w:t xml:space="preserve">#&gt; Iteration 2 of 2:</w:t>
      </w:r>
      <w:r>
        <w:br w:type="textWrapping"/>
      </w:r>
      <w:r>
        <w:rPr>
          <w:rStyle w:val="VerbatimChar"/>
        </w:rPr>
        <w:t xml:space="preserve">#&gt; </w:t>
      </w:r>
      <w:r>
        <w:br w:type="textWrapping"/>
      </w:r>
      <w:r>
        <w:rPr>
          <w:rStyle w:val="VerbatimChar"/>
        </w:rPr>
        <w:t xml:space="preserve">#&gt; Determining distance matrix based on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0.02 secs</w:t>
      </w:r>
      <w:r>
        <w:br w:type="textWrapping"/>
      </w:r>
      <w:r>
        <w:rPr>
          <w:rStyle w:val="VerbatimChar"/>
        </w:rPr>
        <w:t xml:space="preserve">#&gt; </w:t>
      </w:r>
      <w:r>
        <w:br w:type="textWrapping"/>
      </w:r>
      <w:r>
        <w:rPr>
          <w:rStyle w:val="VerbatimChar"/>
        </w:rPr>
        <w:t xml:space="preserve">#&gt; Realigning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0.02 secs</w:t>
      </w:r>
      <w:r>
        <w:br w:type="textWrapping"/>
      </w:r>
      <w:r>
        <w:rPr>
          <w:rStyle w:val="VerbatimChar"/>
        </w:rPr>
        <w:t xml:space="preserve">#&gt; </w:t>
      </w:r>
      <w:r>
        <w:br w:type="textWrapping"/>
      </w:r>
      <w:r>
        <w:rPr>
          <w:rStyle w:val="VerbatimChar"/>
        </w:rPr>
        <w:t xml:space="preserve">#&gt; Refining the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0.17 secs</w:t>
      </w:r>
    </w:p>
    <w:p>
      <w:pPr>
        <w:pStyle w:val="FirstParagraph"/>
      </w:pPr>
      <w:r>
        <w:rPr>
          <w:i/>
        </w:rPr>
        <w:t xml:space="preserve">I think IAA20, 30, and 15 should also be in class C. So there are really two large clades A and B and then there are truncations/loss of function/dominant variants scattered throughout, Class C.</w:t>
      </w:r>
    </w:p>
    <w:p>
      <w:pPr>
        <w:pStyle w:val="CaptionedFigure"/>
      </w:pPr>
      <w:r>
        <w:drawing>
          <wp:inline>
            <wp:extent cx="5334000" cy="5334000"/>
            <wp:effectExtent b="0" l="0" r="0" t="0"/>
            <wp:docPr descr="(ref:IAA tree)" title="" id="1" name="Picture"/>
            <a:graphic>
              <a:graphicData uri="http://schemas.openxmlformats.org/drawingml/2006/picture">
                <pic:pic>
                  <pic:nvPicPr>
                    <pic:cNvPr descr="manuscript_files/figure-docx/IAA_tree-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(ref:IAA tree)</w:t>
      </w:r>
    </w:p>
    <w:p>
      <w:pPr>
        <w:pStyle w:val="BodyText"/>
      </w:pPr>
      <w:r>
        <w:t xml:space="preserve">(ref:IAA tree) IAA protein sequence tree mapped with</w:t>
      </w:r>
      <w:r>
        <w:t xml:space="preserve"> </w:t>
      </w:r>
      <m:oMath>
        <m:sSub>
          <m:e>
            <m:r>
              <m:t>π</m:t>
            </m:r>
          </m:e>
          <m:sub>
            <m:r>
              <m:t>N</m:t>
            </m:r>
          </m:sub>
        </m:sSub>
        <m:r>
          <m:t>/</m:t>
        </m:r>
        <m:sSub>
          <m:e>
            <m:r>
              <m:t>π</m:t>
            </m:r>
          </m:e>
          <m:sub>
            <m:r>
              <m:t>S</m:t>
            </m:r>
          </m:sub>
        </m:sSub>
      </m:oMath>
    </w:p>
    <w:p>
      <w:pPr>
        <w:pStyle w:val="BodyText"/>
      </w:pPr>
      <w:r>
        <w:t xml:space="preserve">Within the Group B</w:t>
      </w:r>
      <w:r>
        <w:t xml:space="preserve"> </w:t>
      </w:r>
      <w:r>
        <w:rPr>
          <w:i/>
        </w:rPr>
        <w:t xml:space="preserve">IAA</w:t>
      </w:r>
      <w:r>
        <w:t xml:space="preserve"> </w:t>
      </w:r>
      <w:r>
        <w:t xml:space="preserve">genes, there are four sister pairs—</w:t>
      </w:r>
      <w:r>
        <w:rPr>
          <w:i/>
        </w:rPr>
        <w:t xml:space="preserve">IAA10</w:t>
      </w:r>
      <w:r>
        <w:t xml:space="preserve">/</w:t>
      </w:r>
      <w:r>
        <w:rPr>
          <w:i/>
        </w:rPr>
        <w:t xml:space="preserve">IAA11</w:t>
      </w:r>
      <w:r>
        <w:t xml:space="preserve">,</w:t>
      </w:r>
      <w:r>
        <w:t xml:space="preserve"> </w:t>
      </w:r>
      <w:r>
        <w:rPr>
          <w:i/>
        </w:rPr>
        <w:t xml:space="preserve">IAA12</w:t>
      </w:r>
      <w:r>
        <w:t xml:space="preserve">/</w:t>
      </w:r>
      <w:r>
        <w:rPr>
          <w:i/>
        </w:rPr>
        <w:t xml:space="preserve">IAA13</w:t>
      </w:r>
      <w:r>
        <w:t xml:space="preserve">,</w:t>
      </w:r>
      <w:r>
        <w:t xml:space="preserve"> </w:t>
      </w:r>
      <w:r>
        <w:rPr>
          <w:i/>
        </w:rPr>
        <w:t xml:space="preserve">IAA18</w:t>
      </w:r>
      <w:r>
        <w:t xml:space="preserve">/</w:t>
      </w:r>
      <w:r>
        <w:rPr>
          <w:i/>
        </w:rPr>
        <w:t xml:space="preserve">IAA26</w:t>
      </w:r>
      <w:r>
        <w:t xml:space="preserve">, and</w:t>
      </w:r>
      <w:r>
        <w:t xml:space="preserve"> </w:t>
      </w:r>
      <w:r>
        <w:rPr>
          <w:i/>
        </w:rPr>
        <w:t xml:space="preserve">IAA20</w:t>
      </w:r>
      <w:r>
        <w:t xml:space="preserve">/</w:t>
      </w:r>
      <w:r>
        <w:rPr>
          <w:i/>
        </w:rPr>
        <w:t xml:space="preserve">IAA30</w:t>
      </w:r>
      <w:r>
        <w:t xml:space="preserve"> </w:t>
      </w:r>
      <w:r>
        <w:t xml:space="preserve">@ref(IAA tree)</w:t>
      </w:r>
      <w:r>
        <w:t xml:space="preserve"> </w:t>
      </w:r>
      <w:r>
        <w:t xml:space="preserve">(Remington, Vision, Guilfoyle, &amp; Reed,</w:t>
      </w:r>
      <w:r>
        <w:t xml:space="preserve"> </w:t>
      </w:r>
      <w:hyperlink w:anchor="ref-remington_contrasting_2004">
        <w:r>
          <w:rPr>
            <w:rStyle w:val="Hyperlink"/>
          </w:rPr>
          <w:t xml:space="preserve">2004</w:t>
        </w:r>
      </w:hyperlink>
      <w:r>
        <w:t xml:space="preserve">)</w:t>
      </w:r>
      <w:r>
        <w:t xml:space="preserve">. Interestingly, among these sister pairs only</w:t>
      </w:r>
      <w:r>
        <w:t xml:space="preserve"> </w:t>
      </w:r>
      <w:r>
        <w:rPr>
          <w:i/>
        </w:rPr>
        <w:t xml:space="preserve">IAA12</w:t>
      </w:r>
      <w:r>
        <w:t xml:space="preserve"> </w:t>
      </w:r>
      <w:r>
        <w:t xml:space="preserve">and</w:t>
      </w:r>
      <w:r>
        <w:t xml:space="preserve"> </w:t>
      </w:r>
      <w:r>
        <w:rPr>
          <w:i/>
        </w:rPr>
        <w:t xml:space="preserve">IAA13</w:t>
      </w:r>
      <w:r>
        <w:t xml:space="preserve"> </w:t>
      </w:r>
      <w:r>
        <w:t xml:space="preserve">have a noticeable difference in nonsynonymous diversity. The</w:t>
      </w:r>
      <w:r>
        <w:t xml:space="preserve"> </w:t>
      </w:r>
      <w:r>
        <w:rPr>
          <w:i/>
        </w:rPr>
        <w:t xml:space="preserve">Arabidopsis thaliana</w:t>
      </w:r>
      <w:r>
        <w:t xml:space="preserve"> </w:t>
      </w:r>
      <w:r>
        <w:t xml:space="preserve">EFP browser shows that</w:t>
      </w:r>
      <w:r>
        <w:t xml:space="preserve"> </w:t>
      </w:r>
      <w:r>
        <w:rPr>
          <w:b/>
        </w:rPr>
        <w:t xml:space="preserve">IAA10</w:t>
      </w:r>
      <w:r>
        <w:t xml:space="preserve"> </w:t>
      </w:r>
      <w:r>
        <w:t xml:space="preserve">and</w:t>
      </w:r>
      <w:r>
        <w:t xml:space="preserve"> </w:t>
      </w:r>
      <w:r>
        <w:rPr>
          <w:i/>
        </w:rPr>
        <w:t xml:space="preserve">IAA11</w:t>
      </w:r>
      <w:r>
        <w:t xml:space="preserve"> </w:t>
      </w:r>
      <w:r>
        <w:t xml:space="preserve">have almost identical expression patterns, with the exception of</w:t>
      </w:r>
      <w:r>
        <w:t xml:space="preserve"> </w:t>
      </w:r>
      <w:r>
        <w:rPr>
          <w:i/>
        </w:rPr>
        <w:t xml:space="preserve">IAA10</w:t>
      </w:r>
      <w:r>
        <w:t xml:space="preserve"> </w:t>
      </w:r>
      <w:r>
        <w:t xml:space="preserve">being more highly expressed in the developing seed, and</w:t>
      </w:r>
      <w:r>
        <w:t xml:space="preserve"> </w:t>
      </w:r>
      <w:r>
        <w:rPr>
          <w:i/>
        </w:rPr>
        <w:t xml:space="preserve">IAA11</w:t>
      </w:r>
      <w:r>
        <w:t xml:space="preserve"> </w:t>
      </w:r>
      <w:r>
        <w:t xml:space="preserve">being more highly expressed in root tissue during lateral root development</w:t>
      </w:r>
      <w:r>
        <w:t xml:space="preserve"> </w:t>
      </w:r>
      <w:r>
        <w:rPr>
          <w:b/>
        </w:rPr>
        <w:t xml:space="preserve">need to cite original data source here</w:t>
      </w:r>
      <w:r>
        <w:t xml:space="preserve">. In our analysis,</w:t>
      </w:r>
      <w:r>
        <w:t xml:space="preserve"> </w:t>
      </w:r>
      <w:r>
        <w:rPr>
          <w:i/>
        </w:rPr>
        <w:t xml:space="preserve">IAA10</w:t>
      </w:r>
      <w:r>
        <w:t xml:space="preserve"> </w:t>
      </w:r>
      <w:r>
        <w:t xml:space="preserve">and</w:t>
      </w:r>
      <w:r>
        <w:t xml:space="preserve"> </w:t>
      </w:r>
      <w:r>
        <w:rPr>
          <w:i/>
        </w:rPr>
        <w:t xml:space="preserve">IAA11</w:t>
      </w:r>
      <w:r>
        <w:t xml:space="preserve"> </w:t>
      </w:r>
      <w:r>
        <w:t xml:space="preserve">both showed functional conservation (</w:t>
      </w:r>
      <m:oMath>
        <m:sSub>
          <m:e>
            <m:r>
              <m:t>π</m:t>
            </m:r>
          </m:e>
          <m:sub>
            <m:r>
              <m:t>N</m:t>
            </m:r>
          </m:sub>
        </m:sSub>
        <m:r>
          <m:t>/</m:t>
        </m:r>
        <m:sSub>
          <m:e>
            <m:r>
              <m:t>π</m:t>
            </m:r>
          </m:e>
          <m:sub>
            <m:r>
              <m:t>S</m:t>
            </m:r>
          </m:sub>
        </m:sSub>
      </m:oMath>
      <w:r>
        <w:t xml:space="preserve"> </w:t>
      </w:r>
      <w:r>
        <w:t xml:space="preserve">of 0.80 and 0.67 respectively) in support of</w:t>
      </w:r>
      <w:r>
        <w:t xml:space="preserve"> </w:t>
      </w:r>
      <w:r>
        <w:rPr>
          <w:i/>
        </w:rPr>
        <w:t xml:space="preserve">IAA10</w:t>
      </w:r>
      <w:r>
        <w:t xml:space="preserve"> </w:t>
      </w:r>
      <w:r>
        <w:t xml:space="preserve">and</w:t>
      </w:r>
      <w:r>
        <w:t xml:space="preserve"> </w:t>
      </w:r>
      <w:r>
        <w:rPr>
          <w:i/>
        </w:rPr>
        <w:t xml:space="preserve">IAA11</w:t>
      </w:r>
      <w:r>
        <w:t xml:space="preserve"> </w:t>
      </w:r>
      <w:r>
        <w:t xml:space="preserve">playing redundant roles. Accessions and associated variants identified here provide a potentially expedited route to elucidating the extent of redundancy between family members such as</w:t>
      </w:r>
      <w:r>
        <w:t xml:space="preserve"> </w:t>
      </w:r>
      <w:r>
        <w:rPr>
          <w:i/>
        </w:rPr>
        <w:t xml:space="preserve">IAA10</w:t>
      </w:r>
      <w:r>
        <w:t xml:space="preserve"> </w:t>
      </w:r>
      <w:r>
        <w:t xml:space="preserve">and</w:t>
      </w:r>
      <w:r>
        <w:t xml:space="preserve"> </w:t>
      </w:r>
      <w:r>
        <w:rPr>
          <w:i/>
        </w:rPr>
        <w:t xml:space="preserve">IAA11</w:t>
      </w:r>
      <w:r>
        <w:t xml:space="preserve">.</w:t>
      </w:r>
    </w:p>
    <w:p>
      <w:pPr>
        <w:pStyle w:val="Heading3"/>
      </w:pPr>
      <w:bookmarkStart w:id="33" w:name="new-loss-of-functiongain-of-function-alleles"/>
      <w:r>
        <w:t xml:space="preserve">New Loss-of-Function/Gain-of-Function alleles</w:t>
      </w:r>
      <w:bookmarkEnd w:id="33"/>
    </w:p>
    <w:p>
      <w:pPr>
        <w:pStyle w:val="FirstParagraph"/>
      </w:pPr>
      <w:r>
        <w:t xml:space="preserve">Accessions with functional variants can be potentially used to investigate the extent of redundancy/specialization within sister pairs. For example, three accessions have a missense variant affecting the EAR domain of IAA10 (HR-5, UKSE06-118 and UKSW06-240, all from southern UK). This variant (L49S) is in the second leucine of the LxLxL motif and likely reduces the ability of IAA10 to recruit the TOPLESS co-repressor</w:t>
      </w:r>
      <w:r>
        <w:t xml:space="preserve"> </w:t>
      </w:r>
      <w:r>
        <w:t xml:space="preserve">(Lee, An, &amp; Cho,</w:t>
      </w:r>
      <w:r>
        <w:t xml:space="preserve"> </w:t>
      </w:r>
      <w:hyperlink w:anchor="ref-lee_biological_2016">
        <w:r>
          <w:rPr>
            <w:rStyle w:val="Hyperlink"/>
          </w:rPr>
          <w:t xml:space="preserve">2016</w:t>
        </w:r>
      </w:hyperlink>
      <w:r>
        <w:t xml:space="preserve">)</w:t>
      </w:r>
      <w:r>
        <w:t xml:space="preserve">. The nonsense variant (IAA10-Y219*) resulting in truncated PB1 domain may be more indicative of</w:t>
      </w:r>
      <w:r>
        <w:t xml:space="preserve"> </w:t>
      </w:r>
      <w:r>
        <w:rPr>
          <w:i/>
        </w:rPr>
        <w:t xml:space="preserve">IAA10</w:t>
      </w:r>
      <w:r>
        <w:t xml:space="preserve"> </w:t>
      </w:r>
      <w:r>
        <w:t xml:space="preserve">null phenotype, as it likely prevents IAA10 from interacting with an ARF. This variant is only found in one accession from northeastern Spain (IP-Svi-0). These accessions and potential loss-of-function alleles may facilitate exploration of the function of</w:t>
      </w:r>
      <w:r>
        <w:t xml:space="preserve"> </w:t>
      </w:r>
      <w:r>
        <w:rPr>
          <w:i/>
        </w:rPr>
        <w:t xml:space="preserve">IAA10</w:t>
      </w:r>
      <w:r>
        <w:t xml:space="preserve">.</w:t>
      </w:r>
    </w:p>
    <w:p>
      <w:pPr>
        <w:pStyle w:val="BodyText"/>
      </w:pPr>
      <w:r>
        <w:t xml:space="preserve">Several examples of possible gain-of-function missense variants were found in the degron of</w:t>
      </w:r>
      <w:r>
        <w:t xml:space="preserve"> </w:t>
      </w:r>
      <w:r>
        <w:rPr>
          <w:i/>
        </w:rPr>
        <w:t xml:space="preserve">IAA2</w:t>
      </w:r>
      <w:r>
        <w:t xml:space="preserve">,</w:t>
      </w:r>
      <w:r>
        <w:t xml:space="preserve"> </w:t>
      </w:r>
      <w:r>
        <w:rPr>
          <w:i/>
        </w:rPr>
        <w:t xml:space="preserve">IAA3</w:t>
      </w:r>
      <w:r>
        <w:t xml:space="preserve">,</w:t>
      </w:r>
      <w:r>
        <w:t xml:space="preserve"> </w:t>
      </w:r>
      <w:r>
        <w:rPr>
          <w:i/>
        </w:rPr>
        <w:t xml:space="preserve">IAA6</w:t>
      </w:r>
      <w:r>
        <w:t xml:space="preserve">,</w:t>
      </w:r>
      <w:r>
        <w:t xml:space="preserve"> </w:t>
      </w:r>
      <w:r>
        <w:rPr>
          <w:i/>
        </w:rPr>
        <w:t xml:space="preserve">IAA7</w:t>
      </w:r>
      <w:r>
        <w:t xml:space="preserve">,</w:t>
      </w:r>
      <w:r>
        <w:t xml:space="preserve"> </w:t>
      </w:r>
      <w:r>
        <w:rPr>
          <w:i/>
        </w:rPr>
        <w:t xml:space="preserve">IAA8</w:t>
      </w:r>
      <w:r>
        <w:t xml:space="preserve">,</w:t>
      </w:r>
      <w:r>
        <w:t xml:space="preserve"> </w:t>
      </w:r>
      <w:r>
        <w:rPr>
          <w:i/>
        </w:rPr>
        <w:t xml:space="preserve">IAA13</w:t>
      </w:r>
      <w:r>
        <w:t xml:space="preserve">,</w:t>
      </w:r>
      <w:r>
        <w:t xml:space="preserve"> </w:t>
      </w:r>
      <w:r>
        <w:rPr>
          <w:i/>
        </w:rPr>
        <w:t xml:space="preserve">IAA15</w:t>
      </w:r>
      <w:r>
        <w:t xml:space="preserve">,</w:t>
      </w:r>
      <w:r>
        <w:t xml:space="preserve"> </w:t>
      </w:r>
      <w:r>
        <w:rPr>
          <w:i/>
        </w:rPr>
        <w:t xml:space="preserve">IAA18</w:t>
      </w:r>
      <w:r>
        <w:t xml:space="preserve">,</w:t>
      </w:r>
      <w:r>
        <w:t xml:space="preserve"> </w:t>
      </w:r>
      <w:r>
        <w:rPr>
          <w:i/>
        </w:rPr>
        <w:t xml:space="preserve">IAA19</w:t>
      </w:r>
      <w:r>
        <w:t xml:space="preserve">,</w:t>
      </w:r>
      <w:r>
        <w:t xml:space="preserve"> </w:t>
      </w:r>
      <w:r>
        <w:rPr>
          <w:i/>
        </w:rPr>
        <w:t xml:space="preserve">IAA27</w:t>
      </w:r>
      <w:r>
        <w:t xml:space="preserve">,</w:t>
      </w:r>
      <w:r>
        <w:t xml:space="preserve"> </w:t>
      </w:r>
      <w:r>
        <w:rPr>
          <w:i/>
        </w:rPr>
        <w:t xml:space="preserve">IAA28</w:t>
      </w:r>
      <w:r>
        <w:t xml:space="preserve"> </w:t>
      </w:r>
      <w:r>
        <w:t xml:space="preserve">and</w:t>
      </w:r>
      <w:r>
        <w:t xml:space="preserve"> </w:t>
      </w:r>
      <w:r>
        <w:rPr>
          <w:i/>
        </w:rPr>
        <w:t xml:space="preserve">IAA29</w:t>
      </w:r>
      <w:r>
        <w:t xml:space="preserve">. Most degron variants were very minor alleles in the population, only represented in one or two accessions. Interestingly, degron missense variants occured more frequently in</w:t>
      </w:r>
      <w:r>
        <w:t xml:space="preserve"> </w:t>
      </w:r>
      <w:r>
        <w:rPr>
          <w:i/>
        </w:rPr>
        <w:t xml:space="preserve">IAA</w:t>
      </w:r>
      <w:r>
        <w:t xml:space="preserve"> </w:t>
      </w:r>
      <w:r>
        <w:t xml:space="preserve">genes that have a closely related sister, which may indicate redundant function within the sister-pairs.</w:t>
      </w:r>
      <w:r>
        <w:t xml:space="preserve"> </w:t>
      </w:r>
      <w:r>
        <w:rPr>
          <w:i/>
        </w:rPr>
        <w:t xml:space="preserve">I think this is an interesting finding, but I’m not sure about this hypothesis of redundant function. If pairs are acting redundantly and we assume the degron variants are dominant, we would expect the auxin signal they transmit (their function) to be lower, in sum, as a pair. So I would actually hypothesize that there has been some divergence in function as a pair.</w:t>
      </w:r>
      <w:r>
        <w:rPr>
          <w:i/>
        </w:rPr>
        <w:t xml:space="preserve"> </w:t>
      </w:r>
    </w:p>
    <w:p>
      <w:pPr>
        <w:pStyle w:val="BodyText"/>
      </w:pPr>
      <w:r>
        <w:rPr>
          <w:i/>
        </w:rPr>
        <w:t xml:space="preserve">IAA6</w:t>
      </w:r>
      <w:r>
        <w:t xml:space="preserve"> </w:t>
      </w:r>
      <w:r>
        <w:t xml:space="preserve">has two potentially dominant missense mutations found within the degron (Supp Fig. alignment), one previously believed to lead to the</w:t>
      </w:r>
      <w:r>
        <w:t xml:space="preserve"> </w:t>
      </w:r>
      <w:r>
        <w:rPr>
          <w:i/>
        </w:rPr>
        <w:t xml:space="preserve">shy1-1</w:t>
      </w:r>
      <w:r>
        <w:t xml:space="preserve"> </w:t>
      </w:r>
      <w:r>
        <w:t xml:space="preserve">phenotype</w:t>
      </w:r>
      <w:r>
        <w:t xml:space="preserve"> </w:t>
      </w:r>
      <w:r>
        <w:t xml:space="preserve">(Kim, Soh, Kang, Furuya, &amp; Nam,</w:t>
      </w:r>
      <w:r>
        <w:t xml:space="preserve"> </w:t>
      </w:r>
      <w:hyperlink w:anchor="ref-kim_two_1996">
        <w:r>
          <w:rPr>
            <w:rStyle w:val="Hyperlink"/>
          </w:rPr>
          <w:t xml:space="preserve">1996</w:t>
        </w:r>
      </w:hyperlink>
      <w:r>
        <w:t xml:space="preserve">)</w:t>
      </w:r>
      <w:r>
        <w:t xml:space="preserve">. Interestingly, this variant is widely represented in 31 accessions across Europe (Supplemental Map Fig). This finding supports the proposition that iaa6-C78R may not be the mutation causing the</w:t>
      </w:r>
      <w:r>
        <w:t xml:space="preserve"> </w:t>
      </w:r>
      <w:r>
        <w:rPr>
          <w:i/>
        </w:rPr>
        <w:t xml:space="preserve">shy1-1D</w:t>
      </w:r>
      <w:r>
        <w:t xml:space="preserve"> </w:t>
      </w:r>
      <w:r>
        <w:t xml:space="preserve">phenotype but rather represents natural variation in the degron sequence (</w:t>
      </w:r>
      <w:hyperlink r:id="rId34">
        <w:r>
          <w:rPr>
            <w:rStyle w:val="Hyperlink"/>
          </w:rPr>
          <w:t xml:space="preserve">note from Mike Prigge in TAIR</w:t>
        </w:r>
      </w:hyperlink>
      <w:r>
        <w:t xml:space="preserve">). These accessions could be used to confirm whether</w:t>
      </w:r>
      <w:r>
        <w:t xml:space="preserve"> </w:t>
      </w:r>
      <w:r>
        <w:rPr>
          <w:i/>
        </w:rPr>
        <w:t xml:space="preserve">iaa6-C78R</w:t>
      </w:r>
      <w:r>
        <w:t xml:space="preserve"> </w:t>
      </w:r>
      <w:r>
        <w:t xml:space="preserve">is responsible for the</w:t>
      </w:r>
      <w:r>
        <w:t xml:space="preserve"> </w:t>
      </w:r>
      <w:r>
        <w:rPr>
          <w:i/>
        </w:rPr>
        <w:t xml:space="preserve">shy1-1D</w:t>
      </w:r>
      <w:r>
        <w:t xml:space="preserve"> </w:t>
      </w:r>
      <w:r>
        <w:t xml:space="preserve">phenotype. Additionally, an accession was identified with the IAA6-V77M variant, also in the degron, that may be useful to further explore</w:t>
      </w:r>
      <w:r>
        <w:t xml:space="preserve"> </w:t>
      </w:r>
      <w:r>
        <w:rPr>
          <w:i/>
        </w:rPr>
        <w:t xml:space="preserve">iaa6</w:t>
      </w:r>
      <w:r>
        <w:t xml:space="preserve"> </w:t>
      </w:r>
      <w:r>
        <w:t xml:space="preserve">gain-of-function phenotypes.</w:t>
      </w:r>
    </w:p>
    <w:p>
      <w:pPr>
        <w:pStyle w:val="Heading3"/>
      </w:pPr>
      <w:bookmarkStart w:id="35" w:name="identifying-novel-functional-sequences-in-iaas"/>
      <w:r>
        <w:t xml:space="preserve">Identifying novel functional sequences in IAAs</w:t>
      </w:r>
      <w:bookmarkEnd w:id="35"/>
    </w:p>
    <w:p>
      <w:pPr>
        <w:pStyle w:val="FirstParagraph"/>
      </w:pPr>
      <w:r>
        <w:t xml:space="preserve">An exciting possible use for the Natural Variation Webtool is to search for conserved, low-diversity sites that may represent possible sites of functional import, such as post-translational modification or protein-protein interaction. For example, recent detailed biochemical analysis identified putative lysine ubiquitination sites in members of the</w:t>
      </w:r>
      <w:r>
        <w:t xml:space="preserve"> </w:t>
      </w:r>
      <w:r>
        <w:rPr>
          <w:i/>
        </w:rPr>
        <w:t xml:space="preserve">IAA6/19</w:t>
      </w:r>
      <w:r>
        <w:t xml:space="preserve"> </w:t>
      </w:r>
      <w:r>
        <w:t xml:space="preserve">sister pairs</w:t>
      </w:r>
      <w:r>
        <w:t xml:space="preserve"> </w:t>
      </w:r>
      <w:r>
        <w:t xml:space="preserve">(Winkler et al.,</w:t>
      </w:r>
      <w:r>
        <w:t xml:space="preserve"> </w:t>
      </w:r>
      <w:hyperlink w:anchor="ref-winkler_variation_2017">
        <w:r>
          <w:rPr>
            <w:rStyle w:val="Hyperlink"/>
          </w:rPr>
          <w:t xml:space="preserve">2017</w:t>
        </w:r>
      </w:hyperlink>
      <w:r>
        <w:t xml:space="preserve">)</w:t>
      </w:r>
      <w:r>
        <w:t xml:space="preserve">; Supp Fig IAA6/19 alignment). These sites are conserved across natural sequence variation, while several other lysine residues vary (Supp Figs alignment and map). In IAA6, there are 17 lysines of which ~6 are putative ubiquitination sites~</w:t>
      </w:r>
      <w:r>
        <w:t xml:space="preserve"> </w:t>
      </w:r>
      <w:r>
        <w:rPr>
          <w:i/>
        </w:rPr>
        <w:t xml:space="preserve">I think this should be 5, K3, K32, K33, K91, and K97. Missense variants occured in K34Q, K140N</w:t>
      </w:r>
      <w:r>
        <w:rPr>
          <w:i/>
        </w:rPr>
        <w:t xml:space="preserve"> </w:t>
      </w:r>
      <w:r>
        <w:t xml:space="preserve">. One is proximal to the KR motif, while two others show natural variation. In IAA19, there are 15 total lysines, 8 of which are putative ubiquitination sites (K3, K25, K68, L87, K93, K100, K111, and K141). Two of these ubiquitination sites are proximal to the KR motif and degron.</w:t>
      </w:r>
      <w:r>
        <w:t xml:space="preserve"> </w:t>
      </w:r>
      <w:r>
        <w:rPr>
          <w:b/>
        </w:rPr>
        <w:t xml:space="preserve">This sentence is not clear. Only 1 of the ubiquitination sites varies? or one lysine, I think you mean this only 1 lysine that varies, but it is not ubiquitinated. Ubiquitylated Missense K129T</w:t>
      </w:r>
      <w:r>
        <w:t xml:space="preserve"> </w:t>
      </w:r>
      <w:r>
        <w:t xml:space="preserve">Natural sequence diversity may be used to narrow down a subset of lysines to assess for functional ubiquitination.</w:t>
      </w:r>
    </w:p>
    <w:p>
      <w:pPr>
        <w:pStyle w:val="BodyText"/>
      </w:pPr>
      <w:r>
        <w:t xml:space="preserve">The members of the</w:t>
      </w:r>
      <w:r>
        <w:t xml:space="preserve"> </w:t>
      </w:r>
      <w:r>
        <w:rPr>
          <w:i/>
        </w:rPr>
        <w:t xml:space="preserve">IAA8/9/27</w:t>
      </w:r>
      <w:r>
        <w:t xml:space="preserve"> </w:t>
      </w:r>
      <w:r>
        <w:t xml:space="preserve">clade have a unique N-terminal extension with a highly conserved region common to orthologs in several other species</w:t>
      </w:r>
      <w:r>
        <w:t xml:space="preserve"> </w:t>
      </w:r>
      <w:r>
        <w:t xml:space="preserve">(Dreher et al.,</w:t>
      </w:r>
      <w:r>
        <w:t xml:space="preserve"> </w:t>
      </w:r>
      <w:hyperlink w:anchor="ref-dreher_arabidopsis_2006">
        <w:r>
          <w:rPr>
            <w:rStyle w:val="Hyperlink"/>
          </w:rPr>
          <w:t xml:space="preserve">2006</w:t>
        </w:r>
      </w:hyperlink>
      <w:r>
        <w:t xml:space="preserve">)</w:t>
      </w:r>
      <w:r>
        <w:t xml:space="preserve">.</w:t>
      </w:r>
      <w:r>
        <w:t xml:space="preserve"> </w:t>
      </w:r>
      <w:r>
        <w:rPr>
          <w:i/>
        </w:rPr>
        <w:t xml:space="preserve">IAA8</w:t>
      </w:r>
      <w:r>
        <w:t xml:space="preserve"> </w:t>
      </w:r>
      <w:r>
        <w:t xml:space="preserve">and</w:t>
      </w:r>
      <w:r>
        <w:t xml:space="preserve"> </w:t>
      </w:r>
      <w:r>
        <w:rPr>
          <w:i/>
        </w:rPr>
        <w:t xml:space="preserve">IAA9</w:t>
      </w:r>
      <w:r>
        <w:t xml:space="preserve"> </w:t>
      </w:r>
      <w:r>
        <w:t xml:space="preserve">play redundant roles in leaf serration</w:t>
      </w:r>
      <w:r>
        <w:t xml:space="preserve"> </w:t>
      </w:r>
      <w:r>
        <w:t xml:space="preserve">(Koenig, Bayer, Kang, Kuhlemeier, &amp; Sinha,</w:t>
      </w:r>
      <w:r>
        <w:t xml:space="preserve"> </w:t>
      </w:r>
      <w:hyperlink w:anchor="ref-koenig_auxin_2009">
        <w:r>
          <w:rPr>
            <w:rStyle w:val="Hyperlink"/>
          </w:rPr>
          <w:t xml:space="preserve">2009</w:t>
        </w:r>
      </w:hyperlink>
      <w:r>
        <w:t xml:space="preserve">)</w:t>
      </w:r>
      <w:r>
        <w:t xml:space="preserve">, while</w:t>
      </w:r>
      <w:r>
        <w:t xml:space="preserve"> </w:t>
      </w:r>
      <w:r>
        <w:rPr>
          <w:i/>
        </w:rPr>
        <w:t xml:space="preserve">IAA8</w:t>
      </w:r>
      <w:r>
        <w:t xml:space="preserve"> </w:t>
      </w:r>
      <w:r>
        <w:t xml:space="preserve">also plays an important role in lateral root development</w:t>
      </w:r>
      <w:r>
        <w:t xml:space="preserve"> </w:t>
      </w:r>
      <w:r>
        <w:t xml:space="preserve">(Arase et al.,</w:t>
      </w:r>
      <w:r>
        <w:t xml:space="preserve"> </w:t>
      </w:r>
      <w:hyperlink w:anchor="ref-arase_iaa8_2012">
        <w:r>
          <w:rPr>
            <w:rStyle w:val="Hyperlink"/>
          </w:rPr>
          <w:t xml:space="preserve">2012</w:t>
        </w:r>
      </w:hyperlink>
      <w:r>
        <w:t xml:space="preserve">)</w:t>
      </w:r>
      <w:r>
        <w:t xml:space="preserve">. IAA8 has been reported to uniquely localize in the cytosol</w:t>
      </w:r>
      <w:r>
        <w:t xml:space="preserve"> </w:t>
      </w:r>
      <w:r>
        <w:t xml:space="preserve">(Arase et al.,</w:t>
      </w:r>
      <w:r>
        <w:t xml:space="preserve"> </w:t>
      </w:r>
      <w:hyperlink w:anchor="ref-arase_iaa8_2012">
        <w:r>
          <w:rPr>
            <w:rStyle w:val="Hyperlink"/>
          </w:rPr>
          <w:t xml:space="preserve">2012</w:t>
        </w:r>
      </w:hyperlink>
      <w:r>
        <w:t xml:space="preserve">)</w:t>
      </w:r>
      <w:r>
        <w:t xml:space="preserve"> </w:t>
      </w:r>
      <w:r>
        <w:t xml:space="preserve">where it may interact with LSD1 protein</w:t>
      </w:r>
      <w:r>
        <w:t xml:space="preserve"> </w:t>
      </w:r>
      <w:r>
        <w:t xml:space="preserve">(Coll, Epple, &amp; Dangl,</w:t>
      </w:r>
      <w:r>
        <w:t xml:space="preserve"> </w:t>
      </w:r>
      <w:hyperlink w:anchor="ref-coll_programmed_2011">
        <w:r>
          <w:rPr>
            <w:rStyle w:val="Hyperlink"/>
          </w:rPr>
          <w:t xml:space="preserve">2011</w:t>
        </w:r>
      </w:hyperlink>
      <w:r>
        <w:t xml:space="preserve">)</w:t>
      </w:r>
      <w:r>
        <w:t xml:space="preserve">. The N-terminal extension has low natural sequence diversity in</w:t>
      </w:r>
      <w:r>
        <w:t xml:space="preserve"> </w:t>
      </w:r>
      <w:r>
        <w:rPr>
          <w:i/>
        </w:rPr>
        <w:t xml:space="preserve">IAA8</w:t>
      </w:r>
      <w:r>
        <w:t xml:space="preserve"> </w:t>
      </w:r>
      <w:r>
        <w:t xml:space="preserve">and</w:t>
      </w:r>
      <w:r>
        <w:t xml:space="preserve"> </w:t>
      </w:r>
      <w:r>
        <w:rPr>
          <w:i/>
        </w:rPr>
        <w:t xml:space="preserve">IAA9</w:t>
      </w:r>
      <w:r>
        <w:t xml:space="preserve"> </w:t>
      </w:r>
      <w:r>
        <w:t xml:space="preserve">(Supp Fig IAA8/9 alignment) that may represent a site of novel functionality, possibly mediating interaction with LSD1. The few accessions with missense alleles in this region in both</w:t>
      </w:r>
      <w:r>
        <w:t xml:space="preserve"> </w:t>
      </w:r>
      <w:r>
        <w:rPr>
          <w:i/>
        </w:rPr>
        <w:t xml:space="preserve">IAA8</w:t>
      </w:r>
      <w:r>
        <w:t xml:space="preserve"> </w:t>
      </w:r>
      <w:r>
        <w:t xml:space="preserve">and</w:t>
      </w:r>
      <w:r>
        <w:t xml:space="preserve"> </w:t>
      </w:r>
      <w:r>
        <w:rPr>
          <w:i/>
        </w:rPr>
        <w:t xml:space="preserve">IAA9</w:t>
      </w:r>
      <w:r>
        <w:t xml:space="preserve"> </w:t>
      </w:r>
      <w:r>
        <w:t xml:space="preserve">may be valuable in probing the functionality of this region (Supplemental Fig IAA8/9 map).</w:t>
      </w:r>
    </w:p>
    <w:p>
      <w:pPr>
        <w:pStyle w:val="BodyText"/>
      </w:pPr>
      <w:r>
        <w:t xml:space="preserve">Members of the</w:t>
      </w:r>
      <w:r>
        <w:t xml:space="preserve"> </w:t>
      </w:r>
      <w:r>
        <w:rPr>
          <w:i/>
        </w:rPr>
        <w:t xml:space="preserve">IAA17/7/14/16</w:t>
      </w:r>
      <w:r>
        <w:t xml:space="preserve"> </w:t>
      </w:r>
      <w:r>
        <w:t xml:space="preserve">clade have a second EAR motif (LxLxL) with no observed missense variants in</w:t>
      </w:r>
      <w:r>
        <w:t xml:space="preserve"> </w:t>
      </w:r>
      <w:r>
        <w:rPr>
          <w:i/>
        </w:rPr>
        <w:t xml:space="preserve">IAA7</w:t>
      </w:r>
      <w:r>
        <w:t xml:space="preserve">,</w:t>
      </w:r>
      <w:r>
        <w:t xml:space="preserve"> </w:t>
      </w:r>
      <w:r>
        <w:rPr>
          <w:i/>
        </w:rPr>
        <w:t xml:space="preserve">IAA16</w:t>
      </w:r>
      <w:r>
        <w:t xml:space="preserve">, or</w:t>
      </w:r>
      <w:r>
        <w:t xml:space="preserve"> </w:t>
      </w:r>
      <w:r>
        <w:rPr>
          <w:i/>
        </w:rPr>
        <w:t xml:space="preserve">IAA17</w:t>
      </w:r>
      <w:r>
        <w:t xml:space="preserve"> </w:t>
      </w:r>
      <w:r>
        <w:t xml:space="preserve">(Supp Fig IAA7/14/16/17 alignment). This observation supports the experimental evidence for IAA7 that the second EAR motif is functional,</w:t>
      </w:r>
      <w:r>
        <w:t xml:space="preserve"> </w:t>
      </w:r>
      <w:r>
        <w:rPr>
          <w:i/>
        </w:rPr>
        <w:t xml:space="preserve">i.e.</w:t>
      </w:r>
      <w:r>
        <w:t xml:space="preserve"> </w:t>
      </w:r>
      <w:r>
        <w:t xml:space="preserve">it can interact with TPR1 co-repressor and has a minor repressive role in auxin-related developmental phenotypes [lee_biological_2016]. For</w:t>
      </w:r>
      <w:r>
        <w:t xml:space="preserve"> </w:t>
      </w:r>
      <w:r>
        <w:rPr>
          <w:i/>
        </w:rPr>
        <w:t xml:space="preserve">IAA14</w:t>
      </w:r>
      <w:r>
        <w:t xml:space="preserve">, there were two missense variants that may be of interest to probe functionality of this second EAR motif. One variant, L41F, in the central lysine is represented in only one accession, and the other in the second</w:t>
      </w:r>
      <w:r>
        <w:t xml:space="preserve"> </w:t>
      </w:r>
      <w:r>
        <w:t xml:space="preserve">“</w:t>
      </w:r>
      <w:r>
        <w:t xml:space="preserve">x</w:t>
      </w:r>
      <w:r>
        <w:t xml:space="preserve">”</w:t>
      </w:r>
      <w:r>
        <w:t xml:space="preserve"> </w:t>
      </w:r>
      <w:r>
        <w:t xml:space="preserve">(K40N) is found in twelve accessions around Copenhagen (Supp Fig. IAA14 map).</w:t>
      </w:r>
    </w:p>
    <w:p>
      <w:pPr>
        <w:pStyle w:val="Heading2"/>
      </w:pPr>
      <w:bookmarkStart w:id="36" w:name="tpltpr-genes"/>
      <w:r>
        <w:rPr>
          <w:i/>
        </w:rPr>
        <w:t xml:space="preserve">TPL/TPR</w:t>
      </w:r>
      <w:r>
        <w:t xml:space="preserve"> </w:t>
      </w:r>
      <w:r>
        <w:t xml:space="preserve">genes</w:t>
      </w:r>
      <w:bookmarkEnd w:id="36"/>
    </w:p>
    <w:p>
      <w:pPr>
        <w:pStyle w:val="FirstParagraph"/>
      </w:pPr>
      <w:r>
        <w:t xml:space="preserve">The Auxin signaling pathway utilizes the TOPLESS (TPL) and TOPLESS-related (TPR) family of Gro/TLE/TUP1 type co-repressor proteins to maintain auxin responsive genes in a transcriptionally-repressed state in the absence of auxin</w:t>
      </w:r>
      <w:r>
        <w:t xml:space="preserve"> </w:t>
      </w:r>
      <w:r>
        <w:t xml:space="preserve">(Szemenyei, Hannon, &amp; Long,</w:t>
      </w:r>
      <w:r>
        <w:t xml:space="preserve"> </w:t>
      </w:r>
      <w:hyperlink w:anchor="ref-szemenyei_topless_2008">
        <w:r>
          <w:rPr>
            <w:rStyle w:val="Hyperlink"/>
          </w:rPr>
          <w:t xml:space="preserve">2008</w:t>
        </w:r>
      </w:hyperlink>
      <w:r>
        <w:t xml:space="preserve">)</w:t>
      </w:r>
      <w:r>
        <w:t xml:space="preserve">. In</w:t>
      </w:r>
      <w:r>
        <w:t xml:space="preserve"> </w:t>
      </w:r>
      <w:r>
        <w:rPr>
          <w:i/>
        </w:rPr>
        <w:t xml:space="preserve">Arabidopsis thaliana</w:t>
      </w:r>
      <w:r>
        <w:t xml:space="preserve"> </w:t>
      </w:r>
      <w:r>
        <w:t xml:space="preserve">the five member</w:t>
      </w:r>
      <w:r>
        <w:t xml:space="preserve"> </w:t>
      </w:r>
      <w:r>
        <w:rPr>
          <w:i/>
        </w:rPr>
        <w:t xml:space="preserve">TPL/TPR</w:t>
      </w:r>
      <w:r>
        <w:t xml:space="preserve"> </w:t>
      </w:r>
      <w:r>
        <w:t xml:space="preserve">family includes</w:t>
      </w:r>
      <w:r>
        <w:t xml:space="preserve"> </w:t>
      </w:r>
      <w:r>
        <w:rPr>
          <w:i/>
        </w:rPr>
        <w:t xml:space="preserve">TPL</w:t>
      </w:r>
      <w:r>
        <w:t xml:space="preserve"> </w:t>
      </w:r>
      <w:r>
        <w:t xml:space="preserve">and</w:t>
      </w:r>
      <w:r>
        <w:t xml:space="preserve"> </w:t>
      </w:r>
      <w:r>
        <w:rPr>
          <w:i/>
        </w:rPr>
        <w:t xml:space="preserve">TPR1-4</w:t>
      </w:r>
      <w:r>
        <w:t xml:space="preserve">. The resulting proteins are comprised of three structural domains: an N-terminal TPL domain and two WD-40 domains</w:t>
      </w:r>
      <w:r>
        <w:t xml:space="preserve"> </w:t>
      </w:r>
      <w:r>
        <w:t xml:space="preserve">(</w:t>
      </w:r>
      <w:r>
        <w:rPr>
          <w:b/>
        </w:rPr>
        <w:t xml:space="preserve">???</w:t>
      </w:r>
      <w:r>
        <w:t xml:space="preserve">)</w:t>
      </w:r>
      <w:r>
        <w:t xml:space="preserve">. TPL/TPR proteins are recruited to the AUX/IAA proteins through interaction with the conserved Ethylene-responsive element binding factor-associated amphiphilic repression (EAR) domain</w:t>
      </w:r>
      <w:r>
        <w:t xml:space="preserve"> </w:t>
      </w:r>
      <w:r>
        <w:t xml:space="preserve">(Szemenyei et al.,</w:t>
      </w:r>
      <w:r>
        <w:t xml:space="preserve"> </w:t>
      </w:r>
      <w:hyperlink w:anchor="ref-szemenyei_topless_2008">
        <w:r>
          <w:rPr>
            <w:rStyle w:val="Hyperlink"/>
          </w:rPr>
          <w:t xml:space="preserve">2008</w:t>
        </w:r>
      </w:hyperlink>
      <w:r>
        <w:t xml:space="preserve">)</w:t>
      </w:r>
      <w:r>
        <w:t xml:space="preserve">. Canonical EAR domains have the amino acid sequence LxLxL, as found in most AUX/IAAs (figure xA)</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TPL/TPR co-repressors bind EAR domains via their C-terminal to LisH (CTLH) domains found near their N-termini (citations of pre-structure founding papers/reviews). Recent structural analyses of the TPL N-terminal domain have highlighted the precise interaction interface between TPL and AUX/IAA EAR domains, as well as the TPL-TPL dimerization and tetramerization motifs</w:t>
      </w:r>
      <w:r>
        <w:t xml:space="preserve"> </w:t>
      </w:r>
      <w:r>
        <w:t xml:space="preserve">(</w:t>
      </w:r>
      <w:r>
        <w:rPr>
          <w:b/>
        </w:rPr>
        <w:t xml:space="preserve">???</w:t>
      </w:r>
      <w:r>
        <w:t xml:space="preserve">; Martin-Arevalillo et al.,</w:t>
      </w:r>
      <w:r>
        <w:t xml:space="preserve"> </w:t>
      </w:r>
      <w:hyperlink w:anchor="ref-martin-arevalillo_structure_2017">
        <w:r>
          <w:rPr>
            <w:rStyle w:val="Hyperlink"/>
          </w:rPr>
          <w:t xml:space="preserve">2017</w:t>
        </w:r>
      </w:hyperlink>
      <w:r>
        <w:t xml:space="preserve">)</w:t>
      </w:r>
      <w:r>
        <w:t xml:space="preserve">. The residues required for higher-order multimers of TPL tetramers have also been identified</w:t>
      </w:r>
      <w:r>
        <w:t xml:space="preserve"> </w:t>
      </w:r>
      <w:r>
        <w:t xml:space="preserve">(</w:t>
      </w:r>
      <w:r>
        <w:rPr>
          <w:b/>
        </w:rPr>
        <w:t xml:space="preserve">???</w:t>
      </w:r>
      <w:r>
        <w:t xml:space="preserve">)</w:t>
      </w:r>
      <w:r>
        <w:t xml:space="preserve">. Additional interactions with transcriptional regulation and chromatin modifying machinery are likely mediated by two tandem beta propeller domains of TPL/TPRs. These domain have not yet been crystallized, however numerous high resolution crystal structures of beta propeller domains allow for structural prediction of the TPL C-terminal beta propeller domains and the locations of likely interaction faces (Figure, X).</w:t>
      </w:r>
    </w:p>
    <w:p>
      <w:pPr>
        <w:pStyle w:val="BodyText"/>
      </w:pPr>
      <w:r>
        <w:t xml:space="preserve">The TOPLESS co-repressor family generally exhibits a high level of sequence conservation at the amino acid sequence level across resequenced</w:t>
      </w:r>
      <w:r>
        <w:t xml:space="preserve"> </w:t>
      </w:r>
      <w:r>
        <w:rPr>
          <w:i/>
        </w:rPr>
        <w:t xml:space="preserve">Arabidopsis thaliana</w:t>
      </w:r>
      <w:r>
        <w:t xml:space="preserve"> </w:t>
      </w:r>
      <w:r>
        <w:t xml:space="preserve">accessions, with all</w:t>
      </w:r>
      <w:r>
        <w:t xml:space="preserve"> </w:t>
      </w:r>
      <m:oMath>
        <m:sSub>
          <m:e>
            <m:r>
              <m:t>π</m:t>
            </m:r>
          </m:e>
          <m:sub>
            <m:r>
              <m:t>N</m:t>
            </m:r>
          </m:sub>
        </m:sSub>
        <m:r>
          <m:t>/</m:t>
        </m:r>
        <m:sSub>
          <m:e>
            <m:r>
              <m:t>π</m:t>
            </m:r>
          </m:e>
          <m:sub>
            <m:r>
              <m:t>S</m:t>
            </m:r>
          </m:sub>
        </m:sSub>
      </m:oMath>
      <w:r>
        <w:t xml:space="preserve"> </w:t>
      </w:r>
      <w:r>
        <w:t xml:space="preserve">values below 1 (Table X). The closely related</w:t>
      </w:r>
      <w:r>
        <w:t xml:space="preserve"> </w:t>
      </w:r>
      <w:r>
        <w:rPr>
          <w:i/>
        </w:rPr>
        <w:t xml:space="preserve">TPL</w:t>
      </w:r>
      <w:r>
        <w:t xml:space="preserve"> </w:t>
      </w:r>
      <w:r>
        <w:t xml:space="preserve">and</w:t>
      </w:r>
      <w:r>
        <w:t xml:space="preserve"> </w:t>
      </w:r>
      <w:r>
        <w:rPr>
          <w:i/>
        </w:rPr>
        <w:t xml:space="preserve">TPR1</w:t>
      </w:r>
      <w:r>
        <w:t xml:space="preserve"> </w:t>
      </w:r>
      <w:r>
        <w:t xml:space="preserve">have the highest</w:t>
      </w:r>
      <w:r>
        <w:t xml:space="preserve"> </w:t>
      </w:r>
      <m:oMath>
        <m:sSub>
          <m:e>
            <m:r>
              <m:t>π</m:t>
            </m:r>
          </m:e>
          <m:sub>
            <m:r>
              <m:t>N</m:t>
            </m:r>
          </m:sub>
        </m:sSub>
        <m:r>
          <m:t>/</m:t>
        </m:r>
        <m:sSub>
          <m:e>
            <m:r>
              <m:t>π</m:t>
            </m:r>
          </m:e>
          <m:sub>
            <m:r>
              <m:t>S</m:t>
            </m:r>
          </m:sub>
        </m:sSub>
      </m:oMath>
      <w:r>
        <w:t xml:space="preserve"> </w:t>
      </w:r>
      <w:r>
        <w:t xml:space="preserve">values (TPL-0.425, TPR1-0.739), suggesting that these these two related genes tolerate a higher degree of sequence and potentially functional diversity compared to</w:t>
      </w:r>
      <w:r>
        <w:t xml:space="preserve"> </w:t>
      </w:r>
      <w:r>
        <w:rPr>
          <w:i/>
        </w:rPr>
        <w:t xml:space="preserve">TPR2/3/4</w:t>
      </w:r>
      <w:r>
        <w:t xml:space="preserve">. The N-terminal TPL domain of the TPL/TPR family is particularly conserved (Figure X). All nonsynonymous polymorphisms observed in this region are either in the coils between helices or are highly conservative mutations within helices (i.e. Valine to Isoleucine), which would be predicted to exhibit little effect on folding and function.</w:t>
      </w:r>
    </w:p>
    <w:p>
      <w:pPr>
        <w:pStyle w:val="SourceCode"/>
      </w:pPr>
      <w:r>
        <w:rPr>
          <w:rStyle w:val="VerbatimChar"/>
        </w:rPr>
        <w:t xml:space="preserve">#&gt; [1] "new genes:"</w:t>
      </w:r>
      <w:r>
        <w:br w:type="textWrapping"/>
      </w:r>
      <w:r>
        <w:rPr>
          <w:rStyle w:val="VerbatimChar"/>
        </w:rPr>
        <w:t xml:space="preserve">#&gt; character(0)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transcript_ID</w:t>
            </w:r>
          </w:p>
        </w:tc>
        <w:tc>
          <w:tcPr>
            <w:tcBorders>
              <w:bottom w:val="single"/>
            </w:tcBorders>
            <w:vAlign w:val="bottom"/>
          </w:tcPr>
          <w:p>
            <w:pPr>
              <w:pStyle w:val="Compact"/>
              <w:jc w:val="left"/>
            </w:pPr>
            <w:r>
              <w:t xml:space="preserve">tair_symbol</w:t>
            </w:r>
          </w:p>
        </w:tc>
        <w:tc>
          <w:tcPr>
            <w:tcBorders>
              <w:bottom w:val="single"/>
            </w:tcBorders>
            <w:vAlign w:val="bottom"/>
          </w:tcPr>
          <w:p>
            <w:pPr>
              <w:pStyle w:val="Compact"/>
              <w:jc w:val="right"/>
            </w:pPr>
            <w:r>
              <w:t xml:space="preserve">Pi_non_syn</w:t>
            </w:r>
          </w:p>
        </w:tc>
        <w:tc>
          <w:tcPr>
            <w:tcBorders>
              <w:bottom w:val="single"/>
            </w:tcBorders>
            <w:vAlign w:val="bottom"/>
          </w:tcPr>
          <w:p>
            <w:pPr>
              <w:pStyle w:val="Compact"/>
              <w:jc w:val="right"/>
            </w:pPr>
            <w:r>
              <w:t xml:space="preserve">Pi_syn</w:t>
            </w:r>
          </w:p>
        </w:tc>
        <w:tc>
          <w:tcPr>
            <w:tcBorders>
              <w:bottom w:val="single"/>
            </w:tcBorders>
            <w:vAlign w:val="bottom"/>
          </w:tcPr>
          <w:p>
            <w:pPr>
              <w:pStyle w:val="Compact"/>
              <w:jc w:val="right"/>
            </w:pPr>
            <w:r>
              <w:t xml:space="preserve">Pi_NS_Ratio</w:t>
            </w:r>
          </w:p>
        </w:tc>
        <w:tc>
          <w:tcPr>
            <w:tcBorders>
              <w:bottom w:val="single"/>
            </w:tcBorders>
            <w:vAlign w:val="bottom"/>
          </w:tcPr>
          <w:p>
            <w:pPr>
              <w:pStyle w:val="Compact"/>
              <w:jc w:val="right"/>
            </w:pPr>
            <w:r>
              <w:t xml:space="preserve">Pi_coding</w:t>
            </w:r>
          </w:p>
        </w:tc>
        <w:tc>
          <w:tcPr>
            <w:tcBorders>
              <w:bottom w:val="single"/>
            </w:tcBorders>
            <w:vAlign w:val="bottom"/>
          </w:tcPr>
          <w:p>
            <w:pPr>
              <w:pStyle w:val="Compact"/>
              <w:jc w:val="right"/>
            </w:pPr>
            <w:r>
              <w:t xml:space="preserve">Pi_transcript</w:t>
            </w:r>
          </w:p>
        </w:tc>
      </w:tr>
      <w:tr>
        <w:tc>
          <w:p>
            <w:pPr>
              <w:pStyle w:val="Compact"/>
              <w:jc w:val="left"/>
            </w:pPr>
            <w:r>
              <w:t xml:space="preserve">1</w:t>
            </w:r>
          </w:p>
        </w:tc>
        <w:tc>
          <w:p>
            <w:pPr>
              <w:pStyle w:val="Compact"/>
              <w:jc w:val="left"/>
            </w:pPr>
            <w:r>
              <w:t xml:space="preserve">AT1G15750.1</w:t>
            </w:r>
          </w:p>
        </w:tc>
        <w:tc>
          <w:p>
            <w:pPr>
              <w:pStyle w:val="Compact"/>
              <w:jc w:val="left"/>
            </w:pPr>
            <w:r>
              <w:t xml:space="preserve">TPL</w:t>
            </w:r>
          </w:p>
        </w:tc>
        <w:tc>
          <w:p>
            <w:pPr>
              <w:pStyle w:val="Compact"/>
              <w:jc w:val="right"/>
            </w:pPr>
            <w:r>
              <w:t xml:space="preserve">0.0001777</w:t>
            </w:r>
          </w:p>
        </w:tc>
        <w:tc>
          <w:p>
            <w:pPr>
              <w:pStyle w:val="Compact"/>
              <w:jc w:val="right"/>
            </w:pPr>
            <w:r>
              <w:t xml:space="preserve">0.0004179</w:t>
            </w:r>
          </w:p>
        </w:tc>
        <w:tc>
          <w:p>
            <w:pPr>
              <w:pStyle w:val="Compact"/>
              <w:jc w:val="right"/>
            </w:pPr>
            <w:r>
              <w:t xml:space="preserve">0.4252898</w:t>
            </w:r>
          </w:p>
        </w:tc>
        <w:tc>
          <w:p>
            <w:pPr>
              <w:pStyle w:val="Compact"/>
              <w:jc w:val="right"/>
            </w:pPr>
            <w:r>
              <w:t xml:space="preserve">0.0005956</w:t>
            </w:r>
          </w:p>
        </w:tc>
        <w:tc>
          <w:p>
            <w:pPr>
              <w:pStyle w:val="Compact"/>
              <w:jc w:val="right"/>
            </w:pPr>
            <w:r>
              <w:t xml:space="preserve">0.0010113</w:t>
            </w:r>
          </w:p>
        </w:tc>
      </w:tr>
      <w:tr>
        <w:tc>
          <w:p>
            <w:pPr>
              <w:pStyle w:val="Compact"/>
              <w:jc w:val="left"/>
            </w:pPr>
            <w:r>
              <w:t xml:space="preserve">2</w:t>
            </w:r>
          </w:p>
        </w:tc>
        <w:tc>
          <w:p>
            <w:pPr>
              <w:pStyle w:val="Compact"/>
              <w:jc w:val="left"/>
            </w:pPr>
            <w:r>
              <w:t xml:space="preserve">AT1G80490.1</w:t>
            </w:r>
          </w:p>
        </w:tc>
        <w:tc>
          <w:p>
            <w:pPr>
              <w:pStyle w:val="Compact"/>
              <w:jc w:val="left"/>
            </w:pPr>
            <w:r>
              <w:t xml:space="preserve">TPR1</w:t>
            </w:r>
          </w:p>
        </w:tc>
        <w:tc>
          <w:p>
            <w:pPr>
              <w:pStyle w:val="Compact"/>
              <w:jc w:val="right"/>
            </w:pPr>
            <w:r>
              <w:t xml:space="preserve">0.0003242</w:t>
            </w:r>
          </w:p>
        </w:tc>
        <w:tc>
          <w:p>
            <w:pPr>
              <w:pStyle w:val="Compact"/>
              <w:jc w:val="right"/>
            </w:pPr>
            <w:r>
              <w:t xml:space="preserve">0.0004382</w:t>
            </w:r>
          </w:p>
        </w:tc>
        <w:tc>
          <w:p>
            <w:pPr>
              <w:pStyle w:val="Compact"/>
              <w:jc w:val="right"/>
            </w:pPr>
            <w:r>
              <w:t xml:space="preserve">0.7397442</w:t>
            </w:r>
          </w:p>
        </w:tc>
        <w:tc>
          <w:p>
            <w:pPr>
              <w:pStyle w:val="Compact"/>
              <w:jc w:val="right"/>
            </w:pPr>
            <w:r>
              <w:t xml:space="preserve">0.0007602</w:t>
            </w:r>
          </w:p>
        </w:tc>
        <w:tc>
          <w:p>
            <w:pPr>
              <w:pStyle w:val="Compact"/>
              <w:jc w:val="right"/>
            </w:pPr>
            <w:r>
              <w:t xml:space="preserve">0.0013711</w:t>
            </w:r>
          </w:p>
        </w:tc>
      </w:tr>
      <w:tr>
        <w:tc>
          <w:p>
            <w:pPr>
              <w:pStyle w:val="Compact"/>
              <w:jc w:val="left"/>
            </w:pPr>
            <w:r>
              <w:t xml:space="preserve">4</w:t>
            </w:r>
          </w:p>
        </w:tc>
        <w:tc>
          <w:p>
            <w:pPr>
              <w:pStyle w:val="Compact"/>
              <w:jc w:val="left"/>
            </w:pPr>
            <w:r>
              <w:t xml:space="preserve">AT3G16830.1</w:t>
            </w:r>
          </w:p>
        </w:tc>
        <w:tc>
          <w:p>
            <w:pPr>
              <w:pStyle w:val="Compact"/>
              <w:jc w:val="left"/>
            </w:pPr>
            <w:r>
              <w:t xml:space="preserve">TPR2</w:t>
            </w:r>
          </w:p>
        </w:tc>
        <w:tc>
          <w:p>
            <w:pPr>
              <w:pStyle w:val="Compact"/>
              <w:jc w:val="right"/>
            </w:pPr>
            <w:r>
              <w:t xml:space="preserve">0.0000776</w:t>
            </w:r>
          </w:p>
        </w:tc>
        <w:tc>
          <w:p>
            <w:pPr>
              <w:pStyle w:val="Compact"/>
              <w:jc w:val="right"/>
            </w:pPr>
            <w:r>
              <w:t xml:space="preserve">0.0004481</w:t>
            </w:r>
          </w:p>
        </w:tc>
        <w:tc>
          <w:p>
            <w:pPr>
              <w:pStyle w:val="Compact"/>
              <w:jc w:val="right"/>
            </w:pPr>
            <w:r>
              <w:t xml:space="preserve">0.1732263</w:t>
            </w:r>
          </w:p>
        </w:tc>
        <w:tc>
          <w:p>
            <w:pPr>
              <w:pStyle w:val="Compact"/>
              <w:jc w:val="right"/>
            </w:pPr>
            <w:r>
              <w:t xml:space="preserve">0.0005258</w:t>
            </w:r>
          </w:p>
        </w:tc>
        <w:tc>
          <w:p>
            <w:pPr>
              <w:pStyle w:val="Compact"/>
              <w:jc w:val="right"/>
            </w:pPr>
            <w:r>
              <w:t xml:space="preserve">0.0010098</w:t>
            </w:r>
          </w:p>
        </w:tc>
      </w:tr>
      <w:tr>
        <w:tc>
          <w:p>
            <w:pPr>
              <w:pStyle w:val="Compact"/>
              <w:jc w:val="left"/>
            </w:pPr>
            <w:r>
              <w:t xml:space="preserve">5</w:t>
            </w:r>
          </w:p>
        </w:tc>
        <w:tc>
          <w:p>
            <w:pPr>
              <w:pStyle w:val="Compact"/>
              <w:jc w:val="left"/>
            </w:pPr>
            <w:r>
              <w:t xml:space="preserve">AT5G27030.1</w:t>
            </w:r>
          </w:p>
        </w:tc>
        <w:tc>
          <w:p>
            <w:pPr>
              <w:pStyle w:val="Compact"/>
              <w:jc w:val="left"/>
            </w:pPr>
            <w:r>
              <w:t xml:space="preserve">TPR3</w:t>
            </w:r>
          </w:p>
        </w:tc>
        <w:tc>
          <w:p>
            <w:pPr>
              <w:pStyle w:val="Compact"/>
              <w:jc w:val="right"/>
            </w:pPr>
            <w:r>
              <w:t xml:space="preserve">0.0003393</w:t>
            </w:r>
          </w:p>
        </w:tc>
        <w:tc>
          <w:p>
            <w:pPr>
              <w:pStyle w:val="Compact"/>
              <w:jc w:val="right"/>
            </w:pPr>
            <w:r>
              <w:t xml:space="preserve">0.0017365</w:t>
            </w:r>
          </w:p>
        </w:tc>
        <w:tc>
          <w:p>
            <w:pPr>
              <w:pStyle w:val="Compact"/>
              <w:jc w:val="right"/>
            </w:pPr>
            <w:r>
              <w:t xml:space="preserve">0.1953753</w:t>
            </w:r>
          </w:p>
        </w:tc>
        <w:tc>
          <w:p>
            <w:pPr>
              <w:pStyle w:val="Compact"/>
              <w:jc w:val="right"/>
            </w:pPr>
            <w:r>
              <w:t xml:space="preserve">0.0020758</w:t>
            </w:r>
          </w:p>
        </w:tc>
        <w:tc>
          <w:p>
            <w:pPr>
              <w:pStyle w:val="Compact"/>
              <w:jc w:val="right"/>
            </w:pPr>
            <w:r>
              <w:t xml:space="preserve">0.0035165</w:t>
            </w:r>
          </w:p>
        </w:tc>
      </w:tr>
      <w:tr>
        <w:tc>
          <w:p>
            <w:pPr>
              <w:pStyle w:val="Compact"/>
              <w:jc w:val="left"/>
            </w:pPr>
            <w:r>
              <w:t xml:space="preserve">3</w:t>
            </w:r>
          </w:p>
        </w:tc>
        <w:tc>
          <w:p>
            <w:pPr>
              <w:pStyle w:val="Compact"/>
              <w:jc w:val="left"/>
            </w:pPr>
            <w:r>
              <w:t xml:space="preserve">AT3G15880.1</w:t>
            </w:r>
          </w:p>
        </w:tc>
        <w:tc>
          <w:p>
            <w:pPr>
              <w:pStyle w:val="Compact"/>
              <w:jc w:val="left"/>
            </w:pPr>
            <w:r>
              <w:t xml:space="preserve">TPR4</w:t>
            </w:r>
          </w:p>
        </w:tc>
        <w:tc>
          <w:p>
            <w:pPr>
              <w:pStyle w:val="Compact"/>
              <w:jc w:val="right"/>
            </w:pPr>
            <w:r>
              <w:t xml:space="preserve">0.0001044</w:t>
            </w:r>
          </w:p>
        </w:tc>
        <w:tc>
          <w:p>
            <w:pPr>
              <w:pStyle w:val="Compact"/>
              <w:jc w:val="right"/>
            </w:pPr>
            <w:r>
              <w:t xml:space="preserve">0.0009106</w:t>
            </w:r>
          </w:p>
        </w:tc>
        <w:tc>
          <w:p>
            <w:pPr>
              <w:pStyle w:val="Compact"/>
              <w:jc w:val="right"/>
            </w:pPr>
            <w:r>
              <w:t xml:space="preserve">0.1146741</w:t>
            </w:r>
          </w:p>
        </w:tc>
        <w:tc>
          <w:p>
            <w:pPr>
              <w:pStyle w:val="Compact"/>
              <w:jc w:val="right"/>
            </w:pPr>
            <w:r>
              <w:t xml:space="preserve">0.0010145</w:t>
            </w:r>
          </w:p>
        </w:tc>
        <w:tc>
          <w:p>
            <w:pPr>
              <w:pStyle w:val="Compact"/>
              <w:jc w:val="right"/>
            </w:pPr>
            <w:r>
              <w:t xml:space="preserve">0.0018425</w:t>
            </w:r>
          </w:p>
        </w:tc>
      </w:tr>
    </w:tbl>
    <w:p>
      <w:pPr>
        <w:pStyle w:val="BodyText"/>
      </w:pPr>
      <w:r>
        <w:t xml:space="preserve">The high degree of conservation in the entire N-terminal domain underscores its importance in TPL/TPR function. For example, the initial</w:t>
      </w:r>
      <w:r>
        <w:t xml:space="preserve"> </w:t>
      </w:r>
      <w:r>
        <w:rPr>
          <w:i/>
        </w:rPr>
        <w:t xml:space="preserve">tpl-1</w:t>
      </w:r>
      <w:r>
        <w:t xml:space="preserve"> </w:t>
      </w:r>
      <w:r>
        <w:t xml:space="preserve">mutation (N176H) in the ninth helix is a dominant gain-of-function allele</w:t>
      </w:r>
      <w:r>
        <w:t xml:space="preserve"> </w:t>
      </w:r>
      <w:r>
        <w:t xml:space="preserve">(</w:t>
      </w:r>
      <w:r>
        <w:rPr>
          <w:b/>
        </w:rPr>
        <w:t xml:space="preserve">???</w:t>
      </w:r>
      <w:r>
        <w:t xml:space="preserve">)</w:t>
      </w:r>
      <w:r>
        <w:t xml:space="preserve">, which is capable of binding wild-type TPL protein and inducing protein aggregation</w:t>
      </w:r>
      <w:r>
        <w:t xml:space="preserve"> </w:t>
      </w:r>
      <w:r>
        <w:t xml:space="preserve">(</w:t>
      </w:r>
      <w:r>
        <w:rPr>
          <w:b/>
        </w:rPr>
        <w:t xml:space="preserve">???</w:t>
      </w:r>
      <w:r>
        <w:t xml:space="preserve">)</w:t>
      </w:r>
      <w:r>
        <w:t xml:space="preserve">. It is therefore understandable that this helix had very low diversity as nonsynonymous variants in this domain could act in a dominant negative fashion. Addtionally, the crystal structure of TPL has revealed that the The LisH domain and CRA domain coordinate TPL dimerization and tetramerization respectively (26601214, 28698367), the CTLH domain is critical for interaction with DNA-binding transcription factors (26601214), and helix nine within the CRA domain may be critical for the formation of higher-order TPL complexes (multimers of TPL tetramers, 28630893).</w:t>
      </w:r>
    </w:p>
    <w:p>
      <w:pPr>
        <w:pStyle w:val="BodyText"/>
      </w:pPr>
      <w:r>
        <w:t xml:space="preserve">Compared to the TPL domain, both the proline rich and WD-40 domains exhibited a higher frequency of missense variants. We utilized Phyre2.0 modeling software to predict the structure of the TPL/TPR WD-40 repeats in order to map non-synonymous mutations to protein structure (Figure X). Here we can see both faces of each predicted beta-propeller structure of the WD-40 domains, which are connected by a short peptide linker. This model reveals amino acid conservation in the core and central residues of the WD-40 domains.</w:t>
      </w:r>
      <w:r>
        <w:t xml:space="preserve"> </w:t>
      </w:r>
      <w:r>
        <w:rPr>
          <w:strike/>
        </w:rPr>
        <w:t xml:space="preserve">These observations could be used as the basis for forward mutagenesis strategies to test whether this region of TPL functions similarly to its homolog TLE, which binds its target genes EH1 and the C-terminal WRPW/Y motif (Hairy/Hes/Runx) in the center of the WD-40 domain (pmid 16762837).</w:t>
      </w:r>
      <w:r>
        <w:t xml:space="preserve"> </w:t>
      </w:r>
      <w:r>
        <w:rPr>
          <w:b/>
        </w:rPr>
        <w:t xml:space="preserve">Can we say something more general here? There is not enough background to support this. What is TLE from? What is EH1? Is TLE really binding to EH1 DNA?</w:t>
      </w:r>
    </w:p>
    <w:p>
      <w:pPr>
        <w:pStyle w:val="BodyText"/>
      </w:pPr>
      <w:r>
        <w:t xml:space="preserve">Despite the presence of five</w:t>
      </w:r>
      <w:r>
        <w:t xml:space="preserve"> </w:t>
      </w:r>
      <w:r>
        <w:rPr>
          <w:i/>
        </w:rPr>
        <w:t xml:space="preserve">TPL/TPR</w:t>
      </w:r>
      <w:r>
        <w:t xml:space="preserve"> </w:t>
      </w:r>
      <w:r>
        <w:t xml:space="preserve">genes in the genome, which are considered to be redundant (pmid 16763149), very few observed SNPs are predicted to result in loss of function for any</w:t>
      </w:r>
      <w:r>
        <w:t xml:space="preserve"> </w:t>
      </w:r>
      <w:r>
        <w:rPr>
          <w:i/>
        </w:rPr>
        <w:t xml:space="preserve">TPL/TPR</w:t>
      </w:r>
      <w:r>
        <w:t xml:space="preserve"> </w:t>
      </w:r>
      <w:r>
        <w:t xml:space="preserve">gene. Only one frameshift variant was observed,</w:t>
      </w:r>
      <w:r>
        <w:t xml:space="preserve"> </w:t>
      </w:r>
      <w:r>
        <w:rPr>
          <w:i/>
        </w:rPr>
        <w:t xml:space="preserve">TPR4-665delG</w:t>
      </w:r>
      <w:r>
        <w:t xml:space="preserve">, in a single accession (Aiell-4 from Italy). This deletion occurs in codon 222, just after the TPL N-terminal domain, and generates an early stop eleven codons downstream from the deletion. It is unclear whether this N-terminal fragment would be expressed at any appreciable level, as it is possible that the generation of an early stop codon would trigger nonsense-mediated decay. However, if expressed, it would be fascinating to examine whether this naturally occurring N-terminal truncation retains activity as a co-repressor. Given the observation that the TPL N-terminal domain is sufficient to bind histones (28630893), and repress transcription via synthetic assays in yeast (24979769), it is possible that this represents a semi-functional TPL variant. There has been no evidence for prioritization of individual</w:t>
      </w:r>
      <w:r>
        <w:t xml:space="preserve"> </w:t>
      </w:r>
      <w:r>
        <w:rPr>
          <w:i/>
        </w:rPr>
        <w:t xml:space="preserve">TPL/TPR</w:t>
      </w:r>
      <w:r>
        <w:t xml:space="preserve"> </w:t>
      </w:r>
      <w:r>
        <w:t xml:space="preserve">family members in the auxin response pathway, but experiments modulating the gene copy number of</w:t>
      </w:r>
      <w:r>
        <w:t xml:space="preserve"> </w:t>
      </w:r>
      <w:r>
        <w:rPr>
          <w:i/>
        </w:rPr>
        <w:t xml:space="preserve">TPR1</w:t>
      </w:r>
      <w:r>
        <w:t xml:space="preserve"> </w:t>
      </w:r>
      <w:r>
        <w:t xml:space="preserve">revealed the importance of maintaining the proper dosage of</w:t>
      </w:r>
      <w:r>
        <w:t xml:space="preserve"> </w:t>
      </w:r>
      <w:r>
        <w:rPr>
          <w:i/>
        </w:rPr>
        <w:t xml:space="preserve">TPL/TPR</w:t>
      </w:r>
      <w:r>
        <w:t xml:space="preserve"> </w:t>
      </w:r>
      <w:r>
        <w:t xml:space="preserve">in order to accurately trigger the salicylic acid innate immune response (20647385). These results, taken together with the absence of</w:t>
      </w:r>
      <w:r>
        <w:t xml:space="preserve"> </w:t>
      </w:r>
      <w:r>
        <w:rPr>
          <w:i/>
        </w:rPr>
        <w:t xml:space="preserve">TPL/TPR</w:t>
      </w:r>
      <w:r>
        <w:t xml:space="preserve"> </w:t>
      </w:r>
      <w:r>
        <w:t xml:space="preserve">loss-of-function alleles in the</w:t>
      </w:r>
      <w:r>
        <w:t xml:space="preserve"> </w:t>
      </w:r>
      <w:r>
        <w:rPr>
          <w:i/>
        </w:rPr>
        <w:t xml:space="preserve">Arabidopsis thaliana</w:t>
      </w:r>
      <w:r>
        <w:t xml:space="preserve"> </w:t>
      </w:r>
      <w:r>
        <w:t xml:space="preserve">accessions suggest that perhaps the entire family is being conserved at the nucleotide level in the population to meet a gene dosage requirement, with little opportunity for neo- or sub-functionalization.</w:t>
      </w:r>
    </w:p>
    <w:p>
      <w:pPr>
        <w:pStyle w:val="Heading2"/>
      </w:pPr>
      <w:bookmarkStart w:id="37" w:name="arf-genes"/>
      <w:r>
        <w:t xml:space="preserve">ARF genes</w:t>
      </w:r>
      <w:bookmarkEnd w:id="37"/>
    </w:p>
    <w:p>
      <w:pPr>
        <w:pStyle w:val="FirstParagraph"/>
      </w:pPr>
      <w:r>
        <w:t xml:space="preserve">Auxin response is ultimately mediated by the auxin responsive transcription factors (ARFs). There are 23 ARFs in</w:t>
      </w:r>
      <w:r>
        <w:t xml:space="preserve"> </w:t>
      </w:r>
      <w:r>
        <w:rPr>
          <w:i/>
        </w:rPr>
        <w:t xml:space="preserve">Arabidopsis thaliana</w:t>
      </w:r>
      <w:r>
        <w:t xml:space="preserve"> </w:t>
      </w:r>
      <w:r>
        <w:t xml:space="preserve">that are divided into three phylogenetic classes. Class A ARFs (ARF5, ARF6, ARF7, ARF8 and ARF19) activate transcription. These ARFs have a glutamine-rich region in the middle of the protein that may mediate activation (Guilefoyle, 2007). It has recently been shown that the middle region of ARF5 interacts with the SWI/SNF chromatin remodeling ATPases BRAMA and SPLAYED, possibly to reduce nucleosome occupancy and allow for the recruitment of transcription machinery (Wu, 2016). Additionally, ARF7 interacts with Mediator subunits, directly tethering transcriptional activation machinery to its binding sites in the chromosome (Ito, 2016). Class B and C ARFs are historically categorized as repressor ARFs, though the mechanism through which they confer repression has not been identified. Their middle regions tend to be proline- and serine-rich (citation, Ulmasov?).</w:t>
      </w:r>
    </w:p>
    <w:p>
      <w:pPr>
        <w:pStyle w:val="BodyText"/>
      </w:pPr>
      <w:r>
        <w:t xml:space="preserve">Canonical ARFs are comprised of three major domains. Recent crystallization of these domains have informed structure-function analysis of the ARFs (Boer, 2014; Nanao, 2014; Korasick, 2014). These domains are conserved throughout land plants (Dolf’s new paper). ARFs share an N-terminal B3 DNA binding domain. Flanking this DNA-binding domain is a dimerization domain, which folds up into a single</w:t>
      </w:r>
      <w:r>
        <w:t xml:space="preserve"> </w:t>
      </w:r>
      <w:r>
        <w:t xml:space="preserve">“</w:t>
      </w:r>
      <w:r>
        <w:t xml:space="preserve">taco-shaped</w:t>
      </w:r>
      <w:r>
        <w:t xml:space="preserve">”</w:t>
      </w:r>
      <w:r>
        <w:t xml:space="preserve"> </w:t>
      </w:r>
      <w:r>
        <w:t xml:space="preserve">domain to allow for dimerization between ARFs. There is an auxiliary domain that immediately follows and interacts with the dimerization domain. The middle region is the most variable between ARFs, as mentioned above, but is characterized by repetitive units of glutamine (class A), serine, or proline residues (classes B and C).</w:t>
      </w:r>
    </w:p>
    <w:p>
      <w:pPr>
        <w:pStyle w:val="BodyText"/>
      </w:pPr>
      <w:r>
        <w:t xml:space="preserve">The C-terminal domain of the ARF is a protein-protein interaction domain mediating interactions among ARFs, between ARFs and other transcription factors, and between ARFs and the Aux/IAA repressors. This interaction domain was recently characterized as a Phox and Bem1 (PB1) domain, which is comprised of a positive and negative face with conserved basic and acidic residues, respectively (Nanao, 2014; Korasick, 2014). The dipolar nature of the PB1 domain may mediate multimerization by the pairwise interaction of these faces on different proteins as the ARF7 PB1 domain was crystallized as a multimer</w:t>
      </w:r>
      <w:r>
        <w:t xml:space="preserve"> </w:t>
      </w:r>
      <w:r>
        <w:t xml:space="preserve">(</w:t>
      </w:r>
      <w:r>
        <w:rPr>
          <w:b/>
        </w:rPr>
        <w:t xml:space="preserve">???</w:t>
      </w:r>
      <w:r>
        <w:t xml:space="preserve">)</w:t>
      </w:r>
      <w:r>
        <w:t xml:space="preserve">. However, it is unclear whether ARF multimerization occurs or plays a developmental significant role in vivo. Interfering with ARF dimerization in either the DNA-binding proximal dimerization domain or the PB1 domain decreases the ability of class A ARFs to activate transcription in a heterologous yeast system (Pierre-Jerome, 2016).</w:t>
      </w:r>
    </w:p>
    <w:p>
      <w:pPr>
        <w:pStyle w:val="BodyText"/>
      </w:pPr>
      <w:r>
        <w:t xml:space="preserve">While domain architecture is broadly conserved among the ARFs, there are exceptional cases. Three ARFs do not contain a PB1 domain at all, ARF3, ARF13, and ARF17, and several more have lost the conserved acidic or basic residues in the PB1 domain, suggesting they may be reduced to a single interaction domain. Several ARFs additionally have an expanded conserved region within the DNA-binding domain, of unknown function. The majority of domain variation among ARFs occurs in the large B-class subfamily. The liverwort</w:t>
      </w:r>
      <w:r>
        <w:t xml:space="preserve"> </w:t>
      </w:r>
      <w:r>
        <w:rPr>
          <w:i/>
        </w:rPr>
        <w:t xml:space="preserve">Marchantia polymorpha</w:t>
      </w:r>
      <w:r>
        <w:t xml:space="preserve"> </w:t>
      </w:r>
      <w:r>
        <w:t xml:space="preserve">has a single representative ARF of each class (Flores-Sandoval, 2015). The expansion of these classes in flowering plants is the result of both whole genome and tandem duplication events (Remington, 2004). The growth of the ARF family may have allowed for the expansion of the quantity and complexity of loci regulated by the ARFs and subsequent expansion in their regulation of developmental processes.</w:t>
      </w:r>
    </w:p>
    <w:p>
      <w:pPr>
        <w:pStyle w:val="BodyText"/>
      </w:pPr>
      <w:r>
        <w:t xml:space="preserve">Class A ARFs are the most well-studied ARF subfamily—the five family members all act as transcriptional activators and have well-characterized, distinct developmental targets. Overall the diversity of class A ARFs was generally low, especially compared to the class B and C ARFs, suggesting that class A ARFs are central to auxin signal transduction and plant development. Analysis of class A ARF nonsynonymous diversity suggests that the majority of these ARFs are highly functionally conserved, with</w:t>
      </w:r>
      <w:r>
        <w:t xml:space="preserve"> </w:t>
      </w:r>
      <m:oMath>
        <m:sSub>
          <m:e>
            <m:r>
              <m:t>π</m:t>
            </m:r>
          </m:e>
          <m:sub>
            <m:r>
              <m:t>N</m:t>
            </m:r>
          </m:sub>
        </m:sSub>
        <m:r>
          <m:t>/</m:t>
        </m:r>
        <m:sSub>
          <m:e>
            <m:r>
              <m:t>π</m:t>
            </m:r>
          </m:e>
          <m:sub>
            <m:r>
              <m:t>S</m:t>
            </m:r>
          </m:sub>
        </m:sSub>
      </m:oMath>
      <w:r>
        <w:t xml:space="preserve"> </w:t>
      </w:r>
      <w:r>
        <w:t xml:space="preserve">values much lower than 1 with the exception of ARF19, with</w:t>
      </w:r>
      <w:r>
        <w:t xml:space="preserve"> </w:t>
      </w:r>
      <m:oMath>
        <m:sSub>
          <m:e>
            <m:r>
              <m:t>π</m:t>
            </m:r>
          </m:e>
          <m:sub>
            <m:r>
              <m:t>N</m:t>
            </m:r>
          </m:sub>
        </m:sSub>
        <m:r>
          <m:t>/</m:t>
        </m:r>
        <m:sSub>
          <m:e>
            <m:r>
              <m:t>π</m:t>
            </m:r>
          </m:e>
          <m:sub>
            <m:r>
              <m:t>S</m:t>
            </m:r>
          </m:sub>
        </m:sSub>
      </m:oMath>
      <w:r>
        <w:t xml:space="preserve"> </w:t>
      </w:r>
      <w:r>
        <w:t xml:space="preserve">value of 1.8. Comparing diversity within sister pairs, there is a similar trade-off as seen in most</w:t>
      </w:r>
      <w:r>
        <w:t xml:space="preserve"> </w:t>
      </w:r>
      <w:r>
        <w:rPr>
          <w:i/>
        </w:rPr>
        <w:t xml:space="preserve">IAA</w:t>
      </w:r>
      <w:r>
        <w:t xml:space="preserve"> </w:t>
      </w:r>
      <w:r>
        <w:t xml:space="preserve">sister pairs, with one sister being highly conserved and the other more divergent. ARF19 and ARF8 are the more divergent class A ARFs, with</w:t>
      </w:r>
      <w:r>
        <w:t xml:space="preserve"> </w:t>
      </w:r>
      <m:oMath>
        <m:sSub>
          <m:e>
            <m:r>
              <m:t>π</m:t>
            </m:r>
          </m:e>
          <m:sub>
            <m:r>
              <m:t>N</m:t>
            </m:r>
          </m:sub>
        </m:sSub>
        <m:r>
          <m:t>/</m:t>
        </m:r>
        <m:sSub>
          <m:e>
            <m:r>
              <m:t>π</m:t>
            </m:r>
          </m:e>
          <m:sub>
            <m:r>
              <m:t>S</m:t>
            </m:r>
          </m:sub>
        </m:sSub>
      </m:oMath>
      <w:r>
        <w:t xml:space="preserve"> </w:t>
      </w:r>
      <w:r>
        <w:t xml:space="preserve">values at least three time those of their sisters, ARF7 and ARF6 respectively. This may suggest that ARF6 and ARF7 serve more essential purposes in plant development.</w:t>
      </w:r>
    </w:p>
    <w:p>
      <w:pPr>
        <w:pStyle w:val="SourceCode"/>
      </w:pPr>
      <w:r>
        <w:rPr>
          <w:rStyle w:val="VerbatimChar"/>
        </w:rPr>
        <w:t xml:space="preserve">#&gt; [1] "new genes:"</w:t>
      </w:r>
      <w:r>
        <w:br w:type="textWrapping"/>
      </w:r>
      <w:r>
        <w:rPr>
          <w:rStyle w:val="VerbatimChar"/>
        </w:rPr>
        <w:t xml:space="preserve">#&gt; character(0)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transcript_ID</w:t>
            </w:r>
          </w:p>
        </w:tc>
        <w:tc>
          <w:tcPr>
            <w:tcBorders>
              <w:bottom w:val="single"/>
            </w:tcBorders>
            <w:vAlign w:val="bottom"/>
          </w:tcPr>
          <w:p>
            <w:pPr>
              <w:pStyle w:val="Compact"/>
              <w:jc w:val="left"/>
            </w:pPr>
            <w:r>
              <w:t xml:space="preserve">tair_symbol</w:t>
            </w:r>
          </w:p>
        </w:tc>
        <w:tc>
          <w:tcPr>
            <w:tcBorders>
              <w:bottom w:val="single"/>
            </w:tcBorders>
            <w:vAlign w:val="bottom"/>
          </w:tcPr>
          <w:p>
            <w:pPr>
              <w:pStyle w:val="Compact"/>
              <w:jc w:val="right"/>
            </w:pPr>
            <w:r>
              <w:t xml:space="preserve">Pi_non_syn</w:t>
            </w:r>
          </w:p>
        </w:tc>
        <w:tc>
          <w:tcPr>
            <w:tcBorders>
              <w:bottom w:val="single"/>
            </w:tcBorders>
            <w:vAlign w:val="bottom"/>
          </w:tcPr>
          <w:p>
            <w:pPr>
              <w:pStyle w:val="Compact"/>
              <w:jc w:val="right"/>
            </w:pPr>
            <w:r>
              <w:t xml:space="preserve">Pi_syn</w:t>
            </w:r>
          </w:p>
        </w:tc>
        <w:tc>
          <w:tcPr>
            <w:tcBorders>
              <w:bottom w:val="single"/>
            </w:tcBorders>
            <w:vAlign w:val="bottom"/>
          </w:tcPr>
          <w:p>
            <w:pPr>
              <w:pStyle w:val="Compact"/>
              <w:jc w:val="right"/>
            </w:pPr>
            <w:r>
              <w:t xml:space="preserve">Pi_NS_Ratio</w:t>
            </w:r>
          </w:p>
        </w:tc>
        <w:tc>
          <w:tcPr>
            <w:tcBorders>
              <w:bottom w:val="single"/>
            </w:tcBorders>
            <w:vAlign w:val="bottom"/>
          </w:tcPr>
          <w:p>
            <w:pPr>
              <w:pStyle w:val="Compact"/>
              <w:jc w:val="right"/>
            </w:pPr>
            <w:r>
              <w:t xml:space="preserve">Pi_coding</w:t>
            </w:r>
          </w:p>
        </w:tc>
        <w:tc>
          <w:tcPr>
            <w:tcBorders>
              <w:bottom w:val="single"/>
            </w:tcBorders>
            <w:vAlign w:val="bottom"/>
          </w:tcPr>
          <w:p>
            <w:pPr>
              <w:pStyle w:val="Compact"/>
              <w:jc w:val="right"/>
            </w:pPr>
            <w:r>
              <w:t xml:space="preserve">Pi_transcript</w:t>
            </w:r>
          </w:p>
        </w:tc>
      </w:tr>
      <w:tr>
        <w:tc>
          <w:p>
            <w:pPr>
              <w:pStyle w:val="Compact"/>
              <w:jc w:val="left"/>
            </w:pPr>
            <w:r>
              <w:t xml:space="preserve">12</w:t>
            </w:r>
          </w:p>
        </w:tc>
        <w:tc>
          <w:p>
            <w:pPr>
              <w:pStyle w:val="Compact"/>
              <w:jc w:val="left"/>
            </w:pPr>
            <w:r>
              <w:t xml:space="preserve">AT1G59750.1</w:t>
            </w:r>
          </w:p>
        </w:tc>
        <w:tc>
          <w:p>
            <w:pPr>
              <w:pStyle w:val="Compact"/>
              <w:jc w:val="left"/>
            </w:pPr>
            <w:r>
              <w:t xml:space="preserve">ARF1</w:t>
            </w:r>
          </w:p>
        </w:tc>
        <w:tc>
          <w:p>
            <w:pPr>
              <w:pStyle w:val="Compact"/>
              <w:jc w:val="right"/>
            </w:pPr>
            <w:r>
              <w:t xml:space="preserve">0.0010829</w:t>
            </w:r>
          </w:p>
        </w:tc>
        <w:tc>
          <w:p>
            <w:pPr>
              <w:pStyle w:val="Compact"/>
              <w:jc w:val="right"/>
            </w:pPr>
            <w:r>
              <w:t xml:space="preserve">0.0018316</w:t>
            </w:r>
          </w:p>
        </w:tc>
        <w:tc>
          <w:p>
            <w:pPr>
              <w:pStyle w:val="Compact"/>
              <w:jc w:val="right"/>
            </w:pPr>
            <w:r>
              <w:t xml:space="preserve">0.5912201</w:t>
            </w:r>
          </w:p>
        </w:tc>
        <w:tc>
          <w:p>
            <w:pPr>
              <w:pStyle w:val="Compact"/>
              <w:jc w:val="right"/>
            </w:pPr>
            <w:r>
              <w:t xml:space="preserve">0.0029145</w:t>
            </w:r>
          </w:p>
        </w:tc>
        <w:tc>
          <w:p>
            <w:pPr>
              <w:pStyle w:val="Compact"/>
              <w:jc w:val="right"/>
            </w:pPr>
            <w:r>
              <w:t xml:space="preserve">0.0057536</w:t>
            </w:r>
          </w:p>
        </w:tc>
      </w:tr>
      <w:tr>
        <w:tc>
          <w:p>
            <w:pPr>
              <w:pStyle w:val="Compact"/>
              <w:jc w:val="left"/>
            </w:pPr>
            <w:r>
              <w:t xml:space="preserve">23</w:t>
            </w:r>
          </w:p>
        </w:tc>
        <w:tc>
          <w:p>
            <w:pPr>
              <w:pStyle w:val="Compact"/>
              <w:jc w:val="left"/>
            </w:pPr>
            <w:r>
              <w:t xml:space="preserve">AT5G62000.1</w:t>
            </w:r>
          </w:p>
        </w:tc>
        <w:tc>
          <w:p>
            <w:pPr>
              <w:pStyle w:val="Compact"/>
              <w:jc w:val="left"/>
            </w:pPr>
            <w:r>
              <w:t xml:space="preserve">ARF2</w:t>
            </w:r>
          </w:p>
        </w:tc>
        <w:tc>
          <w:p>
            <w:pPr>
              <w:pStyle w:val="Compact"/>
              <w:jc w:val="right"/>
            </w:pPr>
            <w:r>
              <w:t xml:space="preserve">0.0003347</w:t>
            </w:r>
          </w:p>
        </w:tc>
        <w:tc>
          <w:p>
            <w:pPr>
              <w:pStyle w:val="Compact"/>
              <w:jc w:val="right"/>
            </w:pPr>
            <w:r>
              <w:t xml:space="preserve">0.0005510</w:t>
            </w:r>
          </w:p>
        </w:tc>
        <w:tc>
          <w:p>
            <w:pPr>
              <w:pStyle w:val="Compact"/>
              <w:jc w:val="right"/>
            </w:pPr>
            <w:r>
              <w:t xml:space="preserve">0.6074751</w:t>
            </w:r>
          </w:p>
        </w:tc>
        <w:tc>
          <w:p>
            <w:pPr>
              <w:pStyle w:val="Compact"/>
              <w:jc w:val="right"/>
            </w:pPr>
            <w:r>
              <w:t xml:space="preserve">0.0008837</w:t>
            </w:r>
          </w:p>
        </w:tc>
        <w:tc>
          <w:p>
            <w:pPr>
              <w:pStyle w:val="Compact"/>
              <w:jc w:val="right"/>
            </w:pPr>
            <w:r>
              <w:t xml:space="preserve">0.0011934</w:t>
            </w:r>
          </w:p>
        </w:tc>
      </w:tr>
      <w:tr>
        <w:tc>
          <w:p>
            <w:pPr>
              <w:pStyle w:val="Compact"/>
              <w:jc w:val="left"/>
            </w:pPr>
            <w:r>
              <w:t xml:space="preserve">15</w:t>
            </w:r>
          </w:p>
        </w:tc>
        <w:tc>
          <w:p>
            <w:pPr>
              <w:pStyle w:val="Compact"/>
              <w:jc w:val="left"/>
            </w:pPr>
            <w:r>
              <w:t xml:space="preserve">AT2G33860.1</w:t>
            </w:r>
          </w:p>
        </w:tc>
        <w:tc>
          <w:p>
            <w:pPr>
              <w:pStyle w:val="Compact"/>
              <w:jc w:val="left"/>
            </w:pPr>
            <w:r>
              <w:t xml:space="preserve">ARF3</w:t>
            </w:r>
          </w:p>
        </w:tc>
        <w:tc>
          <w:p>
            <w:pPr>
              <w:pStyle w:val="Compact"/>
              <w:jc w:val="right"/>
            </w:pPr>
            <w:r>
              <w:t xml:space="preserve">0.0006598</w:t>
            </w:r>
          </w:p>
        </w:tc>
        <w:tc>
          <w:p>
            <w:pPr>
              <w:pStyle w:val="Compact"/>
              <w:jc w:val="right"/>
            </w:pPr>
            <w:r>
              <w:t xml:space="preserve">0.0004778</w:t>
            </w:r>
          </w:p>
        </w:tc>
        <w:tc>
          <w:p>
            <w:pPr>
              <w:pStyle w:val="Compact"/>
              <w:jc w:val="right"/>
            </w:pPr>
            <w:r>
              <w:t xml:space="preserve">1.3808762</w:t>
            </w:r>
          </w:p>
        </w:tc>
        <w:tc>
          <w:p>
            <w:pPr>
              <w:pStyle w:val="Compact"/>
              <w:jc w:val="right"/>
            </w:pPr>
            <w:r>
              <w:t xml:space="preserve">0.0011298</w:t>
            </w:r>
          </w:p>
        </w:tc>
        <w:tc>
          <w:p>
            <w:pPr>
              <w:pStyle w:val="Compact"/>
              <w:jc w:val="right"/>
            </w:pPr>
            <w:r>
              <w:t xml:space="preserve">0.0011285</w:t>
            </w:r>
          </w:p>
        </w:tc>
      </w:tr>
      <w:tr>
        <w:tc>
          <w:p>
            <w:pPr>
              <w:pStyle w:val="Compact"/>
              <w:jc w:val="left"/>
            </w:pPr>
            <w:r>
              <w:t xml:space="preserve">22</w:t>
            </w:r>
          </w:p>
        </w:tc>
        <w:tc>
          <w:p>
            <w:pPr>
              <w:pStyle w:val="Compact"/>
              <w:jc w:val="left"/>
            </w:pPr>
            <w:r>
              <w:t xml:space="preserve">AT5G60450.1</w:t>
            </w:r>
          </w:p>
        </w:tc>
        <w:tc>
          <w:p>
            <w:pPr>
              <w:pStyle w:val="Compact"/>
              <w:jc w:val="left"/>
            </w:pPr>
            <w:r>
              <w:t xml:space="preserve">ARF4</w:t>
            </w:r>
          </w:p>
        </w:tc>
        <w:tc>
          <w:p>
            <w:pPr>
              <w:pStyle w:val="Compact"/>
              <w:jc w:val="right"/>
            </w:pPr>
            <w:r>
              <w:t xml:space="preserve">0.0007088</w:t>
            </w:r>
          </w:p>
        </w:tc>
        <w:tc>
          <w:p>
            <w:pPr>
              <w:pStyle w:val="Compact"/>
              <w:jc w:val="right"/>
            </w:pPr>
            <w:r>
              <w:t xml:space="preserve">0.0002019</w:t>
            </w:r>
          </w:p>
        </w:tc>
        <w:tc>
          <w:p>
            <w:pPr>
              <w:pStyle w:val="Compact"/>
              <w:jc w:val="right"/>
            </w:pPr>
            <w:r>
              <w:t xml:space="preserve">3.5104349</w:t>
            </w:r>
          </w:p>
        </w:tc>
        <w:tc>
          <w:p>
            <w:pPr>
              <w:pStyle w:val="Compact"/>
              <w:jc w:val="right"/>
            </w:pPr>
            <w:r>
              <w:t xml:space="preserve">0.0009107</w:t>
            </w:r>
          </w:p>
        </w:tc>
        <w:tc>
          <w:p>
            <w:pPr>
              <w:pStyle w:val="Compact"/>
              <w:jc w:val="right"/>
            </w:pPr>
            <w:r>
              <w:t xml:space="preserve">0.0012847</w:t>
            </w:r>
          </w:p>
        </w:tc>
      </w:tr>
      <w:tr>
        <w:tc>
          <w:p>
            <w:pPr>
              <w:pStyle w:val="Compact"/>
              <w:jc w:val="left"/>
            </w:pPr>
            <w:r>
              <w:t xml:space="preserve">2</w:t>
            </w:r>
          </w:p>
        </w:tc>
        <w:tc>
          <w:p>
            <w:pPr>
              <w:pStyle w:val="Compact"/>
              <w:jc w:val="left"/>
            </w:pPr>
            <w:r>
              <w:t xml:space="preserve">AT1G19850.1</w:t>
            </w:r>
          </w:p>
        </w:tc>
        <w:tc>
          <w:p>
            <w:pPr>
              <w:pStyle w:val="Compact"/>
              <w:jc w:val="left"/>
            </w:pPr>
            <w:r>
              <w:t xml:space="preserve">ARF5</w:t>
            </w:r>
          </w:p>
        </w:tc>
        <w:tc>
          <w:p>
            <w:pPr>
              <w:pStyle w:val="Compact"/>
              <w:jc w:val="right"/>
            </w:pPr>
            <w:r>
              <w:t xml:space="preserve">0.0001846</w:t>
            </w:r>
          </w:p>
        </w:tc>
        <w:tc>
          <w:p>
            <w:pPr>
              <w:pStyle w:val="Compact"/>
              <w:jc w:val="right"/>
            </w:pPr>
            <w:r>
              <w:t xml:space="preserve">0.0003683</w:t>
            </w:r>
          </w:p>
        </w:tc>
        <w:tc>
          <w:p>
            <w:pPr>
              <w:pStyle w:val="Compact"/>
              <w:jc w:val="right"/>
            </w:pPr>
            <w:r>
              <w:t xml:space="preserve">0.5011695</w:t>
            </w:r>
          </w:p>
        </w:tc>
        <w:tc>
          <w:p>
            <w:pPr>
              <w:pStyle w:val="Compact"/>
              <w:jc w:val="right"/>
            </w:pPr>
            <w:r>
              <w:t xml:space="preserve">0.0004925</w:t>
            </w:r>
          </w:p>
        </w:tc>
        <w:tc>
          <w:p>
            <w:pPr>
              <w:pStyle w:val="Compact"/>
              <w:jc w:val="right"/>
            </w:pPr>
            <w:r>
              <w:t xml:space="preserve">0.0007762</w:t>
            </w:r>
          </w:p>
        </w:tc>
      </w:tr>
      <w:tr>
        <w:tc>
          <w:p>
            <w:pPr>
              <w:pStyle w:val="Compact"/>
              <w:jc w:val="left"/>
            </w:pPr>
            <w:r>
              <w:t xml:space="preserve">3</w:t>
            </w:r>
          </w:p>
        </w:tc>
        <w:tc>
          <w:p>
            <w:pPr>
              <w:pStyle w:val="Compact"/>
              <w:jc w:val="left"/>
            </w:pPr>
            <w:r>
              <w:t xml:space="preserve">AT1G30330.1</w:t>
            </w:r>
          </w:p>
        </w:tc>
        <w:tc>
          <w:p>
            <w:pPr>
              <w:pStyle w:val="Compact"/>
              <w:jc w:val="left"/>
            </w:pPr>
            <w:r>
              <w:t xml:space="preserve">ARF6</w:t>
            </w:r>
          </w:p>
        </w:tc>
        <w:tc>
          <w:p>
            <w:pPr>
              <w:pStyle w:val="Compact"/>
              <w:jc w:val="right"/>
            </w:pPr>
            <w:r>
              <w:t xml:space="preserve">0.0001502</w:t>
            </w:r>
          </w:p>
        </w:tc>
        <w:tc>
          <w:p>
            <w:pPr>
              <w:pStyle w:val="Compact"/>
              <w:jc w:val="right"/>
            </w:pPr>
            <w:r>
              <w:t xml:space="preserve">0.0007548</w:t>
            </w:r>
          </w:p>
        </w:tc>
        <w:tc>
          <w:p>
            <w:pPr>
              <w:pStyle w:val="Compact"/>
              <w:jc w:val="right"/>
            </w:pPr>
            <w:r>
              <w:t xml:space="preserve">0.1989807</w:t>
            </w:r>
          </w:p>
        </w:tc>
        <w:tc>
          <w:p>
            <w:pPr>
              <w:pStyle w:val="Compact"/>
              <w:jc w:val="right"/>
            </w:pPr>
            <w:r>
              <w:t xml:space="preserve">0.0009031</w:t>
            </w:r>
          </w:p>
        </w:tc>
        <w:tc>
          <w:p>
            <w:pPr>
              <w:pStyle w:val="Compact"/>
              <w:jc w:val="right"/>
            </w:pPr>
            <w:r>
              <w:t xml:space="preserve">0.0011078</w:t>
            </w:r>
          </w:p>
        </w:tc>
      </w:tr>
      <w:tr>
        <w:tc>
          <w:p>
            <w:pPr>
              <w:pStyle w:val="Compact"/>
              <w:jc w:val="left"/>
            </w:pPr>
            <w:r>
              <w:t xml:space="preserve">20</w:t>
            </w:r>
          </w:p>
        </w:tc>
        <w:tc>
          <w:p>
            <w:pPr>
              <w:pStyle w:val="Compact"/>
              <w:jc w:val="left"/>
            </w:pPr>
            <w:r>
              <w:t xml:space="preserve">AT5G20730.1</w:t>
            </w:r>
          </w:p>
        </w:tc>
        <w:tc>
          <w:p>
            <w:pPr>
              <w:pStyle w:val="Compact"/>
              <w:jc w:val="left"/>
            </w:pPr>
            <w:r>
              <w:t xml:space="preserve">ARF7</w:t>
            </w:r>
          </w:p>
        </w:tc>
        <w:tc>
          <w:p>
            <w:pPr>
              <w:pStyle w:val="Compact"/>
              <w:jc w:val="right"/>
            </w:pPr>
            <w:r>
              <w:t xml:space="preserve">0.0006147</w:t>
            </w:r>
          </w:p>
        </w:tc>
        <w:tc>
          <w:p>
            <w:pPr>
              <w:pStyle w:val="Compact"/>
              <w:jc w:val="right"/>
            </w:pPr>
            <w:r>
              <w:t xml:space="preserve">0.0014901</w:t>
            </w:r>
          </w:p>
        </w:tc>
        <w:tc>
          <w:p>
            <w:pPr>
              <w:pStyle w:val="Compact"/>
              <w:jc w:val="right"/>
            </w:pPr>
            <w:r>
              <w:t xml:space="preserve">0.4125288</w:t>
            </w:r>
          </w:p>
        </w:tc>
        <w:tc>
          <w:p>
            <w:pPr>
              <w:pStyle w:val="Compact"/>
              <w:jc w:val="right"/>
            </w:pPr>
            <w:r>
              <w:t xml:space="preserve">0.0021018</w:t>
            </w:r>
          </w:p>
        </w:tc>
        <w:tc>
          <w:p>
            <w:pPr>
              <w:pStyle w:val="Compact"/>
              <w:jc w:val="right"/>
            </w:pPr>
            <w:r>
              <w:t xml:space="preserve">0.0032876</w:t>
            </w:r>
          </w:p>
        </w:tc>
      </w:tr>
      <w:tr>
        <w:tc>
          <w:p>
            <w:pPr>
              <w:pStyle w:val="Compact"/>
              <w:jc w:val="left"/>
            </w:pPr>
            <w:r>
              <w:t xml:space="preserve">21</w:t>
            </w:r>
          </w:p>
        </w:tc>
        <w:tc>
          <w:p>
            <w:pPr>
              <w:pStyle w:val="Compact"/>
              <w:jc w:val="left"/>
            </w:pPr>
            <w:r>
              <w:t xml:space="preserve">AT5G37020.1</w:t>
            </w:r>
          </w:p>
        </w:tc>
        <w:tc>
          <w:p>
            <w:pPr>
              <w:pStyle w:val="Compact"/>
              <w:jc w:val="left"/>
            </w:pPr>
            <w:r>
              <w:t xml:space="preserve">ARF8</w:t>
            </w:r>
          </w:p>
        </w:tc>
        <w:tc>
          <w:p>
            <w:pPr>
              <w:pStyle w:val="Compact"/>
              <w:jc w:val="right"/>
            </w:pPr>
            <w:r>
              <w:t xml:space="preserve">0.0003166</w:t>
            </w:r>
          </w:p>
        </w:tc>
        <w:tc>
          <w:p>
            <w:pPr>
              <w:pStyle w:val="Compact"/>
              <w:jc w:val="right"/>
            </w:pPr>
            <w:r>
              <w:t xml:space="preserve">0.0004747</w:t>
            </w:r>
          </w:p>
        </w:tc>
        <w:tc>
          <w:p>
            <w:pPr>
              <w:pStyle w:val="Compact"/>
              <w:jc w:val="right"/>
            </w:pPr>
            <w:r>
              <w:t xml:space="preserve">0.6668362</w:t>
            </w:r>
          </w:p>
        </w:tc>
        <w:tc>
          <w:p>
            <w:pPr>
              <w:pStyle w:val="Compact"/>
              <w:jc w:val="right"/>
            </w:pPr>
            <w:r>
              <w:t xml:space="preserve">0.0007913</w:t>
            </w:r>
          </w:p>
        </w:tc>
        <w:tc>
          <w:p>
            <w:pPr>
              <w:pStyle w:val="Compact"/>
              <w:jc w:val="right"/>
            </w:pPr>
            <w:r>
              <w:t xml:space="preserve">0.0016994</w:t>
            </w:r>
          </w:p>
        </w:tc>
      </w:tr>
      <w:tr>
        <w:tc>
          <w:p>
            <w:pPr>
              <w:pStyle w:val="Compact"/>
              <w:jc w:val="left"/>
            </w:pPr>
            <w:r>
              <w:t xml:space="preserve">18</w:t>
            </w:r>
          </w:p>
        </w:tc>
        <w:tc>
          <w:p>
            <w:pPr>
              <w:pStyle w:val="Compact"/>
              <w:jc w:val="left"/>
            </w:pPr>
            <w:r>
              <w:t xml:space="preserve">AT4G23980.1</w:t>
            </w:r>
          </w:p>
        </w:tc>
        <w:tc>
          <w:p>
            <w:pPr>
              <w:pStyle w:val="Compact"/>
              <w:jc w:val="left"/>
            </w:pPr>
            <w:r>
              <w:t xml:space="preserve">ARF9</w:t>
            </w:r>
          </w:p>
        </w:tc>
        <w:tc>
          <w:p>
            <w:pPr>
              <w:pStyle w:val="Compact"/>
              <w:jc w:val="right"/>
            </w:pPr>
            <w:r>
              <w:t xml:space="preserve">0.0007284</w:t>
            </w:r>
          </w:p>
        </w:tc>
        <w:tc>
          <w:p>
            <w:pPr>
              <w:pStyle w:val="Compact"/>
              <w:jc w:val="right"/>
            </w:pPr>
            <w:r>
              <w:t xml:space="preserve">0.0022270</w:t>
            </w:r>
          </w:p>
        </w:tc>
        <w:tc>
          <w:p>
            <w:pPr>
              <w:pStyle w:val="Compact"/>
              <w:jc w:val="right"/>
            </w:pPr>
            <w:r>
              <w:t xml:space="preserve">0.3270608</w:t>
            </w:r>
          </w:p>
        </w:tc>
        <w:tc>
          <w:p>
            <w:pPr>
              <w:pStyle w:val="Compact"/>
              <w:jc w:val="right"/>
            </w:pPr>
            <w:r>
              <w:t xml:space="preserve">0.0029554</w:t>
            </w:r>
          </w:p>
        </w:tc>
        <w:tc>
          <w:p>
            <w:pPr>
              <w:pStyle w:val="Compact"/>
              <w:jc w:val="right"/>
            </w:pPr>
            <w:r>
              <w:t xml:space="preserve">0.0037027</w:t>
            </w:r>
          </w:p>
        </w:tc>
      </w:tr>
      <w:tr>
        <w:tc>
          <w:p>
            <w:pPr>
              <w:pStyle w:val="Compact"/>
              <w:jc w:val="left"/>
            </w:pPr>
            <w:r>
              <w:t xml:space="preserve">14</w:t>
            </w:r>
          </w:p>
        </w:tc>
        <w:tc>
          <w:p>
            <w:pPr>
              <w:pStyle w:val="Compact"/>
              <w:jc w:val="left"/>
            </w:pPr>
            <w:r>
              <w:t xml:space="preserve">AT2G28350.1</w:t>
            </w:r>
          </w:p>
        </w:tc>
        <w:tc>
          <w:p>
            <w:pPr>
              <w:pStyle w:val="Compact"/>
              <w:jc w:val="left"/>
            </w:pPr>
            <w:r>
              <w:t xml:space="preserve">ARF10</w:t>
            </w:r>
          </w:p>
        </w:tc>
        <w:tc>
          <w:p>
            <w:pPr>
              <w:pStyle w:val="Compact"/>
              <w:jc w:val="right"/>
            </w:pPr>
            <w:r>
              <w:t xml:space="preserve">0.0008466</w:t>
            </w:r>
          </w:p>
        </w:tc>
        <w:tc>
          <w:p>
            <w:pPr>
              <w:pStyle w:val="Compact"/>
              <w:jc w:val="right"/>
            </w:pPr>
            <w:r>
              <w:t xml:space="preserve">0.0021845</w:t>
            </w:r>
          </w:p>
        </w:tc>
        <w:tc>
          <w:p>
            <w:pPr>
              <w:pStyle w:val="Compact"/>
              <w:jc w:val="right"/>
            </w:pPr>
            <w:r>
              <w:t xml:space="preserve">0.3875547</w:t>
            </w:r>
          </w:p>
        </w:tc>
        <w:tc>
          <w:p>
            <w:pPr>
              <w:pStyle w:val="Compact"/>
              <w:jc w:val="right"/>
            </w:pPr>
            <w:r>
              <w:t xml:space="preserve">0.0030295</w:t>
            </w:r>
          </w:p>
        </w:tc>
        <w:tc>
          <w:p>
            <w:pPr>
              <w:pStyle w:val="Compact"/>
              <w:jc w:val="right"/>
            </w:pPr>
            <w:r>
              <w:t xml:space="preserve">0.0038111</w:t>
            </w:r>
          </w:p>
        </w:tc>
      </w:tr>
      <w:tr>
        <w:tc>
          <w:p>
            <w:pPr>
              <w:pStyle w:val="Compact"/>
              <w:jc w:val="left"/>
            </w:pPr>
            <w:r>
              <w:t xml:space="preserve">16</w:t>
            </w:r>
          </w:p>
        </w:tc>
        <w:tc>
          <w:p>
            <w:pPr>
              <w:pStyle w:val="Compact"/>
              <w:jc w:val="left"/>
            </w:pPr>
            <w:r>
              <w:t xml:space="preserve">AT2G46530.1</w:t>
            </w:r>
          </w:p>
        </w:tc>
        <w:tc>
          <w:p>
            <w:pPr>
              <w:pStyle w:val="Compact"/>
              <w:jc w:val="left"/>
            </w:pPr>
            <w:r>
              <w:t xml:space="preserve">ARF11</w:t>
            </w:r>
          </w:p>
        </w:tc>
        <w:tc>
          <w:p>
            <w:pPr>
              <w:pStyle w:val="Compact"/>
              <w:jc w:val="right"/>
            </w:pPr>
            <w:r>
              <w:t xml:space="preserve">0.0006729</w:t>
            </w:r>
          </w:p>
        </w:tc>
        <w:tc>
          <w:p>
            <w:pPr>
              <w:pStyle w:val="Compact"/>
              <w:jc w:val="right"/>
            </w:pPr>
            <w:r>
              <w:t xml:space="preserve">0.0005824</w:t>
            </w:r>
          </w:p>
        </w:tc>
        <w:tc>
          <w:p>
            <w:pPr>
              <w:pStyle w:val="Compact"/>
              <w:jc w:val="right"/>
            </w:pPr>
            <w:r>
              <w:t xml:space="preserve">1.1554266</w:t>
            </w:r>
          </w:p>
        </w:tc>
        <w:tc>
          <w:p>
            <w:pPr>
              <w:pStyle w:val="Compact"/>
              <w:jc w:val="right"/>
            </w:pPr>
            <w:r>
              <w:t xml:space="preserve">0.0012282</w:t>
            </w:r>
          </w:p>
        </w:tc>
        <w:tc>
          <w:p>
            <w:pPr>
              <w:pStyle w:val="Compact"/>
              <w:jc w:val="right"/>
            </w:pPr>
            <w:r>
              <w:t xml:space="preserve">0.0014574</w:t>
            </w:r>
          </w:p>
        </w:tc>
      </w:tr>
      <w:tr>
        <w:tc>
          <w:p>
            <w:pPr>
              <w:pStyle w:val="Compact"/>
              <w:jc w:val="left"/>
            </w:pPr>
            <w:r>
              <w:t xml:space="preserve">5</w:t>
            </w:r>
          </w:p>
        </w:tc>
        <w:tc>
          <w:p>
            <w:pPr>
              <w:pStyle w:val="Compact"/>
              <w:jc w:val="left"/>
            </w:pPr>
            <w:r>
              <w:t xml:space="preserve">AT1G34310.1</w:t>
            </w:r>
          </w:p>
        </w:tc>
        <w:tc>
          <w:p>
            <w:pPr>
              <w:pStyle w:val="Compact"/>
              <w:jc w:val="left"/>
            </w:pPr>
            <w:r>
              <w:t xml:space="preserve">ARF12</w:t>
            </w:r>
          </w:p>
        </w:tc>
        <w:tc>
          <w:p>
            <w:pPr>
              <w:pStyle w:val="Compact"/>
              <w:jc w:val="right"/>
            </w:pPr>
            <w:r>
              <w:t xml:space="preserve">0.0033899</w:t>
            </w:r>
          </w:p>
        </w:tc>
        <w:tc>
          <w:p>
            <w:pPr>
              <w:pStyle w:val="Compact"/>
              <w:jc w:val="right"/>
            </w:pPr>
            <w:r>
              <w:t xml:space="preserve">0.0014727</w:t>
            </w:r>
          </w:p>
        </w:tc>
        <w:tc>
          <w:p>
            <w:pPr>
              <w:pStyle w:val="Compact"/>
              <w:jc w:val="right"/>
            </w:pPr>
            <w:r>
              <w:t xml:space="preserve">2.3018584</w:t>
            </w:r>
          </w:p>
        </w:tc>
        <w:tc>
          <w:p>
            <w:pPr>
              <w:pStyle w:val="Compact"/>
              <w:jc w:val="right"/>
            </w:pPr>
            <w:r>
              <w:t xml:space="preserve">0.0047328</w:t>
            </w:r>
          </w:p>
        </w:tc>
        <w:tc>
          <w:p>
            <w:pPr>
              <w:pStyle w:val="Compact"/>
              <w:jc w:val="right"/>
            </w:pPr>
            <w:r>
              <w:t xml:space="preserve">0.0053961</w:t>
            </w:r>
          </w:p>
        </w:tc>
      </w:tr>
      <w:tr>
        <w:tc>
          <w:p>
            <w:pPr>
              <w:pStyle w:val="Compact"/>
              <w:jc w:val="left"/>
            </w:pPr>
            <w:r>
              <w:t xml:space="preserve">4</w:t>
            </w:r>
          </w:p>
        </w:tc>
        <w:tc>
          <w:p>
            <w:pPr>
              <w:pStyle w:val="Compact"/>
              <w:jc w:val="left"/>
            </w:pPr>
            <w:r>
              <w:t xml:space="preserve">AT1G34170.1</w:t>
            </w:r>
          </w:p>
        </w:tc>
        <w:tc>
          <w:p>
            <w:pPr>
              <w:pStyle w:val="Compact"/>
              <w:jc w:val="left"/>
            </w:pPr>
            <w:r>
              <w:t xml:space="preserve">ARF13</w:t>
            </w:r>
          </w:p>
        </w:tc>
        <w:tc>
          <w:p>
            <w:pPr>
              <w:pStyle w:val="Compact"/>
              <w:jc w:val="right"/>
            </w:pPr>
            <w:r>
              <w:t xml:space="preserve">0.0090789</w:t>
            </w:r>
          </w:p>
        </w:tc>
        <w:tc>
          <w:p>
            <w:pPr>
              <w:pStyle w:val="Compact"/>
              <w:jc w:val="right"/>
            </w:pPr>
            <w:r>
              <w:t xml:space="preserve">0.0021896</w:t>
            </w:r>
          </w:p>
        </w:tc>
        <w:tc>
          <w:p>
            <w:pPr>
              <w:pStyle w:val="Compact"/>
              <w:jc w:val="right"/>
            </w:pPr>
            <w:r>
              <w:t xml:space="preserve">4.1463840</w:t>
            </w:r>
          </w:p>
        </w:tc>
        <w:tc>
          <w:p>
            <w:pPr>
              <w:pStyle w:val="Compact"/>
              <w:jc w:val="right"/>
            </w:pPr>
            <w:r>
              <w:t xml:space="preserve">0.0100616</w:t>
            </w:r>
          </w:p>
        </w:tc>
        <w:tc>
          <w:p>
            <w:pPr>
              <w:pStyle w:val="Compact"/>
              <w:jc w:val="right"/>
            </w:pPr>
            <w:r>
              <w:t xml:space="preserve">0.0107053</w:t>
            </w:r>
          </w:p>
        </w:tc>
      </w:tr>
      <w:tr>
        <w:tc>
          <w:p>
            <w:pPr>
              <w:pStyle w:val="Compact"/>
              <w:jc w:val="left"/>
            </w:pPr>
            <w:r>
              <w:t xml:space="preserve">10</w:t>
            </w:r>
          </w:p>
        </w:tc>
        <w:tc>
          <w:p>
            <w:pPr>
              <w:pStyle w:val="Compact"/>
              <w:jc w:val="left"/>
            </w:pPr>
            <w:r>
              <w:t xml:space="preserve">AT1G35540.1</w:t>
            </w:r>
          </w:p>
        </w:tc>
        <w:tc>
          <w:p>
            <w:pPr>
              <w:pStyle w:val="Compact"/>
              <w:jc w:val="left"/>
            </w:pPr>
            <w:r>
              <w:t xml:space="preserve">ARF14</w:t>
            </w:r>
          </w:p>
        </w:tc>
        <w:tc>
          <w:p>
            <w:pPr>
              <w:pStyle w:val="Compact"/>
              <w:jc w:val="right"/>
            </w:pPr>
            <w:r>
              <w:t xml:space="preserve">0.0044175</w:t>
            </w:r>
          </w:p>
        </w:tc>
        <w:tc>
          <w:p>
            <w:pPr>
              <w:pStyle w:val="Compact"/>
              <w:jc w:val="right"/>
            </w:pPr>
            <w:r>
              <w:t xml:space="preserve">0.0015942</w:t>
            </w:r>
          </w:p>
        </w:tc>
        <w:tc>
          <w:p>
            <w:pPr>
              <w:pStyle w:val="Compact"/>
              <w:jc w:val="right"/>
            </w:pPr>
            <w:r>
              <w:t xml:space="preserve">2.7708916</w:t>
            </w:r>
          </w:p>
        </w:tc>
        <w:tc>
          <w:p>
            <w:pPr>
              <w:pStyle w:val="Compact"/>
              <w:jc w:val="right"/>
            </w:pPr>
            <w:r>
              <w:t xml:space="preserve">0.0054870</w:t>
            </w:r>
          </w:p>
        </w:tc>
        <w:tc>
          <w:p>
            <w:pPr>
              <w:pStyle w:val="Compact"/>
              <w:jc w:val="right"/>
            </w:pPr>
            <w:r>
              <w:t xml:space="preserve">0.0066620</w:t>
            </w:r>
          </w:p>
        </w:tc>
      </w:tr>
      <w:tr>
        <w:tc>
          <w:p>
            <w:pPr>
              <w:pStyle w:val="Compact"/>
              <w:jc w:val="left"/>
            </w:pPr>
            <w:r>
              <w:t xml:space="preserve">9</w:t>
            </w:r>
          </w:p>
        </w:tc>
        <w:tc>
          <w:p>
            <w:pPr>
              <w:pStyle w:val="Compact"/>
              <w:jc w:val="left"/>
            </w:pPr>
            <w:r>
              <w:t xml:space="preserve">AT1G35520.1</w:t>
            </w:r>
          </w:p>
        </w:tc>
        <w:tc>
          <w:p>
            <w:pPr>
              <w:pStyle w:val="Compact"/>
              <w:jc w:val="left"/>
            </w:pPr>
            <w:r>
              <w:t xml:space="preserve">ARF15</w:t>
            </w:r>
          </w:p>
        </w:tc>
        <w:tc>
          <w:p>
            <w:pPr>
              <w:pStyle w:val="Compact"/>
              <w:jc w:val="right"/>
            </w:pPr>
            <w:r>
              <w:t xml:space="preserve">0.0023227</w:t>
            </w:r>
          </w:p>
        </w:tc>
        <w:tc>
          <w:p>
            <w:pPr>
              <w:pStyle w:val="Compact"/>
              <w:jc w:val="right"/>
            </w:pPr>
            <w:r>
              <w:t xml:space="preserve">0.0006413</w:t>
            </w:r>
          </w:p>
        </w:tc>
        <w:tc>
          <w:p>
            <w:pPr>
              <w:pStyle w:val="Compact"/>
              <w:jc w:val="right"/>
            </w:pPr>
            <w:r>
              <w:t xml:space="preserve">3.6218117</w:t>
            </w:r>
          </w:p>
        </w:tc>
        <w:tc>
          <w:p>
            <w:pPr>
              <w:pStyle w:val="Compact"/>
              <w:jc w:val="right"/>
            </w:pPr>
            <w:r>
              <w:t xml:space="preserve">0.0029243</w:t>
            </w:r>
          </w:p>
        </w:tc>
        <w:tc>
          <w:p>
            <w:pPr>
              <w:pStyle w:val="Compact"/>
              <w:jc w:val="right"/>
            </w:pPr>
            <w:r>
              <w:t xml:space="preserve">0.0035744</w:t>
            </w:r>
          </w:p>
        </w:tc>
      </w:tr>
      <w:tr>
        <w:tc>
          <w:p>
            <w:pPr>
              <w:pStyle w:val="Compact"/>
              <w:jc w:val="left"/>
            </w:pPr>
            <w:r>
              <w:t xml:space="preserve">19</w:t>
            </w:r>
          </w:p>
        </w:tc>
        <w:tc>
          <w:p>
            <w:pPr>
              <w:pStyle w:val="Compact"/>
              <w:jc w:val="left"/>
            </w:pPr>
            <w:r>
              <w:t xml:space="preserve">AT4G30080.1</w:t>
            </w:r>
          </w:p>
        </w:tc>
        <w:tc>
          <w:p>
            <w:pPr>
              <w:pStyle w:val="Compact"/>
              <w:jc w:val="left"/>
            </w:pPr>
            <w:r>
              <w:t xml:space="preserve">ARF16</w:t>
            </w:r>
          </w:p>
        </w:tc>
        <w:tc>
          <w:p>
            <w:pPr>
              <w:pStyle w:val="Compact"/>
              <w:jc w:val="right"/>
            </w:pPr>
            <w:r>
              <w:t xml:space="preserve">0.0003146</w:t>
            </w:r>
          </w:p>
        </w:tc>
        <w:tc>
          <w:p>
            <w:pPr>
              <w:pStyle w:val="Compact"/>
              <w:jc w:val="right"/>
            </w:pPr>
            <w:r>
              <w:t xml:space="preserve">0.0004215</w:t>
            </w:r>
          </w:p>
        </w:tc>
        <w:tc>
          <w:p>
            <w:pPr>
              <w:pStyle w:val="Compact"/>
              <w:jc w:val="right"/>
            </w:pPr>
            <w:r>
              <w:t xml:space="preserve">0.7462421</w:t>
            </w:r>
          </w:p>
        </w:tc>
        <w:tc>
          <w:p>
            <w:pPr>
              <w:pStyle w:val="Compact"/>
              <w:jc w:val="right"/>
            </w:pPr>
            <w:r>
              <w:t xml:space="preserve">0.0007343</w:t>
            </w:r>
          </w:p>
        </w:tc>
        <w:tc>
          <w:p>
            <w:pPr>
              <w:pStyle w:val="Compact"/>
              <w:jc w:val="right"/>
            </w:pPr>
            <w:r>
              <w:t xml:space="preserve">0.0007074</w:t>
            </w:r>
          </w:p>
        </w:tc>
      </w:tr>
      <w:tr>
        <w:tc>
          <w:p>
            <w:pPr>
              <w:pStyle w:val="Compact"/>
              <w:jc w:val="left"/>
            </w:pPr>
            <w:r>
              <w:t xml:space="preserve">13</w:t>
            </w:r>
          </w:p>
        </w:tc>
        <w:tc>
          <w:p>
            <w:pPr>
              <w:pStyle w:val="Compact"/>
              <w:jc w:val="left"/>
            </w:pPr>
            <w:r>
              <w:t xml:space="preserve">AT1G77850.1</w:t>
            </w:r>
          </w:p>
        </w:tc>
        <w:tc>
          <w:p>
            <w:pPr>
              <w:pStyle w:val="Compact"/>
              <w:jc w:val="left"/>
            </w:pPr>
            <w:r>
              <w:t xml:space="preserve">ARF17</w:t>
            </w:r>
          </w:p>
        </w:tc>
        <w:tc>
          <w:p>
            <w:pPr>
              <w:pStyle w:val="Compact"/>
              <w:jc w:val="right"/>
            </w:pPr>
            <w:r>
              <w:t xml:space="preserve">0.0014579</w:t>
            </w:r>
          </w:p>
        </w:tc>
        <w:tc>
          <w:p>
            <w:pPr>
              <w:pStyle w:val="Compact"/>
              <w:jc w:val="right"/>
            </w:pPr>
            <w:r>
              <w:t xml:space="preserve">0.0017239</w:t>
            </w:r>
          </w:p>
        </w:tc>
        <w:tc>
          <w:p>
            <w:pPr>
              <w:pStyle w:val="Compact"/>
              <w:jc w:val="right"/>
            </w:pPr>
            <w:r>
              <w:t xml:space="preserve">0.8456947</w:t>
            </w:r>
          </w:p>
        </w:tc>
        <w:tc>
          <w:p>
            <w:pPr>
              <w:pStyle w:val="Compact"/>
              <w:jc w:val="right"/>
            </w:pPr>
            <w:r>
              <w:t xml:space="preserve">0.0031818</w:t>
            </w:r>
          </w:p>
        </w:tc>
        <w:tc>
          <w:p>
            <w:pPr>
              <w:pStyle w:val="Compact"/>
              <w:jc w:val="right"/>
            </w:pPr>
            <w:r>
              <w:t xml:space="preserve">0.0032026</w:t>
            </w:r>
          </w:p>
        </w:tc>
      </w:tr>
      <w:tr>
        <w:tc>
          <w:p>
            <w:pPr>
              <w:pStyle w:val="Compact"/>
              <w:jc w:val="left"/>
            </w:pPr>
            <w:r>
              <w:t xml:space="preserve">17</w:t>
            </w:r>
          </w:p>
        </w:tc>
        <w:tc>
          <w:p>
            <w:pPr>
              <w:pStyle w:val="Compact"/>
              <w:jc w:val="left"/>
            </w:pPr>
            <w:r>
              <w:t xml:space="preserve">AT3G61830.1</w:t>
            </w:r>
          </w:p>
        </w:tc>
        <w:tc>
          <w:p>
            <w:pPr>
              <w:pStyle w:val="Compact"/>
              <w:jc w:val="left"/>
            </w:pPr>
            <w:r>
              <w:t xml:space="preserve">ARF18</w:t>
            </w:r>
          </w:p>
        </w:tc>
        <w:tc>
          <w:p>
            <w:pPr>
              <w:pStyle w:val="Compact"/>
              <w:jc w:val="right"/>
            </w:pPr>
            <w:r>
              <w:t xml:space="preserve">0.0002835</w:t>
            </w:r>
          </w:p>
        </w:tc>
        <w:tc>
          <w:p>
            <w:pPr>
              <w:pStyle w:val="Compact"/>
              <w:jc w:val="right"/>
            </w:pPr>
            <w:r>
              <w:t xml:space="preserve">0.0002117</w:t>
            </w:r>
          </w:p>
        </w:tc>
        <w:tc>
          <w:p>
            <w:pPr>
              <w:pStyle w:val="Compact"/>
              <w:jc w:val="right"/>
            </w:pPr>
            <w:r>
              <w:t xml:space="preserve">1.3387989</w:t>
            </w:r>
          </w:p>
        </w:tc>
        <w:tc>
          <w:p>
            <w:pPr>
              <w:pStyle w:val="Compact"/>
              <w:jc w:val="right"/>
            </w:pPr>
            <w:r>
              <w:t xml:space="preserve">0.0004344</w:t>
            </w:r>
          </w:p>
        </w:tc>
        <w:tc>
          <w:p>
            <w:pPr>
              <w:pStyle w:val="Compact"/>
              <w:jc w:val="right"/>
            </w:pPr>
            <w:r>
              <w:t xml:space="preserve">0.0009262</w:t>
            </w:r>
          </w:p>
        </w:tc>
      </w:tr>
      <w:tr>
        <w:tc>
          <w:p>
            <w:pPr>
              <w:pStyle w:val="Compact"/>
              <w:jc w:val="left"/>
            </w:pPr>
            <w:r>
              <w:t xml:space="preserve">1</w:t>
            </w:r>
          </w:p>
        </w:tc>
        <w:tc>
          <w:p>
            <w:pPr>
              <w:pStyle w:val="Compact"/>
              <w:jc w:val="left"/>
            </w:pPr>
            <w:r>
              <w:t xml:space="preserve">AT1G19220.1</w:t>
            </w:r>
          </w:p>
        </w:tc>
        <w:tc>
          <w:p>
            <w:pPr>
              <w:pStyle w:val="Compact"/>
              <w:jc w:val="left"/>
            </w:pPr>
            <w:r>
              <w:t xml:space="preserve">ARF19</w:t>
            </w:r>
          </w:p>
        </w:tc>
        <w:tc>
          <w:p>
            <w:pPr>
              <w:pStyle w:val="Compact"/>
              <w:jc w:val="right"/>
            </w:pPr>
            <w:r>
              <w:t xml:space="preserve">0.0007552</w:t>
            </w:r>
          </w:p>
        </w:tc>
        <w:tc>
          <w:p>
            <w:pPr>
              <w:pStyle w:val="Compact"/>
              <w:jc w:val="right"/>
            </w:pPr>
            <w:r>
              <w:t xml:space="preserve">0.0004125</w:t>
            </w:r>
          </w:p>
        </w:tc>
        <w:tc>
          <w:p>
            <w:pPr>
              <w:pStyle w:val="Compact"/>
              <w:jc w:val="right"/>
            </w:pPr>
            <w:r>
              <w:t xml:space="preserve">1.8309428</w:t>
            </w:r>
          </w:p>
        </w:tc>
        <w:tc>
          <w:p>
            <w:pPr>
              <w:pStyle w:val="Compact"/>
              <w:jc w:val="right"/>
            </w:pPr>
            <w:r>
              <w:t xml:space="preserve">0.0011677</w:t>
            </w:r>
          </w:p>
        </w:tc>
        <w:tc>
          <w:p>
            <w:pPr>
              <w:pStyle w:val="Compact"/>
              <w:jc w:val="right"/>
            </w:pPr>
            <w:r>
              <w:t xml:space="preserve">0.0024942</w:t>
            </w:r>
          </w:p>
        </w:tc>
      </w:tr>
      <w:tr>
        <w:tc>
          <w:p>
            <w:pPr>
              <w:pStyle w:val="Compact"/>
              <w:jc w:val="left"/>
            </w:pPr>
            <w:r>
              <w:t xml:space="preserve">8</w:t>
            </w:r>
          </w:p>
        </w:tc>
        <w:tc>
          <w:p>
            <w:pPr>
              <w:pStyle w:val="Compact"/>
              <w:jc w:val="left"/>
            </w:pPr>
            <w:r>
              <w:t xml:space="preserve">AT1G35240.1</w:t>
            </w:r>
          </w:p>
        </w:tc>
        <w:tc>
          <w:p>
            <w:pPr>
              <w:pStyle w:val="Compact"/>
              <w:jc w:val="left"/>
            </w:pPr>
            <w:r>
              <w:t xml:space="preserve">ARF20</w:t>
            </w:r>
          </w:p>
        </w:tc>
        <w:tc>
          <w:p>
            <w:pPr>
              <w:pStyle w:val="Compact"/>
              <w:jc w:val="right"/>
            </w:pPr>
            <w:r>
              <w:t xml:space="preserve">0.0031381</w:t>
            </w:r>
          </w:p>
        </w:tc>
        <w:tc>
          <w:p>
            <w:pPr>
              <w:pStyle w:val="Compact"/>
              <w:jc w:val="right"/>
            </w:pPr>
            <w:r>
              <w:t xml:space="preserve">0.0021624</w:t>
            </w:r>
          </w:p>
        </w:tc>
        <w:tc>
          <w:p>
            <w:pPr>
              <w:pStyle w:val="Compact"/>
              <w:jc w:val="right"/>
            </w:pPr>
            <w:r>
              <w:t xml:space="preserve">1.4512521</w:t>
            </w:r>
          </w:p>
        </w:tc>
        <w:tc>
          <w:p>
            <w:pPr>
              <w:pStyle w:val="Compact"/>
              <w:jc w:val="right"/>
            </w:pPr>
            <w:r>
              <w:t xml:space="preserve">0.0052198</w:t>
            </w:r>
          </w:p>
        </w:tc>
        <w:tc>
          <w:p>
            <w:pPr>
              <w:pStyle w:val="Compact"/>
              <w:jc w:val="right"/>
            </w:pPr>
            <w:r>
              <w:t xml:space="preserve">0.0055010</w:t>
            </w:r>
          </w:p>
        </w:tc>
      </w:tr>
      <w:tr>
        <w:tc>
          <w:p>
            <w:pPr>
              <w:pStyle w:val="Compact"/>
              <w:jc w:val="left"/>
            </w:pPr>
            <w:r>
              <w:t xml:space="preserve">7</w:t>
            </w:r>
          </w:p>
        </w:tc>
        <w:tc>
          <w:p>
            <w:pPr>
              <w:pStyle w:val="Compact"/>
              <w:jc w:val="left"/>
            </w:pPr>
            <w:r>
              <w:t xml:space="preserve">AT1G34410.1</w:t>
            </w:r>
          </w:p>
        </w:tc>
        <w:tc>
          <w:p>
            <w:pPr>
              <w:pStyle w:val="Compact"/>
              <w:jc w:val="left"/>
            </w:pPr>
            <w:r>
              <w:t xml:space="preserve">ARF21</w:t>
            </w:r>
          </w:p>
        </w:tc>
        <w:tc>
          <w:p>
            <w:pPr>
              <w:pStyle w:val="Compact"/>
              <w:jc w:val="right"/>
            </w:pPr>
            <w:r>
              <w:t xml:space="preserve">0.0026459</w:t>
            </w:r>
          </w:p>
        </w:tc>
        <w:tc>
          <w:p>
            <w:pPr>
              <w:pStyle w:val="Compact"/>
              <w:jc w:val="right"/>
            </w:pPr>
            <w:r>
              <w:t xml:space="preserve">0.0013376</w:t>
            </w:r>
          </w:p>
        </w:tc>
        <w:tc>
          <w:p>
            <w:pPr>
              <w:pStyle w:val="Compact"/>
              <w:jc w:val="right"/>
            </w:pPr>
            <w:r>
              <w:t xml:space="preserve">1.9780448</w:t>
            </w:r>
          </w:p>
        </w:tc>
        <w:tc>
          <w:p>
            <w:pPr>
              <w:pStyle w:val="Compact"/>
              <w:jc w:val="right"/>
            </w:pPr>
            <w:r>
              <w:t xml:space="preserve">0.0037495</w:t>
            </w:r>
          </w:p>
        </w:tc>
        <w:tc>
          <w:p>
            <w:pPr>
              <w:pStyle w:val="Compact"/>
              <w:jc w:val="right"/>
            </w:pPr>
            <w:r>
              <w:t xml:space="preserve">0.0040307</w:t>
            </w:r>
          </w:p>
        </w:tc>
      </w:tr>
      <w:tr>
        <w:tc>
          <w:p>
            <w:pPr>
              <w:pStyle w:val="Compact"/>
              <w:jc w:val="left"/>
            </w:pPr>
            <w:r>
              <w:t xml:space="preserve">6</w:t>
            </w:r>
          </w:p>
        </w:tc>
        <w:tc>
          <w:p>
            <w:pPr>
              <w:pStyle w:val="Compact"/>
              <w:jc w:val="left"/>
            </w:pPr>
            <w:r>
              <w:t xml:space="preserve">AT1G34390.1</w:t>
            </w:r>
          </w:p>
        </w:tc>
        <w:tc>
          <w:p>
            <w:pPr>
              <w:pStyle w:val="Compact"/>
              <w:jc w:val="left"/>
            </w:pPr>
            <w:r>
              <w:t xml:space="preserve">ARF22</w:t>
            </w:r>
          </w:p>
        </w:tc>
        <w:tc>
          <w:p>
            <w:pPr>
              <w:pStyle w:val="Compact"/>
              <w:jc w:val="right"/>
            </w:pPr>
            <w:r>
              <w:t xml:space="preserve">0.0025578</w:t>
            </w:r>
          </w:p>
        </w:tc>
        <w:tc>
          <w:p>
            <w:pPr>
              <w:pStyle w:val="Compact"/>
              <w:jc w:val="right"/>
            </w:pPr>
            <w:r>
              <w:t xml:space="preserve">0.0021914</w:t>
            </w:r>
          </w:p>
        </w:tc>
        <w:tc>
          <w:p>
            <w:pPr>
              <w:pStyle w:val="Compact"/>
              <w:jc w:val="right"/>
            </w:pPr>
            <w:r>
              <w:t xml:space="preserve">1.1671816</w:t>
            </w:r>
          </w:p>
        </w:tc>
        <w:tc>
          <w:p>
            <w:pPr>
              <w:pStyle w:val="Compact"/>
              <w:jc w:val="right"/>
            </w:pPr>
            <w:r>
              <w:t xml:space="preserve">0.0044653</w:t>
            </w:r>
          </w:p>
        </w:tc>
        <w:tc>
          <w:p>
            <w:pPr>
              <w:pStyle w:val="Compact"/>
              <w:jc w:val="right"/>
            </w:pPr>
            <w:r>
              <w:t xml:space="preserve">0.0052844</w:t>
            </w:r>
          </w:p>
        </w:tc>
      </w:tr>
      <w:tr>
        <w:tc>
          <w:p>
            <w:pPr>
              <w:pStyle w:val="Compact"/>
              <w:jc w:val="left"/>
            </w:pPr>
            <w:r>
              <w:t xml:space="preserve">11</w:t>
            </w:r>
          </w:p>
        </w:tc>
        <w:tc>
          <w:p>
            <w:pPr>
              <w:pStyle w:val="Compact"/>
              <w:jc w:val="left"/>
            </w:pPr>
            <w:r>
              <w:t xml:space="preserve">AT1G43950.1</w:t>
            </w:r>
          </w:p>
        </w:tc>
        <w:tc>
          <w:p>
            <w:pPr>
              <w:pStyle w:val="Compact"/>
              <w:jc w:val="left"/>
            </w:pPr>
            <w:r>
              <w:t xml:space="preserve">ARF23</w:t>
            </w:r>
          </w:p>
        </w:tc>
        <w:tc>
          <w:p>
            <w:pPr>
              <w:pStyle w:val="Compact"/>
              <w:jc w:val="right"/>
            </w:pPr>
            <w:r>
              <w:t xml:space="preserve">0.0084679</w:t>
            </w:r>
          </w:p>
        </w:tc>
        <w:tc>
          <w:p>
            <w:pPr>
              <w:pStyle w:val="Compact"/>
              <w:jc w:val="right"/>
            </w:pPr>
            <w:r>
              <w:t xml:space="preserve">0.0020734</w:t>
            </w:r>
          </w:p>
        </w:tc>
        <w:tc>
          <w:p>
            <w:pPr>
              <w:pStyle w:val="Compact"/>
              <w:jc w:val="right"/>
            </w:pPr>
            <w:r>
              <w:t xml:space="preserve">4.0841576</w:t>
            </w:r>
          </w:p>
        </w:tc>
        <w:tc>
          <w:p>
            <w:pPr>
              <w:pStyle w:val="Compact"/>
              <w:jc w:val="right"/>
            </w:pPr>
            <w:r>
              <w:t xml:space="preserve">0.0084942</w:t>
            </w:r>
          </w:p>
        </w:tc>
        <w:tc>
          <w:p>
            <w:pPr>
              <w:pStyle w:val="Compact"/>
              <w:jc w:val="right"/>
            </w:pPr>
            <w:r>
              <w:t xml:space="preserve">0.0103227</w:t>
            </w:r>
          </w:p>
        </w:tc>
      </w:tr>
    </w:tbl>
    <w:p>
      <w:pPr>
        <w:pStyle w:val="SourceCode"/>
      </w:pPr>
      <w:r>
        <w:rPr>
          <w:rStyle w:val="VerbatimChar"/>
        </w:rPr>
        <w:t xml:space="preserve">#&gt; Determining distance matrix based on shared 5-mers: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0.03 secs</w:t>
      </w:r>
      <w:r>
        <w:br w:type="textWrapping"/>
      </w:r>
      <w:r>
        <w:rPr>
          <w:rStyle w:val="VerbatimChar"/>
        </w:rPr>
        <w:t xml:space="preserve">#&gt; </w:t>
      </w:r>
      <w:r>
        <w:br w:type="textWrapping"/>
      </w:r>
      <w:r>
        <w:rPr>
          <w:rStyle w:val="VerbatimChar"/>
        </w:rPr>
        <w:t xml:space="preserve">#&gt; 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0.86 secs</w:t>
      </w:r>
      <w:r>
        <w:br w:type="textWrapping"/>
      </w:r>
      <w:r>
        <w:rPr>
          <w:rStyle w:val="VerbatimChar"/>
        </w:rPr>
        <w:t xml:space="preserve">#&gt; </w:t>
      </w:r>
      <w:r>
        <w:br w:type="textWrapping"/>
      </w:r>
      <w:r>
        <w:rPr>
          <w:rStyle w:val="VerbatimChar"/>
        </w:rPr>
        <w:t xml:space="preserve">#&gt; Iteration 1 of 2:</w:t>
      </w:r>
      <w:r>
        <w:br w:type="textWrapping"/>
      </w:r>
      <w:r>
        <w:rPr>
          <w:rStyle w:val="VerbatimChar"/>
        </w:rPr>
        <w:t xml:space="preserve">#&gt; </w:t>
      </w:r>
      <w:r>
        <w:br w:type="textWrapping"/>
      </w:r>
      <w:r>
        <w:rPr>
          <w:rStyle w:val="VerbatimChar"/>
        </w:rPr>
        <w:t xml:space="preserve">#&gt; Determining distance matrix based on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Realigning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0.54 secs</w:t>
      </w:r>
      <w:r>
        <w:br w:type="textWrapping"/>
      </w:r>
      <w:r>
        <w:rPr>
          <w:rStyle w:val="VerbatimChar"/>
        </w:rPr>
        <w:t xml:space="preserve">#&gt; </w:t>
      </w:r>
      <w:r>
        <w:br w:type="textWrapping"/>
      </w:r>
      <w:r>
        <w:rPr>
          <w:rStyle w:val="VerbatimChar"/>
        </w:rPr>
        <w:t xml:space="preserve">#&gt; Iteration 2 of 2:</w:t>
      </w:r>
      <w:r>
        <w:br w:type="textWrapping"/>
      </w:r>
      <w:r>
        <w:rPr>
          <w:rStyle w:val="VerbatimChar"/>
        </w:rPr>
        <w:t xml:space="preserve">#&gt; </w:t>
      </w:r>
      <w:r>
        <w:br w:type="textWrapping"/>
      </w:r>
      <w:r>
        <w:rPr>
          <w:rStyle w:val="VerbatimChar"/>
        </w:rPr>
        <w:t xml:space="preserve">#&gt; Determining distance matrix based on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Realigning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0.02 secs</w:t>
      </w:r>
      <w:r>
        <w:br w:type="textWrapping"/>
      </w:r>
      <w:r>
        <w:rPr>
          <w:rStyle w:val="VerbatimChar"/>
        </w:rPr>
        <w:t xml:space="preserve">#&gt; </w:t>
      </w:r>
      <w:r>
        <w:br w:type="textWrapping"/>
      </w:r>
      <w:r>
        <w:rPr>
          <w:rStyle w:val="VerbatimChar"/>
        </w:rPr>
        <w:t xml:space="preserve">#&gt; Refining the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0.59 secs</w:t>
      </w:r>
    </w:p>
    <w:p>
      <w:pPr>
        <w:pStyle w:val="FirstParagraph"/>
      </w:pPr>
      <w:r>
        <w:drawing>
          <wp:inline>
            <wp:extent cx="5334000" cy="5334000"/>
            <wp:effectExtent b="0" l="0" r="0" t="0"/>
            <wp:docPr descr="" title="" id="1" name="Picture"/>
            <a:graphic>
              <a:graphicData uri="http://schemas.openxmlformats.org/drawingml/2006/picture">
                <pic:pic>
                  <pic:nvPicPr>
                    <pic:cNvPr descr="manuscript_files/figure-docx/Visualize%20ARF%20tree-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9" w:name="class-a-arfs"/>
      <w:r>
        <w:t xml:space="preserve">Class A ARFs</w:t>
      </w:r>
      <w:bookmarkEnd w:id="39"/>
    </w:p>
    <w:p>
      <w:pPr>
        <w:pStyle w:val="FirstParagraph"/>
      </w:pPr>
      <w:r>
        <w:t xml:space="preserve">For all class A ARFs, the middle region of the protein was the predominant high diversity region. The DNA-binding domain had very few, low-diversity missense mutations, as did the PB1 domain. Considering the necessity of their conserved functions, the low level of variation in these key DNA and protein-protein interaction domains is expected.</w:t>
      </w:r>
    </w:p>
    <w:p>
      <w:pPr>
        <w:pStyle w:val="SourceCode"/>
      </w:pPr>
      <w:r>
        <w:rPr>
          <w:rStyle w:val="VerbatimChar"/>
        </w:rPr>
        <w:t xml:space="preserve">#&gt; Determining distance matrix based on shared 5-mers: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0.23 secs</w:t>
      </w:r>
      <w:r>
        <w:br w:type="textWrapping"/>
      </w:r>
      <w:r>
        <w:rPr>
          <w:rStyle w:val="VerbatimChar"/>
        </w:rPr>
        <w:t xml:space="preserve">#&gt; </w:t>
      </w:r>
      <w:r>
        <w:br w:type="textWrapping"/>
      </w:r>
      <w:r>
        <w:rPr>
          <w:rStyle w:val="VerbatimChar"/>
        </w:rPr>
        <w:t xml:space="preserve">#&gt; Iteration 1 of 2:</w:t>
      </w:r>
      <w:r>
        <w:br w:type="textWrapping"/>
      </w:r>
      <w:r>
        <w:rPr>
          <w:rStyle w:val="VerbatimChar"/>
        </w:rPr>
        <w:t xml:space="preserve">#&gt; </w:t>
      </w:r>
      <w:r>
        <w:br w:type="textWrapping"/>
      </w:r>
      <w:r>
        <w:rPr>
          <w:rStyle w:val="VerbatimChar"/>
        </w:rPr>
        <w:t xml:space="preserve">#&gt; Determining distance matrix based on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Alignment converged - skipping remaining iteration.</w:t>
      </w:r>
    </w:p>
    <w:p>
      <w:pPr>
        <w:pStyle w:val="FirstParagraph"/>
      </w:pPr>
      <w:r>
        <w:drawing>
          <wp:inline>
            <wp:extent cx="5334000" cy="3048000"/>
            <wp:effectExtent b="0" l="0" r="0" t="0"/>
            <wp:docPr descr="" title="" id="1" name="Picture"/>
            <a:graphic>
              <a:graphicData uri="http://schemas.openxmlformats.org/drawingml/2006/picture">
                <pic:pic>
                  <pic:nvPicPr>
                    <pic:cNvPr descr="manuscript_files/figure-docx/A%20ARF%20Alignment-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Class A ARFs all contain the canonical B3 DNA-binding domain, PB1 interaction domain and glutamine-rich middle region (Guilefoyle, 2007). In the analyzed natural variation, ARF7 had several expansions of polyglutamine sequences in the middle region. Polyglutamine regions are known to readily expand and contract throughout evolutionary time due to replication error, and variation in polyglutamine length can be acted on by natural selection and have phenotypic consequences (Press, 2014).</w:t>
      </w:r>
    </w:p>
    <w:p>
      <w:pPr>
        <w:pStyle w:val="BodyText"/>
      </w:pPr>
      <w:r>
        <w:t xml:space="preserve">A few missense variants in ARF5 highlighted potential functional variation in the class A ARFs. A high frequency allele (</w:t>
      </w:r>
      <w:r>
        <w:rPr>
          <w:i/>
        </w:rPr>
        <w:t xml:space="preserve">What are the variants?</w:t>
      </w:r>
      <w:r>
        <w:t xml:space="preserve">), resulting in substitutions of small amino acids on the positive face of the PB1 domain for bulky phenylalanines, may disrupt interactions with other ARF or Aux/IAA PB1 domains. Interestingly, these variants were always found together in accessions Tu-B2-3, Ru-2, Haes-1, Rd-0, 627ME-13Y1, Le-0, Bu-0 and Bsch-0</w:t>
      </w:r>
      <w:r>
        <w:t xml:space="preserve"> </w:t>
      </w:r>
      <w:r>
        <w:rPr>
          <w:i/>
        </w:rPr>
        <w:t xml:space="preserve">Where are these?</w:t>
      </w:r>
      <w:r>
        <w:t xml:space="preserve">. Another highly represented polymorphism in ARF5 results in change in the 17th amino acid from a leucine to a methionine. This position is in the N-terminal extension of ARF5 which is of unknown function. It is possible that this methionine acts as an alternative start site in the accessions.</w:t>
      </w:r>
    </w:p>
    <w:p>
      <w:pPr>
        <w:pStyle w:val="Heading3"/>
      </w:pPr>
      <w:bookmarkStart w:id="41" w:name="class-b-arfs"/>
      <w:r>
        <w:t xml:space="preserve">Class B ARFs</w:t>
      </w:r>
      <w:bookmarkEnd w:id="41"/>
    </w:p>
    <w:p>
      <w:pPr>
        <w:pStyle w:val="FirstParagraph"/>
      </w:pPr>
      <w:r>
        <w:rPr>
          <w:i/>
        </w:rPr>
        <w:t xml:space="preserve">ARF23</w:t>
      </w:r>
      <w:r>
        <w:t xml:space="preserve">, which has a truncated DNA-binding domain, has a high</w:t>
      </w:r>
      <w:r>
        <w:t xml:space="preserve"> </w:t>
      </w:r>
      <m:oMath>
        <m:sSub>
          <m:e>
            <m:r>
              <m:t>π</m:t>
            </m:r>
          </m:e>
          <m:sub>
            <m:r>
              <m:t>N</m:t>
            </m:r>
          </m:sub>
        </m:sSub>
        <m:r>
          <m:t>/</m:t>
        </m:r>
        <m:sSub>
          <m:e>
            <m:r>
              <m:t>π</m:t>
            </m:r>
          </m:e>
          <m:sub>
            <m:r>
              <m:t>S</m:t>
            </m:r>
          </m:sub>
        </m:sSub>
      </m:oMath>
      <w:r>
        <w:t xml:space="preserve"> </w:t>
      </w:r>
      <w:r>
        <w:t xml:space="preserve">value of 4.1, and has many high-diversity nonsense variants, as may be expected of a gene that is pseudogenizing.</w:t>
      </w:r>
    </w:p>
    <w:p>
      <w:pPr>
        <w:pStyle w:val="BodyText"/>
      </w:pPr>
      <w:r>
        <w:t xml:space="preserve">ARF3, ARF13 and ARF17 all lack a C-terminal PB1 domain, which suggests they may be unable to interact with Aux/IAA repressors, possibly acting as auxin-insensitive competitive inhibitors of ARF-mediated transcription (Fig ARF3_13_17 alignment). These ARFs span the range of</w:t>
      </w:r>
      <w:r>
        <w:t xml:space="preserve"> </w:t>
      </w:r>
      <m:oMath>
        <m:sSub>
          <m:e>
            <m:r>
              <m:t>π</m:t>
            </m:r>
          </m:e>
          <m:sub>
            <m:r>
              <m:t>N</m:t>
            </m:r>
          </m:sub>
        </m:sSub>
        <m:r>
          <m:t>/</m:t>
        </m:r>
        <m:sSub>
          <m:e>
            <m:r>
              <m:t>π</m:t>
            </m:r>
          </m:e>
          <m:sub>
            <m:r>
              <m:t>S</m:t>
            </m:r>
          </m:sub>
        </m:sSub>
      </m:oMath>
      <w:r>
        <w:t xml:space="preserve"> </w:t>
      </w:r>
      <w:r>
        <w:t xml:space="preserve">ratios relative to the other ARFs, ranging from 0.85 to 4.1. ARF17 is more conserved than the activator ARF, ARF19. ARF13 has many nonsense variants of high diversity and may be pseudogenizing.</w:t>
      </w:r>
    </w:p>
    <w:p>
      <w:pPr>
        <w:pStyle w:val="BodyText"/>
      </w:pPr>
      <w:r>
        <w:t xml:space="preserve">ARF14, ARF15, ARF16, ARF20, and ARF21 all do not have one or multiple of the conserved acidic residues in the PB1 domain, and themselves form a subclade of the B ARFs. Interestingly, no non-synonymous variation is seen in these amino acid residues of these ARFs, suggesting that the amino acids that are in the regions may still be important for the function of these proteins.</w:t>
      </w:r>
    </w:p>
    <w:p>
      <w:pPr>
        <w:pStyle w:val="Heading3"/>
      </w:pPr>
      <w:bookmarkStart w:id="42" w:name="class-c-arfs"/>
      <w:r>
        <w:t xml:space="preserve">Class C ARFs</w:t>
      </w:r>
      <w:bookmarkEnd w:id="42"/>
    </w:p>
    <w:p>
      <w:pPr>
        <w:pStyle w:val="FirstParagraph"/>
      </w:pPr>
      <w:r>
        <w:t xml:space="preserve">Class C ARFs show low nucleotide diversity scores, all</w:t>
      </w:r>
      <w:r>
        <w:t xml:space="preserve"> </w:t>
      </w:r>
      <m:oMath>
        <m:sSub>
          <m:e>
            <m:r>
              <m:t>π</m:t>
            </m:r>
          </m:e>
          <m:sub>
            <m:r>
              <m:t>N</m:t>
            </m:r>
          </m:sub>
        </m:sSub>
        <m:r>
          <m:t>/</m:t>
        </m:r>
        <m:sSub>
          <m:e>
            <m:r>
              <m:t>π</m:t>
            </m:r>
          </m:e>
          <m:sub>
            <m:r>
              <m:t>S</m:t>
            </m:r>
          </m:sub>
        </m:sSub>
      </m:oMath>
      <w:r>
        <w:t xml:space="preserve"> </w:t>
      </w:r>
      <w:r>
        <w:t xml:space="preserve">values substantially lower than 1.</w:t>
      </w:r>
      <w:r>
        <w:t xml:space="preserve"> </w:t>
      </w:r>
      <w:r>
        <w:t xml:space="preserve">ARF16 was the most conserved, whereas its clade members (ARF10, ARF17) had scores at least four times higher</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w:t>
      </w:r>
    </w:p>
    <w:p>
      <w:pPr>
        <w:pStyle w:val="BodyText"/>
      </w:pPr>
      <w:r>
        <w:t xml:space="preserve">Structurally, all three members of Class C ARFs contain a canonical B3 DNA-binding domain, but only ARF10 and ARF16 contain a PB1 domain. The DNA binding domains exhibit overall low diversity and presence of largely synonymous changes for all the ARFs. Only the ARF10 DNA binding domain contains missense variants (S147T and A157S) (Fig. ARF10_DBD Variants distribution).</w:t>
      </w:r>
      <w:r>
        <w:t xml:space="preserve"> </w:t>
      </w:r>
      <w:r>
        <w:rPr>
          <w:b/>
        </w:rPr>
        <w:t xml:space="preserve">Any insights into whether these may affect function? They are quite conservative.</w:t>
      </w:r>
      <w:r>
        <w:t xml:space="preserve"> </w:t>
      </w:r>
      <w:r>
        <w:t xml:space="preserve">Of the PB1 domain containing class C ARFs, ARF16 exhibits several missense variants which are sporadically distributed, in contrast to the conserved PB1 domain of ARF10 (Fig. Arf16_PB_variants distribution).</w:t>
      </w:r>
    </w:p>
    <w:p>
      <w:pPr>
        <w:pStyle w:val="BodyText"/>
      </w:pPr>
      <w:r>
        <w:t xml:space="preserve">Several members of class B (ARF2, 3 and 4) and C ARFs (ARF10, 16 and 17) are distinguished from other ARFs on the basis of their post transcriptional regulation by trans-acting small interfering RNAs (tasiRNAs) and microRNAs (miRNAs)</w:t>
      </w:r>
      <w:r>
        <w:t xml:space="preserve"> </w:t>
      </w:r>
      <w:r>
        <w:t xml:space="preserve">(Allen, Xie, Gustafson, &amp; Carrington,</w:t>
      </w:r>
      <w:r>
        <w:t xml:space="preserve"> </w:t>
      </w:r>
      <w:hyperlink w:anchor="ref-allen_micrornadirected_2005">
        <w:r>
          <w:rPr>
            <w:rStyle w:val="Hyperlink"/>
          </w:rPr>
          <w:t xml:space="preserve">2005</w:t>
        </w:r>
      </w:hyperlink>
      <w:r>
        <w:t xml:space="preserve">; Rhoades et al.,</w:t>
      </w:r>
      <w:r>
        <w:t xml:space="preserve"> </w:t>
      </w:r>
      <w:hyperlink w:anchor="ref-rhoades_prediction_2002">
        <w:r>
          <w:rPr>
            <w:rStyle w:val="Hyperlink"/>
          </w:rPr>
          <w:t xml:space="preserve">2002</w:t>
        </w:r>
      </w:hyperlink>
      <w:r>
        <w:t xml:space="preserve">)</w:t>
      </w:r>
      <w:r>
        <w:t xml:space="preserve">.</w:t>
      </w:r>
      <w:r>
        <w:t xml:space="preserve"> </w:t>
      </w:r>
      <w:r>
        <w:rPr>
          <w:b/>
        </w:rPr>
        <w:t xml:space="preserve">(</w:t>
      </w:r>
      <w:r>
        <w:rPr>
          <w:b/>
        </w:rPr>
        <w:t xml:space="preserve">(</w:t>
      </w:r>
      <w:r>
        <w:rPr>
          <w:b/>
          <w:b/>
        </w:rPr>
        <w:t xml:space="preserve">???</w:t>
      </w:r>
      <w:r>
        <w:rPr>
          <w:b/>
        </w:rPr>
        <w:t xml:space="preserve">)</w:t>
      </w:r>
      <w:r>
        <w:rPr>
          <w:b/>
        </w:rPr>
        <w:t xml:space="preserve"> </w:t>
      </w:r>
      <w:r>
        <w:rPr>
          <w:b/>
        </w:rPr>
        <w:t xml:space="preserve">Arf 6 and 8 targeted by miRNA 167 - check for conservation).</w:t>
      </w:r>
      <w:r>
        <w:t xml:space="preserve"> </w:t>
      </w:r>
      <w:r>
        <w:t xml:space="preserve">The miRNA target of class C ARFs showed a high degree of conservation (Fig. ARF10_16_17_Alignment). This is consistent with perturbation studies that have shown drastic developmental phenotype for class C ARFs</w:t>
      </w:r>
      <w:r>
        <w:t xml:space="preserve"> </w:t>
      </w:r>
      <w:r>
        <w:t xml:space="preserve">(</w:t>
      </w:r>
      <w:r>
        <w:rPr>
          <w:b/>
        </w:rPr>
        <w:t xml:space="preserve">???</w:t>
      </w:r>
      <w:r>
        <w:t xml:space="preserve">; Mallory, Bartel, &amp; Bartel,</w:t>
      </w:r>
      <w:r>
        <w:t xml:space="preserve"> </w:t>
      </w:r>
      <w:hyperlink w:anchor="ref-mallory_micrornadirected_2005">
        <w:r>
          <w:rPr>
            <w:rStyle w:val="Hyperlink"/>
          </w:rPr>
          <w:t xml:space="preserve">2005</w:t>
        </w:r>
      </w:hyperlink>
      <w:r>
        <w:t xml:space="preserve">; Wang et al.,</w:t>
      </w:r>
      <w:r>
        <w:t xml:space="preserve"> </w:t>
      </w:r>
      <w:hyperlink w:anchor="ref-wang_control_2005">
        <w:r>
          <w:rPr>
            <w:rStyle w:val="Hyperlink"/>
          </w:rPr>
          <w:t xml:space="preserve">2005</w:t>
        </w:r>
      </w:hyperlink>
      <w:r>
        <w:t xml:space="preserve">)</w:t>
      </w:r>
      <w:r>
        <w:t xml:space="preserve">. For the class B ARFs (2, 3 and 4) the tasiRNA binding motif is also highly conserved suggesting strong regulatory constraints on these genes (Fig ARF2_3_4_Alignment). The DNA binding domain of ARF4 exhibits non-synonymous variation in 4 accession and would be interesting to carry out phenotypic characterization of these accessions for developmental growth defects (Fig ARF4_DBD Variants map).</w:t>
      </w:r>
    </w:p>
    <w:p>
      <w:pPr>
        <w:pStyle w:val="BodyText"/>
      </w:pPr>
      <w:r>
        <w:t xml:space="preserve">#Discussion</w:t>
      </w:r>
    </w:p>
    <w:bookmarkStart w:id="105" w:name="refs"/>
    <w:bookmarkStart w:id="44" w:name="ref-allen_micrornadirected_2005"/>
    <w:p>
      <w:pPr>
        <w:pStyle w:val="Bibliography"/>
      </w:pPr>
      <w:r>
        <w:t xml:space="preserve">Allen, E., Xie, Z., Gustafson, A. M., &amp; Carrington, J. C. (2005). microRNA-directed phasing during trans-acting siRNA biogenesis in plants.</w:t>
      </w:r>
      <w:r>
        <w:t xml:space="preserve"> </w:t>
      </w:r>
      <w:r>
        <w:rPr>
          <w:i/>
        </w:rPr>
        <w:t xml:space="preserve">Cell</w:t>
      </w:r>
      <w:r>
        <w:t xml:space="preserve">,</w:t>
      </w:r>
      <w:r>
        <w:t xml:space="preserve"> </w:t>
      </w:r>
      <w:r>
        <w:rPr>
          <w:i/>
        </w:rPr>
        <w:t xml:space="preserve">121</w:t>
      </w:r>
      <w:r>
        <w:t xml:space="preserve">(2), 207–221.</w:t>
      </w:r>
      <w:r>
        <w:t xml:space="preserve"> </w:t>
      </w:r>
      <w:hyperlink r:id="rId43">
        <w:r>
          <w:rPr>
            <w:rStyle w:val="Hyperlink"/>
          </w:rPr>
          <w:t xml:space="preserve">https://doi.org/10.1016/j.cell.2005.04.004</w:t>
        </w:r>
      </w:hyperlink>
    </w:p>
    <w:bookmarkEnd w:id="44"/>
    <w:bookmarkStart w:id="46" w:name="ref-arase_iaa8_2012"/>
    <w:p>
      <w:pPr>
        <w:pStyle w:val="Bibliography"/>
      </w:pPr>
      <w:r>
        <w:t xml:space="preserve">Arase, F., Nishitani, H., Egusa, M., Nishimoto, N., Sakurai, S., Sakamoto, N., &amp; Kaminaka, H. (2012). IAA8 involved in lateral root formation interacts with the TIR1 auxin receptor and ARF transcription factors in Arabidopsis.</w:t>
      </w:r>
      <w:r>
        <w:t xml:space="preserve"> </w:t>
      </w:r>
      <w:r>
        <w:rPr>
          <w:i/>
        </w:rPr>
        <w:t xml:space="preserve">PloS One</w:t>
      </w:r>
      <w:r>
        <w:t xml:space="preserve">,</w:t>
      </w:r>
      <w:r>
        <w:t xml:space="preserve"> </w:t>
      </w:r>
      <w:r>
        <w:rPr>
          <w:i/>
        </w:rPr>
        <w:t xml:space="preserve">7</w:t>
      </w:r>
      <w:r>
        <w:t xml:space="preserve">(8), e43414.</w:t>
      </w:r>
      <w:r>
        <w:t xml:space="preserve"> </w:t>
      </w:r>
      <w:hyperlink r:id="rId45">
        <w:r>
          <w:rPr>
            <w:rStyle w:val="Hyperlink"/>
          </w:rPr>
          <w:t xml:space="preserve">https://doi.org/10.1371/journal.pone.0043414</w:t>
        </w:r>
      </w:hyperlink>
    </w:p>
    <w:bookmarkEnd w:id="46"/>
    <w:bookmarkStart w:id="48" w:name="ref-berleth_auxin_2004"/>
    <w:p>
      <w:pPr>
        <w:pStyle w:val="Bibliography"/>
      </w:pPr>
      <w:r>
        <w:t xml:space="preserve">Berleth, T., Krogan, N. T., &amp; Scarpella, E. (2004). Auxin signals–turning genes on and turning cells around.</w:t>
      </w:r>
      <w:r>
        <w:t xml:space="preserve"> </w:t>
      </w:r>
      <w:r>
        <w:rPr>
          <w:i/>
        </w:rPr>
        <w:t xml:space="preserve">Current Opinion in Plant Biology</w:t>
      </w:r>
      <w:r>
        <w:t xml:space="preserve">,</w:t>
      </w:r>
      <w:r>
        <w:t xml:space="preserve"> </w:t>
      </w:r>
      <w:r>
        <w:rPr>
          <w:i/>
        </w:rPr>
        <w:t xml:space="preserve">7</w:t>
      </w:r>
      <w:r>
        <w:t xml:space="preserve">(5), 553–563.</w:t>
      </w:r>
      <w:r>
        <w:t xml:space="preserve"> </w:t>
      </w:r>
      <w:hyperlink r:id="rId47">
        <w:r>
          <w:rPr>
            <w:rStyle w:val="Hyperlink"/>
          </w:rPr>
          <w:t xml:space="preserve">https://doi.org/10.1016/j.pbi.2004.07.016</w:t>
        </w:r>
      </w:hyperlink>
    </w:p>
    <w:bookmarkEnd w:id="48"/>
    <w:bookmarkStart w:id="50" w:name="ref-calderonvillalobos_combinatorial_2012"/>
    <w:p>
      <w:pPr>
        <w:pStyle w:val="Bibliography"/>
      </w:pPr>
      <w:r>
        <w:t xml:space="preserve">Calderón Villalobos, L. I. A., Lee, S., De Oliveira, C., Ivetac, A., Brandt, W., Armitage, L., … Estelle, M. (n.d.). A combinatorial TIR1/AFB-Aux/IAA co-receptor system for differential sensing of auxin.</w:t>
      </w:r>
      <w:r>
        <w:t xml:space="preserve"> </w:t>
      </w:r>
      <w:r>
        <w:rPr>
          <w:i/>
        </w:rPr>
        <w:t xml:space="preserve">Nat Chem Biol</w:t>
      </w:r>
      <w:r>
        <w:t xml:space="preserve">,</w:t>
      </w:r>
      <w:r>
        <w:t xml:space="preserve"> </w:t>
      </w:r>
      <w:r>
        <w:rPr>
          <w:i/>
        </w:rPr>
        <w:t xml:space="preserve">8</w:t>
      </w:r>
      <w:r>
        <w:t xml:space="preserve">(5), 477–85.</w:t>
      </w:r>
      <w:r>
        <w:t xml:space="preserve"> </w:t>
      </w:r>
      <w:hyperlink r:id="rId49">
        <w:r>
          <w:rPr>
            <w:rStyle w:val="Hyperlink"/>
          </w:rPr>
          <w:t xml:space="preserve">https://doi.org/10.1038/nchembio.926</w:t>
        </w:r>
      </w:hyperlink>
    </w:p>
    <w:bookmarkEnd w:id="50"/>
    <w:bookmarkStart w:id="52" w:name="ref-coll_programmed_2011"/>
    <w:p>
      <w:pPr>
        <w:pStyle w:val="Bibliography"/>
      </w:pPr>
      <w:r>
        <w:t xml:space="preserve">Coll, N. S., Epple, P., &amp; Dangl, J. L. (2011). Programmed cell death in the plant immune system.</w:t>
      </w:r>
      <w:r>
        <w:t xml:space="preserve"> </w:t>
      </w:r>
      <w:r>
        <w:rPr>
          <w:i/>
        </w:rPr>
        <w:t xml:space="preserve">Cell Death and Differentiation</w:t>
      </w:r>
      <w:r>
        <w:t xml:space="preserve">,</w:t>
      </w:r>
      <w:r>
        <w:t xml:space="preserve"> </w:t>
      </w:r>
      <w:r>
        <w:rPr>
          <w:i/>
        </w:rPr>
        <w:t xml:space="preserve">18</w:t>
      </w:r>
      <w:r>
        <w:t xml:space="preserve">(8), 1247–1256.</w:t>
      </w:r>
      <w:r>
        <w:t xml:space="preserve"> </w:t>
      </w:r>
      <w:hyperlink r:id="rId51">
        <w:r>
          <w:rPr>
            <w:rStyle w:val="Hyperlink"/>
          </w:rPr>
          <w:t xml:space="preserve">https://doi.org/10.1038/cdd.2011.37</w:t>
        </w:r>
      </w:hyperlink>
    </w:p>
    <w:bookmarkEnd w:id="52"/>
    <w:bookmarkStart w:id="54" w:name="ref-delker_natural_2010"/>
    <w:p>
      <w:pPr>
        <w:pStyle w:val="Bibliography"/>
      </w:pPr>
      <w:r>
        <w:t xml:space="preserve">Delker, C., Pöschl, Y., Raschke, A., Ullrich, K., Ettingshausen, S., Hauptmann, V., … Quint, M. (2010). Natural Variation of Transcriptional Auxin Response Networks in Arabidopsis thaliana.</w:t>
      </w:r>
      <w:r>
        <w:t xml:space="preserve"> </w:t>
      </w:r>
      <w:r>
        <w:rPr>
          <w:i/>
        </w:rPr>
        <w:t xml:space="preserve">The Plant Cell</w:t>
      </w:r>
      <w:r>
        <w:t xml:space="preserve">,</w:t>
      </w:r>
      <w:r>
        <w:t xml:space="preserve"> </w:t>
      </w:r>
      <w:r>
        <w:rPr>
          <w:i/>
        </w:rPr>
        <w:t xml:space="preserve">22</w:t>
      </w:r>
      <w:r>
        <w:t xml:space="preserve">(7), 2184–2200.</w:t>
      </w:r>
      <w:r>
        <w:t xml:space="preserve"> </w:t>
      </w:r>
      <w:hyperlink r:id="rId53">
        <w:r>
          <w:rPr>
            <w:rStyle w:val="Hyperlink"/>
          </w:rPr>
          <w:t xml:space="preserve">https://doi.org/10.1105/tpc.110.073957</w:t>
        </w:r>
      </w:hyperlink>
    </w:p>
    <w:bookmarkEnd w:id="54"/>
    <w:bookmarkStart w:id="56" w:name="ref-dezfulian_oligomerization_2016"/>
    <w:p>
      <w:pPr>
        <w:pStyle w:val="Bibliography"/>
      </w:pPr>
      <w:r>
        <w:t xml:space="preserve">Dezfulian, M. H., Jalili, E., Roberto, D. K. A., Moss, B. L., Khoo, K., Nemhauser, J. L., &amp; Crosby, W. L. (2016). Oligomerization of SCF TIR1 Is Essential for Aux/IAA Degradation and Auxin Signaling in Arabidopsis.</w:t>
      </w:r>
      <w:r>
        <w:t xml:space="preserve"> </w:t>
      </w:r>
      <w:r>
        <w:rPr>
          <w:i/>
        </w:rPr>
        <w:t xml:space="preserve">PLOS Genet</w:t>
      </w:r>
      <w:r>
        <w:t xml:space="preserve">,</w:t>
      </w:r>
      <w:r>
        <w:t xml:space="preserve"> </w:t>
      </w:r>
      <w:r>
        <w:rPr>
          <w:i/>
        </w:rPr>
        <w:t xml:space="preserve">12</w:t>
      </w:r>
      <w:r>
        <w:t xml:space="preserve">(9), e1006301.</w:t>
      </w:r>
      <w:r>
        <w:t xml:space="preserve"> </w:t>
      </w:r>
      <w:hyperlink r:id="rId55">
        <w:r>
          <w:rPr>
            <w:rStyle w:val="Hyperlink"/>
          </w:rPr>
          <w:t xml:space="preserve">https://doi.org/10.1371/journal.pgen.1006301</w:t>
        </w:r>
      </w:hyperlink>
    </w:p>
    <w:bookmarkEnd w:id="56"/>
    <w:bookmarkStart w:id="58" w:name="ref-dharmasiri_plant_2005"/>
    <w:p>
      <w:pPr>
        <w:pStyle w:val="Bibliography"/>
      </w:pPr>
      <w:r>
        <w:t xml:space="preserve">Dharmasiri, N., Dharmasiri, S., Weijers, D., Lechner, E., Yamada, M., Hobbie, L., … Estelle, M. (2005). Plant Development Is Regulated by a Family of Auxin Receptor F Box Proteins.</w:t>
      </w:r>
      <w:r>
        <w:t xml:space="preserve"> </w:t>
      </w:r>
      <w:r>
        <w:rPr>
          <w:i/>
        </w:rPr>
        <w:t xml:space="preserve">Developmental Cell</w:t>
      </w:r>
      <w:r>
        <w:t xml:space="preserve">,</w:t>
      </w:r>
      <w:r>
        <w:t xml:space="preserve"> </w:t>
      </w:r>
      <w:r>
        <w:rPr>
          <w:i/>
        </w:rPr>
        <w:t xml:space="preserve">9</w:t>
      </w:r>
      <w:r>
        <w:t xml:space="preserve">(1), 109–119.</w:t>
      </w:r>
      <w:r>
        <w:t xml:space="preserve"> </w:t>
      </w:r>
      <w:hyperlink r:id="rId57">
        <w:r>
          <w:rPr>
            <w:rStyle w:val="Hyperlink"/>
          </w:rPr>
          <w:t xml:space="preserve">https://doi.org/10.1016/j.devcel.2005.05.014</w:t>
        </w:r>
      </w:hyperlink>
    </w:p>
    <w:bookmarkEnd w:id="58"/>
    <w:bookmarkStart w:id="60" w:name="ref-dreher_arabidopsis_2006"/>
    <w:p>
      <w:pPr>
        <w:pStyle w:val="Bibliography"/>
      </w:pPr>
      <w:r>
        <w:t xml:space="preserve">Dreher, K. A., Brown, J., Saw, R. E., &amp; Callis, J. (2006). The Arabidopsis Aux/IAA Protein Family Has Diversified in Degradation and Auxin Responsiveness.</w:t>
      </w:r>
      <w:r>
        <w:t xml:space="preserve"> </w:t>
      </w:r>
      <w:r>
        <w:rPr>
          <w:i/>
        </w:rPr>
        <w:t xml:space="preserve">The Plant Cell</w:t>
      </w:r>
      <w:r>
        <w:t xml:space="preserve">,</w:t>
      </w:r>
      <w:r>
        <w:t xml:space="preserve"> </w:t>
      </w:r>
      <w:r>
        <w:rPr>
          <w:i/>
        </w:rPr>
        <w:t xml:space="preserve">18</w:t>
      </w:r>
      <w:r>
        <w:t xml:space="preserve">(3), 699–714.</w:t>
      </w:r>
      <w:r>
        <w:t xml:space="preserve"> </w:t>
      </w:r>
      <w:hyperlink r:id="rId59">
        <w:r>
          <w:rPr>
            <w:rStyle w:val="Hyperlink"/>
          </w:rPr>
          <w:t xml:space="preserve">https://doi.org/10.1105/tpc.105.039172</w:t>
        </w:r>
      </w:hyperlink>
    </w:p>
    <w:bookmarkEnd w:id="60"/>
    <w:bookmarkStart w:id="62" w:name="ref-havens_synthetic_2012"/>
    <w:p>
      <w:pPr>
        <w:pStyle w:val="Bibliography"/>
      </w:pPr>
      <w:r>
        <w:t xml:space="preserve">Havens, K. A., Guseman, J. M., Jang, S. S., Pierre-Jerome, E., Bolten, N., Klavins, E., &amp; Nemhauser, J. L. (n.d.). A synthetic approach reveals extensive tunability of auxin signaling.</w:t>
      </w:r>
      <w:r>
        <w:t xml:space="preserve"> </w:t>
      </w:r>
      <w:r>
        <w:rPr>
          <w:i/>
        </w:rPr>
        <w:t xml:space="preserve">Plant Physiol</w:t>
      </w:r>
      <w:r>
        <w:t xml:space="preserve">,</w:t>
      </w:r>
      <w:r>
        <w:t xml:space="preserve"> </w:t>
      </w:r>
      <w:r>
        <w:rPr>
          <w:i/>
        </w:rPr>
        <w:t xml:space="preserve">160</w:t>
      </w:r>
      <w:r>
        <w:t xml:space="preserve">(1), 135–42.</w:t>
      </w:r>
      <w:r>
        <w:t xml:space="preserve"> </w:t>
      </w:r>
      <w:hyperlink r:id="rId61">
        <w:r>
          <w:rPr>
            <w:rStyle w:val="Hyperlink"/>
          </w:rPr>
          <w:t xml:space="preserve">https://doi.org/10.1104/pp.112.202184</w:t>
        </w:r>
      </w:hyperlink>
    </w:p>
    <w:bookmarkEnd w:id="62"/>
    <w:bookmarkStart w:id="63" w:name="ref-kagale_ear_2011"/>
    <w:p>
      <w:pPr>
        <w:pStyle w:val="Bibliography"/>
      </w:pPr>
      <w:r>
        <w:t xml:space="preserve">Kagale, S., &amp; Rozwadowski, K. (2011). EAR motif-mediated transcriptional repression in plants: An underlying mechanism for epigenetic regulation of gene expression.</w:t>
      </w:r>
      <w:r>
        <w:t xml:space="preserve"> </w:t>
      </w:r>
      <w:r>
        <w:rPr>
          <w:i/>
        </w:rPr>
        <w:t xml:space="preserve">Epigenetics</w:t>
      </w:r>
      <w:r>
        <w:t xml:space="preserve">,</w:t>
      </w:r>
      <w:r>
        <w:t xml:space="preserve"> </w:t>
      </w:r>
      <w:r>
        <w:rPr>
          <w:i/>
        </w:rPr>
        <w:t xml:space="preserve">6</w:t>
      </w:r>
      <w:r>
        <w:t xml:space="preserve">(2), 141–146.</w:t>
      </w:r>
    </w:p>
    <w:bookmarkEnd w:id="63"/>
    <w:bookmarkStart w:id="65" w:name="ref-kim_two_1996"/>
    <w:p>
      <w:pPr>
        <w:pStyle w:val="Bibliography"/>
      </w:pPr>
      <w:r>
        <w:t xml:space="preserve">Kim, B. C., Soh, M. S., Kang, B. J., Furuya, M., &amp; Nam, H. G. (1996). Two dominant photomorphogenic mutations of Arabidopsis thaliana identified as suppressor mutations of hy2.</w:t>
      </w:r>
      <w:r>
        <w:t xml:space="preserve"> </w:t>
      </w:r>
      <w:r>
        <w:rPr>
          <w:i/>
        </w:rPr>
        <w:t xml:space="preserve">The Plant Journal</w:t>
      </w:r>
      <w:r>
        <w:t xml:space="preserve">,</w:t>
      </w:r>
      <w:r>
        <w:t xml:space="preserve"> </w:t>
      </w:r>
      <w:r>
        <w:rPr>
          <w:i/>
        </w:rPr>
        <w:t xml:space="preserve">9</w:t>
      </w:r>
      <w:r>
        <w:t xml:space="preserve">(4), 441–456.</w:t>
      </w:r>
      <w:r>
        <w:t xml:space="preserve"> </w:t>
      </w:r>
      <w:hyperlink r:id="rId64">
        <w:r>
          <w:rPr>
            <w:rStyle w:val="Hyperlink"/>
          </w:rPr>
          <w:t xml:space="preserve">https://doi.org/10.1046/j.1365-313X.1996.09040441.x</w:t>
        </w:r>
      </w:hyperlink>
    </w:p>
    <w:bookmarkEnd w:id="65"/>
    <w:bookmarkStart w:id="67" w:name="ref-koenig_auxin_2009"/>
    <w:p>
      <w:pPr>
        <w:pStyle w:val="Bibliography"/>
      </w:pPr>
      <w:r>
        <w:t xml:space="preserve">Koenig, D., Bayer, E., Kang, J., Kuhlemeier, C., &amp; Sinha, N. (2009). Auxin patterns Solanum lycopersicum leaf morphogenesis.</w:t>
      </w:r>
      <w:r>
        <w:t xml:space="preserve"> </w:t>
      </w:r>
      <w:r>
        <w:rPr>
          <w:i/>
        </w:rPr>
        <w:t xml:space="preserve">Development (Cambridge, England)</w:t>
      </w:r>
      <w:r>
        <w:t xml:space="preserve">,</w:t>
      </w:r>
      <w:r>
        <w:t xml:space="preserve"> </w:t>
      </w:r>
      <w:r>
        <w:rPr>
          <w:i/>
        </w:rPr>
        <w:t xml:space="preserve">136</w:t>
      </w:r>
      <w:r>
        <w:t xml:space="preserve">(17), 2997–3006.</w:t>
      </w:r>
      <w:r>
        <w:t xml:space="preserve"> </w:t>
      </w:r>
      <w:hyperlink r:id="rId66">
        <w:r>
          <w:rPr>
            <w:rStyle w:val="Hyperlink"/>
          </w:rPr>
          <w:t xml:space="preserve">https://doi.org/10.1242/dev.033811</w:t>
        </w:r>
      </w:hyperlink>
    </w:p>
    <w:bookmarkEnd w:id="67"/>
    <w:bookmarkStart w:id="69" w:name="ref-lee_biological_2016"/>
    <w:p>
      <w:pPr>
        <w:pStyle w:val="Bibliography"/>
      </w:pPr>
      <w:r>
        <w:t xml:space="preserve">Lee, M.-S., An, J.-H., &amp; Cho, H.-T. (2016). Biological and molecular functions of two EAR motifs of Arabidopsis IAA7.</w:t>
      </w:r>
      <w:r>
        <w:t xml:space="preserve"> </w:t>
      </w:r>
      <w:r>
        <w:rPr>
          <w:i/>
        </w:rPr>
        <w:t xml:space="preserve">Journal of Plant Biology</w:t>
      </w:r>
      <w:r>
        <w:t xml:space="preserve">,</w:t>
      </w:r>
      <w:r>
        <w:t xml:space="preserve"> </w:t>
      </w:r>
      <w:r>
        <w:rPr>
          <w:i/>
        </w:rPr>
        <w:t xml:space="preserve">59</w:t>
      </w:r>
      <w:r>
        <w:t xml:space="preserve">(1), 24–32.</w:t>
      </w:r>
      <w:r>
        <w:t xml:space="preserve"> </w:t>
      </w:r>
      <w:hyperlink r:id="rId68">
        <w:r>
          <w:rPr>
            <w:rStyle w:val="Hyperlink"/>
          </w:rPr>
          <w:t xml:space="preserve">https://doi.org/10.1007/s12374-016-0453-1</w:t>
        </w:r>
      </w:hyperlink>
    </w:p>
    <w:bookmarkEnd w:id="69"/>
    <w:bookmarkStart w:id="71" w:name="ref-mallory_micrornadirected_2005"/>
    <w:p>
      <w:pPr>
        <w:pStyle w:val="Bibliography"/>
      </w:pPr>
      <w:r>
        <w:t xml:space="preserve">Mallory, A. C., Bartel, D. P., &amp; Bartel, B. (2005). MicroRNA-directed regulation of Arabidopsis AUXIN RESPONSE FACTOR17 is essential for proper development and modulates expression of early auxin response genes.</w:t>
      </w:r>
      <w:r>
        <w:t xml:space="preserve"> </w:t>
      </w:r>
      <w:r>
        <w:rPr>
          <w:i/>
        </w:rPr>
        <w:t xml:space="preserve">The Plant Cell</w:t>
      </w:r>
      <w:r>
        <w:t xml:space="preserve">,</w:t>
      </w:r>
      <w:r>
        <w:t xml:space="preserve"> </w:t>
      </w:r>
      <w:r>
        <w:rPr>
          <w:i/>
        </w:rPr>
        <w:t xml:space="preserve">17</w:t>
      </w:r>
      <w:r>
        <w:t xml:space="preserve">(5), 1360–1375.</w:t>
      </w:r>
      <w:r>
        <w:t xml:space="preserve"> </w:t>
      </w:r>
      <w:hyperlink r:id="rId70">
        <w:r>
          <w:rPr>
            <w:rStyle w:val="Hyperlink"/>
          </w:rPr>
          <w:t xml:space="preserve">https://doi.org/10.1105/tpc.105.031716</w:t>
        </w:r>
      </w:hyperlink>
    </w:p>
    <w:bookmarkEnd w:id="71"/>
    <w:bookmarkStart w:id="73" w:name="ref-martin-arevalillo_structure_2017"/>
    <w:p>
      <w:pPr>
        <w:pStyle w:val="Bibliography"/>
      </w:pPr>
      <w:r>
        <w:t xml:space="preserve">Martin-Arevalillo, R., Nanao, M. H., Larrieu, A., Vinos-Poyo, T., Mast, D., Galvan-Ampudia, C., … Parcy, F. (2017). Structure of the Arabidopsis TOPLESS corepressor provides insight into the evolution of transcriptional repression.</w:t>
      </w:r>
      <w:r>
        <w:t xml:space="preserve"> </w:t>
      </w:r>
      <w:r>
        <w:rPr>
          <w:i/>
        </w:rPr>
        <w:t xml:space="preserve">Proceedings of the National Academy of Sciences</w:t>
      </w:r>
      <w:r>
        <w:t xml:space="preserve">, 201703054.</w:t>
      </w:r>
      <w:r>
        <w:t xml:space="preserve"> </w:t>
      </w:r>
      <w:hyperlink r:id="rId72">
        <w:r>
          <w:rPr>
            <w:rStyle w:val="Hyperlink"/>
          </w:rPr>
          <w:t xml:space="preserve">https://doi.org/10.1073/pnas.1703054114</w:t>
        </w:r>
      </w:hyperlink>
    </w:p>
    <w:bookmarkEnd w:id="73"/>
    <w:bookmarkStart w:id="75" w:name="ref-melamed_combining_2015"/>
    <w:p>
      <w:pPr>
        <w:pStyle w:val="Bibliography"/>
      </w:pPr>
      <w:r>
        <w:t xml:space="preserve">Melamed, D., Young, D. L., Miller, C. R., &amp; Fields, S. (2015). Combining Natural Sequence Variation with High Throughput Mutational Data to Reveal Protein Interaction Sites.</w:t>
      </w:r>
      <w:r>
        <w:t xml:space="preserve"> </w:t>
      </w:r>
      <w:r>
        <w:rPr>
          <w:i/>
        </w:rPr>
        <w:t xml:space="preserve">PLoS Genet</w:t>
      </w:r>
      <w:r>
        <w:t xml:space="preserve">,</w:t>
      </w:r>
      <w:r>
        <w:t xml:space="preserve"> </w:t>
      </w:r>
      <w:r>
        <w:rPr>
          <w:i/>
        </w:rPr>
        <w:t xml:space="preserve">11</w:t>
      </w:r>
      <w:r>
        <w:t xml:space="preserve">(2), e1004918.</w:t>
      </w:r>
      <w:r>
        <w:t xml:space="preserve"> </w:t>
      </w:r>
      <w:hyperlink r:id="rId74">
        <w:r>
          <w:rPr>
            <w:rStyle w:val="Hyperlink"/>
          </w:rPr>
          <w:t xml:space="preserve">https://doi.org/10.1371/journal.pgen.1004918</w:t>
        </w:r>
      </w:hyperlink>
    </w:p>
    <w:bookmarkEnd w:id="75"/>
    <w:bookmarkStart w:id="77" w:name="ref-moss_rate_2015"/>
    <w:p>
      <w:pPr>
        <w:pStyle w:val="Bibliography"/>
      </w:pPr>
      <w:r>
        <w:t xml:space="preserve">Moss, B. L., Mao, H., Guseman, J. M., Hinds, T. R., Hellmuth, A., Kovenock, M., … Nemhauser, J. L. (2015). Rate Motifs Tune Auxin/Indole-3-Acetic Acid Degradation Dynamics.</w:t>
      </w:r>
      <w:r>
        <w:t xml:space="preserve"> </w:t>
      </w:r>
      <w:r>
        <w:rPr>
          <w:i/>
        </w:rPr>
        <w:t xml:space="preserve">Plant Physiology</w:t>
      </w:r>
      <w:r>
        <w:t xml:space="preserve">,</w:t>
      </w:r>
      <w:r>
        <w:t xml:space="preserve"> </w:t>
      </w:r>
      <w:r>
        <w:rPr>
          <w:i/>
        </w:rPr>
        <w:t xml:space="preserve">169</w:t>
      </w:r>
      <w:r>
        <w:t xml:space="preserve">(1), 803–813.</w:t>
      </w:r>
      <w:r>
        <w:t xml:space="preserve"> </w:t>
      </w:r>
      <w:hyperlink r:id="rId76">
        <w:r>
          <w:rPr>
            <w:rStyle w:val="Hyperlink"/>
          </w:rPr>
          <w:t xml:space="preserve">https://doi.org/10.1104/pp.15.00587</w:t>
        </w:r>
      </w:hyperlink>
    </w:p>
    <w:bookmarkEnd w:id="77"/>
    <w:bookmarkStart w:id="79" w:name="ref-nanao_structural_2014"/>
    <w:p>
      <w:pPr>
        <w:pStyle w:val="Bibliography"/>
      </w:pPr>
      <w:r>
        <w:t xml:space="preserve">Nanao, M. H., Vinos-Poyo, T., Brunoud, G., Thévenon, E., Mazzoleni, M., Mast, D., … Dumas, R. (2014). Structural basis for oligomerization of auxin transcriptional regulators.</w:t>
      </w:r>
      <w:r>
        <w:t xml:space="preserve"> </w:t>
      </w:r>
      <w:r>
        <w:rPr>
          <w:i/>
        </w:rPr>
        <w:t xml:space="preserve">Nature Communications</w:t>
      </w:r>
      <w:r>
        <w:t xml:space="preserve">,</w:t>
      </w:r>
      <w:r>
        <w:t xml:space="preserve"> </w:t>
      </w:r>
      <w:r>
        <w:rPr>
          <w:i/>
        </w:rPr>
        <w:t xml:space="preserve">5</w:t>
      </w:r>
      <w:r>
        <w:t xml:space="preserve">, 3617.</w:t>
      </w:r>
      <w:r>
        <w:t xml:space="preserve"> </w:t>
      </w:r>
      <w:hyperlink r:id="rId78">
        <w:r>
          <w:rPr>
            <w:rStyle w:val="Hyperlink"/>
          </w:rPr>
          <w:t xml:space="preserve">https://doi.org/10.1038/ncomms4617</w:t>
        </w:r>
      </w:hyperlink>
    </w:p>
    <w:bookmarkEnd w:id="79"/>
    <w:bookmarkStart w:id="81" w:name="ref-overvoorde_functional_2005"/>
    <w:p>
      <w:pPr>
        <w:pStyle w:val="Bibliography"/>
      </w:pPr>
      <w:r>
        <w:t xml:space="preserve">Overvoorde, P. J., Okushima, Y., Alonso, J. M., Chan, A., Chang, C., Ecker, J. R., … Theologis, A. (2005). Functional Genomic Analysis of the AUXIN/INDOLE-3-ACETIC ACID Gene Family Members in Arabidopsis thaliana.</w:t>
      </w:r>
      <w:r>
        <w:t xml:space="preserve"> </w:t>
      </w:r>
      <w:r>
        <w:rPr>
          <w:i/>
        </w:rPr>
        <w:t xml:space="preserve">The Plant Cell</w:t>
      </w:r>
      <w:r>
        <w:t xml:space="preserve">,</w:t>
      </w:r>
      <w:r>
        <w:t xml:space="preserve"> </w:t>
      </w:r>
      <w:r>
        <w:rPr>
          <w:i/>
        </w:rPr>
        <w:t xml:space="preserve">17</w:t>
      </w:r>
      <w:r>
        <w:t xml:space="preserve">(12), 3282–3300.</w:t>
      </w:r>
      <w:r>
        <w:t xml:space="preserve"> </w:t>
      </w:r>
      <w:hyperlink r:id="rId80">
        <w:r>
          <w:rPr>
            <w:rStyle w:val="Hyperlink"/>
          </w:rPr>
          <w:t xml:space="preserve">https://doi.org/10.1105/tpc.105.036723</w:t>
        </w:r>
      </w:hyperlink>
    </w:p>
    <w:bookmarkEnd w:id="81"/>
    <w:bookmarkStart w:id="83" w:name="ref-park_distributions_2017"/>
    <w:p>
      <w:pPr>
        <w:pStyle w:val="Bibliography"/>
      </w:pPr>
      <w:r>
        <w:t xml:space="preserve">Park, B., Rutter, M. T., Fenster, C. B., Symonds, V. V., Ungerer, M. C., &amp; Townsend, J. P. (2017). Distributions of Mutational Effects and the Estimation of Directional Selection in Divergent Lineages of Arabidopsis thaliana.</w:t>
      </w:r>
      <w:r>
        <w:t xml:space="preserve"> </w:t>
      </w:r>
      <w:r>
        <w:rPr>
          <w:i/>
        </w:rPr>
        <w:t xml:space="preserve">Genetics</w:t>
      </w:r>
      <w:r>
        <w:t xml:space="preserve">,</w:t>
      </w:r>
      <w:r>
        <w:t xml:space="preserve"> </w:t>
      </w:r>
      <w:r>
        <w:rPr>
          <w:i/>
        </w:rPr>
        <w:t xml:space="preserve">206</w:t>
      </w:r>
      <w:r>
        <w:t xml:space="preserve">(4), 2105–2117.</w:t>
      </w:r>
      <w:r>
        <w:t xml:space="preserve"> </w:t>
      </w:r>
      <w:hyperlink r:id="rId82">
        <w:r>
          <w:rPr>
            <w:rStyle w:val="Hyperlink"/>
          </w:rPr>
          <w:t xml:space="preserve">https://doi.org/10.1534/genetics.116.199190</w:t>
        </w:r>
      </w:hyperlink>
    </w:p>
    <w:bookmarkEnd w:id="83"/>
    <w:bookmarkStart w:id="85" w:name="ref-parry_complex_2009"/>
    <w:p>
      <w:pPr>
        <w:pStyle w:val="Bibliography"/>
      </w:pPr>
      <w:r>
        <w:t xml:space="preserve">Parry, G., Calderon-Villalobos, L. I., Prigge, M., Peret, B., Dharmasiri, S., Itoh, H., … Estelle, M. (2009). Complex regulation of the TIR1/AFB family of auxin receptors.</w:t>
      </w:r>
      <w:r>
        <w:t xml:space="preserve"> </w:t>
      </w:r>
      <w:r>
        <w:rPr>
          <w:i/>
        </w:rPr>
        <w:t xml:space="preserve">Proceedings of the National Academy of Sciences</w:t>
      </w:r>
      <w:r>
        <w:t xml:space="preserve">,</w:t>
      </w:r>
      <w:r>
        <w:t xml:space="preserve"> </w:t>
      </w:r>
      <w:r>
        <w:rPr>
          <w:i/>
        </w:rPr>
        <w:t xml:space="preserve">106</w:t>
      </w:r>
      <w:r>
        <w:t xml:space="preserve">(52), 22540–22545.</w:t>
      </w:r>
      <w:r>
        <w:t xml:space="preserve"> </w:t>
      </w:r>
      <w:hyperlink r:id="rId84">
        <w:r>
          <w:rPr>
            <w:rStyle w:val="Hyperlink"/>
          </w:rPr>
          <w:t xml:space="preserve">https://doi.org/10.1073/pnas.0911967106</w:t>
        </w:r>
      </w:hyperlink>
    </w:p>
    <w:bookmarkEnd w:id="85"/>
    <w:bookmarkStart w:id="87" w:name="ref-prigge_arabidopsis_2016"/>
    <w:p>
      <w:pPr>
        <w:pStyle w:val="Bibliography"/>
      </w:pPr>
      <w:r>
        <w:t xml:space="preserve">Prigge, M. J., Greenham, K., Zhang, Y., Santner, A., Castillejo, C., Mutka, A. M., … Estelle, M. (2016). The Arabidopsis Auxin Receptor F-Box Proteins AFB4 and AFB5 Are Required for Response to the Synthetic Auxin Picloram.</w:t>
      </w:r>
      <w:r>
        <w:t xml:space="preserve"> </w:t>
      </w:r>
      <w:r>
        <w:rPr>
          <w:i/>
        </w:rPr>
        <w:t xml:space="preserve">G3: Genes|Genomes|Genetics</w:t>
      </w:r>
      <w:r>
        <w:t xml:space="preserve">,</w:t>
      </w:r>
      <w:r>
        <w:t xml:space="preserve"> </w:t>
      </w:r>
      <w:r>
        <w:rPr>
          <w:i/>
        </w:rPr>
        <w:t xml:space="preserve">6</w:t>
      </w:r>
      <w:r>
        <w:t xml:space="preserve">(5), 1383–1390.</w:t>
      </w:r>
      <w:r>
        <w:t xml:space="preserve"> </w:t>
      </w:r>
      <w:hyperlink r:id="rId86">
        <w:r>
          <w:rPr>
            <w:rStyle w:val="Hyperlink"/>
          </w:rPr>
          <w:t xml:space="preserve">https://doi.org/10.1534/g3.115.025585</w:t>
        </w:r>
      </w:hyperlink>
    </w:p>
    <w:bookmarkEnd w:id="87"/>
    <w:bookmarkStart w:id="89" w:name="ref-remington_contrasting_2004"/>
    <w:p>
      <w:pPr>
        <w:pStyle w:val="Bibliography"/>
      </w:pPr>
      <w:r>
        <w:t xml:space="preserve">Remington, D. L., Vision, T. J., Guilfoyle, T. J., &amp; Reed, J. W. (2004). Contrasting modes of diversification in the Aux/IAA and ARF gene families.</w:t>
      </w:r>
      <w:r>
        <w:t xml:space="preserve"> </w:t>
      </w:r>
      <w:r>
        <w:rPr>
          <w:i/>
        </w:rPr>
        <w:t xml:space="preserve">Plant Physiology</w:t>
      </w:r>
      <w:r>
        <w:t xml:space="preserve">,</w:t>
      </w:r>
      <w:r>
        <w:t xml:space="preserve"> </w:t>
      </w:r>
      <w:r>
        <w:rPr>
          <w:i/>
        </w:rPr>
        <w:t xml:space="preserve">135</w:t>
      </w:r>
      <w:r>
        <w:t xml:space="preserve">(3), 1738–1752.</w:t>
      </w:r>
      <w:r>
        <w:t xml:space="preserve"> </w:t>
      </w:r>
      <w:hyperlink r:id="rId88">
        <w:r>
          <w:rPr>
            <w:rStyle w:val="Hyperlink"/>
          </w:rPr>
          <w:t xml:space="preserve">https://doi.org/10.1104/pp.104.039669</w:t>
        </w:r>
      </w:hyperlink>
    </w:p>
    <w:bookmarkEnd w:id="89"/>
    <w:bookmarkStart w:id="90" w:name="ref-rhoades_prediction_2002"/>
    <w:p>
      <w:pPr>
        <w:pStyle w:val="Bibliography"/>
      </w:pPr>
      <w:r>
        <w:t xml:space="preserve">Rhoades, M. W., Reinhart, B. J., Lim, L. P., Burge, C. B., Bartel, B., &amp; Bartel, D. P. (2002). Prediction of plant microRNA targets.</w:t>
      </w:r>
      <w:r>
        <w:t xml:space="preserve"> </w:t>
      </w:r>
      <w:r>
        <w:rPr>
          <w:i/>
        </w:rPr>
        <w:t xml:space="preserve">Cell</w:t>
      </w:r>
      <w:r>
        <w:t xml:space="preserve">,</w:t>
      </w:r>
      <w:r>
        <w:t xml:space="preserve"> </w:t>
      </w:r>
      <w:r>
        <w:rPr>
          <w:i/>
        </w:rPr>
        <w:t xml:space="preserve">110</w:t>
      </w:r>
      <w:r>
        <w:t xml:space="preserve">(4), 513–520.</w:t>
      </w:r>
    </w:p>
    <w:bookmarkEnd w:id="90"/>
    <w:bookmarkStart w:id="92" w:name="ref-starita_variant_2017"/>
    <w:p>
      <w:pPr>
        <w:pStyle w:val="Bibliography"/>
      </w:pPr>
      <w:r>
        <w:t xml:space="preserve">Starita, L. M., Ahituv, N., Dunham, M. J., Kitzman, J. O., Roth, F. P., Seelig, G., … Fowler, D. M. (2017). Variant Interpretation: Functional Assays to the Rescue.</w:t>
      </w:r>
      <w:r>
        <w:t xml:space="preserve"> </w:t>
      </w:r>
      <w:r>
        <w:rPr>
          <w:i/>
        </w:rPr>
        <w:t xml:space="preserve">The American Journal of Human Genetics</w:t>
      </w:r>
      <w:r>
        <w:t xml:space="preserve">,</w:t>
      </w:r>
      <w:r>
        <w:t xml:space="preserve"> </w:t>
      </w:r>
      <w:r>
        <w:rPr>
          <w:i/>
        </w:rPr>
        <w:t xml:space="preserve">101</w:t>
      </w:r>
      <w:r>
        <w:t xml:space="preserve">(3), 315–325.</w:t>
      </w:r>
      <w:r>
        <w:t xml:space="preserve"> </w:t>
      </w:r>
      <w:hyperlink r:id="rId91">
        <w:r>
          <w:rPr>
            <w:rStyle w:val="Hyperlink"/>
          </w:rPr>
          <w:t xml:space="preserve">https://doi.org/10.1016/j.ajhg.2017.07.014</w:t>
        </w:r>
      </w:hyperlink>
    </w:p>
    <w:bookmarkEnd w:id="92"/>
    <w:bookmarkStart w:id="94" w:name="ref-szemenyei_topless_2008"/>
    <w:p>
      <w:pPr>
        <w:pStyle w:val="Bibliography"/>
      </w:pPr>
      <w:r>
        <w:t xml:space="preserve">Szemenyei, H., Hannon, M., &amp; Long, J. A. (2008). TOPLESS mediates auxin-dependent transcriptional repression during Arabidopsis embryogenesis.</w:t>
      </w:r>
      <w:r>
        <w:t xml:space="preserve"> </w:t>
      </w:r>
      <w:r>
        <w:rPr>
          <w:i/>
        </w:rPr>
        <w:t xml:space="preserve">Science (New York, N.Y.)</w:t>
      </w:r>
      <w:r>
        <w:t xml:space="preserve">,</w:t>
      </w:r>
      <w:r>
        <w:t xml:space="preserve"> </w:t>
      </w:r>
      <w:r>
        <w:rPr>
          <w:i/>
        </w:rPr>
        <w:t xml:space="preserve">319</w:t>
      </w:r>
      <w:r>
        <w:t xml:space="preserve">(5868), 1384–1386.</w:t>
      </w:r>
      <w:r>
        <w:t xml:space="preserve"> </w:t>
      </w:r>
      <w:hyperlink r:id="rId93">
        <w:r>
          <w:rPr>
            <w:rStyle w:val="Hyperlink"/>
          </w:rPr>
          <w:t xml:space="preserve">https://doi.org/10.1126/science.1151461</w:t>
        </w:r>
      </w:hyperlink>
    </w:p>
    <w:bookmarkEnd w:id="94"/>
    <w:bookmarkStart w:id="96" w:name="ref-tan_mechanism_2007"/>
    <w:p>
      <w:pPr>
        <w:pStyle w:val="Bibliography"/>
      </w:pPr>
      <w:r>
        <w:t xml:space="preserve">Tan, X., Calderon-Villalobos, L. I. A., Sharon, M., Zheng, C., Robinson, C. V., Estelle, M., &amp; Zheng, N. (n.d.). Mechanism of auxin perception by the TIR1 ubiquitin ligase.</w:t>
      </w:r>
      <w:r>
        <w:t xml:space="preserve"> </w:t>
      </w:r>
      <w:r>
        <w:rPr>
          <w:i/>
        </w:rPr>
        <w:t xml:space="preserve">Nature</w:t>
      </w:r>
      <w:r>
        <w:t xml:space="preserve">,</w:t>
      </w:r>
      <w:r>
        <w:t xml:space="preserve"> </w:t>
      </w:r>
      <w:r>
        <w:rPr>
          <w:i/>
        </w:rPr>
        <w:t xml:space="preserve">446</w:t>
      </w:r>
      <w:r>
        <w:t xml:space="preserve">(7136), 640–5.</w:t>
      </w:r>
      <w:r>
        <w:t xml:space="preserve"> </w:t>
      </w:r>
      <w:hyperlink r:id="rId95">
        <w:r>
          <w:rPr>
            <w:rStyle w:val="Hyperlink"/>
          </w:rPr>
          <w:t xml:space="preserve">https://doi.org/10.1038/nature05731</w:t>
        </w:r>
      </w:hyperlink>
    </w:p>
    <w:bookmarkEnd w:id="96"/>
    <w:bookmarkStart w:id="98" w:name="ref-wang_control_2005"/>
    <w:p>
      <w:pPr>
        <w:pStyle w:val="Bibliography"/>
      </w:pPr>
      <w:r>
        <w:t xml:space="preserve">Wang, J.-W., Wang, L.-J., Mao, Y.-B., Cai, W.-J., Xue, H.-W., &amp; Chen, X.-Y. (2005). Control of root cap formation by MicroRNA-targeted auxin response factors in Arabidopsis.</w:t>
      </w:r>
      <w:r>
        <w:t xml:space="preserve"> </w:t>
      </w:r>
      <w:r>
        <w:rPr>
          <w:i/>
        </w:rPr>
        <w:t xml:space="preserve">The Plant Cell</w:t>
      </w:r>
      <w:r>
        <w:t xml:space="preserve">,</w:t>
      </w:r>
      <w:r>
        <w:t xml:space="preserve"> </w:t>
      </w:r>
      <w:r>
        <w:rPr>
          <w:i/>
        </w:rPr>
        <w:t xml:space="preserve">17</w:t>
      </w:r>
      <w:r>
        <w:t xml:space="preserve">(8), 2204–2216.</w:t>
      </w:r>
      <w:r>
        <w:t xml:space="preserve"> </w:t>
      </w:r>
      <w:hyperlink r:id="rId97">
        <w:r>
          <w:rPr>
            <w:rStyle w:val="Hyperlink"/>
          </w:rPr>
          <w:t xml:space="preserve">https://doi.org/10.1105/tpc.105.033076</w:t>
        </w:r>
      </w:hyperlink>
    </w:p>
    <w:bookmarkEnd w:id="98"/>
    <w:bookmarkStart w:id="100" w:name="ref-winkler_variation_2017"/>
    <w:p>
      <w:pPr>
        <w:pStyle w:val="Bibliography"/>
      </w:pPr>
      <w:r>
        <w:t xml:space="preserve">Winkler, M., Niemeyer, M., Hellmuth, A., Janitza, P., Christ, G., Samodelov, S. L., … Calderón Villalobos, L. I. A. (2017). Variation in auxin sensing guides AUX/IAA transcriptional repressor ubiquitylation and destruction.</w:t>
      </w:r>
      <w:r>
        <w:t xml:space="preserve"> </w:t>
      </w:r>
      <w:r>
        <w:rPr>
          <w:i/>
        </w:rPr>
        <w:t xml:space="preserve">Nature Communications</w:t>
      </w:r>
      <w:r>
        <w:t xml:space="preserve">,</w:t>
      </w:r>
      <w:r>
        <w:t xml:space="preserve"> </w:t>
      </w:r>
      <w:r>
        <w:rPr>
          <w:i/>
        </w:rPr>
        <w:t xml:space="preserve">8</w:t>
      </w:r>
      <w:r>
        <w:t xml:space="preserve">, 15706.</w:t>
      </w:r>
      <w:r>
        <w:t xml:space="preserve"> </w:t>
      </w:r>
      <w:hyperlink r:id="rId99">
        <w:r>
          <w:rPr>
            <w:rStyle w:val="Hyperlink"/>
          </w:rPr>
          <w:t xml:space="preserve">https://doi.org/10.1038/ncomms15706</w:t>
        </w:r>
      </w:hyperlink>
    </w:p>
    <w:bookmarkEnd w:id="100"/>
    <w:bookmarkStart w:id="102" w:name="ref-wright_insights_2017a"/>
    <w:p>
      <w:pPr>
        <w:pStyle w:val="Bibliography"/>
      </w:pPr>
      <w:r>
        <w:t xml:space="preserve">Wright, R. C., Zahler, M. L., Gerben, S. R., &amp; Nemhauser, J. L. (2017). Insights into the Evolution and Function of Auxin Signaling F-Box Proteins in Arabidopsis thaliana Through Synthetic Analysis of Natural Variants.</w:t>
      </w:r>
      <w:r>
        <w:t xml:space="preserve"> </w:t>
      </w:r>
      <w:r>
        <w:rPr>
          <w:i/>
        </w:rPr>
        <w:t xml:space="preserve">Genetics</w:t>
      </w:r>
      <w:r>
        <w:t xml:space="preserve">,</w:t>
      </w:r>
      <w:r>
        <w:t xml:space="preserve"> </w:t>
      </w:r>
      <w:r>
        <w:rPr>
          <w:i/>
        </w:rPr>
        <w:t xml:space="preserve">207</w:t>
      </w:r>
      <w:r>
        <w:t xml:space="preserve">(2), 583–591.</w:t>
      </w:r>
      <w:r>
        <w:t xml:space="preserve"> </w:t>
      </w:r>
      <w:hyperlink r:id="rId101">
        <w:r>
          <w:rPr>
            <w:rStyle w:val="Hyperlink"/>
          </w:rPr>
          <w:t xml:space="preserve">https://doi.org/10.1534/genetics.117.300092</w:t>
        </w:r>
      </w:hyperlink>
    </w:p>
    <w:bookmarkEnd w:id="102"/>
    <w:bookmarkStart w:id="104" w:name="ref-yang_iaa1_2004"/>
    <w:p>
      <w:pPr>
        <w:pStyle w:val="Bibliography"/>
      </w:pPr>
      <w:r>
        <w:t xml:space="preserve">Yang, X., Lee, S., So, J.-H., Dharmasiri, S., Dharmasiri, N., Ge, L., … Estelle, M. (2004). The IAA1 protein is encoded by AXR5 and is a substrate of SCF(TIR1).</w:t>
      </w:r>
      <w:r>
        <w:t xml:space="preserve"> </w:t>
      </w:r>
      <w:r>
        <w:rPr>
          <w:i/>
        </w:rPr>
        <w:t xml:space="preserve">The Plant Journal: For Cell and Molecular Biology</w:t>
      </w:r>
      <w:r>
        <w:t xml:space="preserve">,</w:t>
      </w:r>
      <w:r>
        <w:t xml:space="preserve"> </w:t>
      </w:r>
      <w:r>
        <w:rPr>
          <w:i/>
        </w:rPr>
        <w:t xml:space="preserve">40</w:t>
      </w:r>
      <w:r>
        <w:t xml:space="preserve">(5), 772–782.</w:t>
      </w:r>
      <w:r>
        <w:t xml:space="preserve"> </w:t>
      </w:r>
      <w:hyperlink r:id="rId103">
        <w:r>
          <w:rPr>
            <w:rStyle w:val="Hyperlink"/>
          </w:rPr>
          <w:t xml:space="preserve">https://doi.org/10.1111/j.1365-313X.2004.02254.x</w:t>
        </w:r>
      </w:hyperlink>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hyperlink" Id="rId68" Target="https://doi.org/10.1007/s12374-016-0453-1" TargetMode="External" /><Relationship Type="http://schemas.openxmlformats.org/officeDocument/2006/relationships/hyperlink" Id="rId91" Target="https://doi.org/10.1016/j.ajhg.2017.07.014" TargetMode="External" /><Relationship Type="http://schemas.openxmlformats.org/officeDocument/2006/relationships/hyperlink" Id="rId43" Target="https://doi.org/10.1016/j.cell.2005.04.004" TargetMode="External" /><Relationship Type="http://schemas.openxmlformats.org/officeDocument/2006/relationships/hyperlink" Id="rId57" Target="https://doi.org/10.1016/j.devcel.2005.05.014" TargetMode="External" /><Relationship Type="http://schemas.openxmlformats.org/officeDocument/2006/relationships/hyperlink" Id="rId47" Target="https://doi.org/10.1016/j.pbi.2004.07.016" TargetMode="External" /><Relationship Type="http://schemas.openxmlformats.org/officeDocument/2006/relationships/hyperlink" Id="rId51" Target="https://doi.org/10.1038/cdd.2011.37" TargetMode="External" /><Relationship Type="http://schemas.openxmlformats.org/officeDocument/2006/relationships/hyperlink" Id="rId95" Target="https://doi.org/10.1038/nature05731" TargetMode="External" /><Relationship Type="http://schemas.openxmlformats.org/officeDocument/2006/relationships/hyperlink" Id="rId49" Target="https://doi.org/10.1038/nchembio.926" TargetMode="External" /><Relationship Type="http://schemas.openxmlformats.org/officeDocument/2006/relationships/hyperlink" Id="rId99" Target="https://doi.org/10.1038/ncomms15706" TargetMode="External" /><Relationship Type="http://schemas.openxmlformats.org/officeDocument/2006/relationships/hyperlink" Id="rId78" Target="https://doi.org/10.1038/ncomms4617" TargetMode="External" /><Relationship Type="http://schemas.openxmlformats.org/officeDocument/2006/relationships/hyperlink" Id="rId64" Target="https://doi.org/10.1046/j.1365-313X.1996.09040441.x" TargetMode="External" /><Relationship Type="http://schemas.openxmlformats.org/officeDocument/2006/relationships/hyperlink" Id="rId84" Target="https://doi.org/10.1073/pnas.0911967106" TargetMode="External" /><Relationship Type="http://schemas.openxmlformats.org/officeDocument/2006/relationships/hyperlink" Id="rId72" Target="https://doi.org/10.1073/pnas.1703054114" TargetMode="External" /><Relationship Type="http://schemas.openxmlformats.org/officeDocument/2006/relationships/hyperlink" Id="rId88" Target="https://doi.org/10.1104/pp.104.039669" TargetMode="External" /><Relationship Type="http://schemas.openxmlformats.org/officeDocument/2006/relationships/hyperlink" Id="rId61" Target="https://doi.org/10.1104/pp.112.202184" TargetMode="External" /><Relationship Type="http://schemas.openxmlformats.org/officeDocument/2006/relationships/hyperlink" Id="rId76" Target="https://doi.org/10.1104/pp.15.00587" TargetMode="External" /><Relationship Type="http://schemas.openxmlformats.org/officeDocument/2006/relationships/hyperlink" Id="rId70" Target="https://doi.org/10.1105/tpc.105.031716" TargetMode="External" /><Relationship Type="http://schemas.openxmlformats.org/officeDocument/2006/relationships/hyperlink" Id="rId97" Target="https://doi.org/10.1105/tpc.105.033076" TargetMode="External" /><Relationship Type="http://schemas.openxmlformats.org/officeDocument/2006/relationships/hyperlink" Id="rId80" Target="https://doi.org/10.1105/tpc.105.036723" TargetMode="External" /><Relationship Type="http://schemas.openxmlformats.org/officeDocument/2006/relationships/hyperlink" Id="rId59" Target="https://doi.org/10.1105/tpc.105.039172" TargetMode="External" /><Relationship Type="http://schemas.openxmlformats.org/officeDocument/2006/relationships/hyperlink" Id="rId53" Target="https://doi.org/10.1105/tpc.110.073957" TargetMode="External" /><Relationship Type="http://schemas.openxmlformats.org/officeDocument/2006/relationships/hyperlink" Id="rId103" Target="https://doi.org/10.1111/j.1365-313X.2004.02254.x" TargetMode="External" /><Relationship Type="http://schemas.openxmlformats.org/officeDocument/2006/relationships/hyperlink" Id="rId93" Target="https://doi.org/10.1126/science.1151461" TargetMode="External" /><Relationship Type="http://schemas.openxmlformats.org/officeDocument/2006/relationships/hyperlink" Id="rId66" Target="https://doi.org/10.1242/dev.033811" TargetMode="External" /><Relationship Type="http://schemas.openxmlformats.org/officeDocument/2006/relationships/hyperlink" Id="rId74" Target="https://doi.org/10.1371/journal.pgen.1004918" TargetMode="External" /><Relationship Type="http://schemas.openxmlformats.org/officeDocument/2006/relationships/hyperlink" Id="rId55" Target="https://doi.org/10.1371/journal.pgen.1006301" TargetMode="External" /><Relationship Type="http://schemas.openxmlformats.org/officeDocument/2006/relationships/hyperlink" Id="rId45" Target="https://doi.org/10.1371/journal.pone.0043414" TargetMode="External" /><Relationship Type="http://schemas.openxmlformats.org/officeDocument/2006/relationships/hyperlink" Id="rId86" Target="https://doi.org/10.1534/g3.115.025585" TargetMode="External" /><Relationship Type="http://schemas.openxmlformats.org/officeDocument/2006/relationships/hyperlink" Id="rId82" Target="https://doi.org/10.1534/genetics.116.199190" TargetMode="External" /><Relationship Type="http://schemas.openxmlformats.org/officeDocument/2006/relationships/hyperlink" Id="rId101" Target="https://doi.org/10.1534/genetics.117.300092" TargetMode="External" /><Relationship Type="http://schemas.openxmlformats.org/officeDocument/2006/relationships/hyperlink" Id="rId34" Target="https://www.arabidopsis.org/servlets/TairObject?type=notepad&amp;id=11247"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7/s12374-016-0453-1" TargetMode="External" /><Relationship Type="http://schemas.openxmlformats.org/officeDocument/2006/relationships/hyperlink" Id="rId91" Target="https://doi.org/10.1016/j.ajhg.2017.07.014" TargetMode="External" /><Relationship Type="http://schemas.openxmlformats.org/officeDocument/2006/relationships/hyperlink" Id="rId43" Target="https://doi.org/10.1016/j.cell.2005.04.004" TargetMode="External" /><Relationship Type="http://schemas.openxmlformats.org/officeDocument/2006/relationships/hyperlink" Id="rId57" Target="https://doi.org/10.1016/j.devcel.2005.05.014" TargetMode="External" /><Relationship Type="http://schemas.openxmlformats.org/officeDocument/2006/relationships/hyperlink" Id="rId47" Target="https://doi.org/10.1016/j.pbi.2004.07.016" TargetMode="External" /><Relationship Type="http://schemas.openxmlformats.org/officeDocument/2006/relationships/hyperlink" Id="rId51" Target="https://doi.org/10.1038/cdd.2011.37" TargetMode="External" /><Relationship Type="http://schemas.openxmlformats.org/officeDocument/2006/relationships/hyperlink" Id="rId95" Target="https://doi.org/10.1038/nature05731" TargetMode="External" /><Relationship Type="http://schemas.openxmlformats.org/officeDocument/2006/relationships/hyperlink" Id="rId49" Target="https://doi.org/10.1038/nchembio.926" TargetMode="External" /><Relationship Type="http://schemas.openxmlformats.org/officeDocument/2006/relationships/hyperlink" Id="rId99" Target="https://doi.org/10.1038/ncomms15706" TargetMode="External" /><Relationship Type="http://schemas.openxmlformats.org/officeDocument/2006/relationships/hyperlink" Id="rId78" Target="https://doi.org/10.1038/ncomms4617" TargetMode="External" /><Relationship Type="http://schemas.openxmlformats.org/officeDocument/2006/relationships/hyperlink" Id="rId64" Target="https://doi.org/10.1046/j.1365-313X.1996.09040441.x" TargetMode="External" /><Relationship Type="http://schemas.openxmlformats.org/officeDocument/2006/relationships/hyperlink" Id="rId84" Target="https://doi.org/10.1073/pnas.0911967106" TargetMode="External" /><Relationship Type="http://schemas.openxmlformats.org/officeDocument/2006/relationships/hyperlink" Id="rId72" Target="https://doi.org/10.1073/pnas.1703054114" TargetMode="External" /><Relationship Type="http://schemas.openxmlformats.org/officeDocument/2006/relationships/hyperlink" Id="rId88" Target="https://doi.org/10.1104/pp.104.039669" TargetMode="External" /><Relationship Type="http://schemas.openxmlformats.org/officeDocument/2006/relationships/hyperlink" Id="rId61" Target="https://doi.org/10.1104/pp.112.202184" TargetMode="External" /><Relationship Type="http://schemas.openxmlformats.org/officeDocument/2006/relationships/hyperlink" Id="rId76" Target="https://doi.org/10.1104/pp.15.00587" TargetMode="External" /><Relationship Type="http://schemas.openxmlformats.org/officeDocument/2006/relationships/hyperlink" Id="rId70" Target="https://doi.org/10.1105/tpc.105.031716" TargetMode="External" /><Relationship Type="http://schemas.openxmlformats.org/officeDocument/2006/relationships/hyperlink" Id="rId97" Target="https://doi.org/10.1105/tpc.105.033076" TargetMode="External" /><Relationship Type="http://schemas.openxmlformats.org/officeDocument/2006/relationships/hyperlink" Id="rId80" Target="https://doi.org/10.1105/tpc.105.036723" TargetMode="External" /><Relationship Type="http://schemas.openxmlformats.org/officeDocument/2006/relationships/hyperlink" Id="rId59" Target="https://doi.org/10.1105/tpc.105.039172" TargetMode="External" /><Relationship Type="http://schemas.openxmlformats.org/officeDocument/2006/relationships/hyperlink" Id="rId53" Target="https://doi.org/10.1105/tpc.110.073957" TargetMode="External" /><Relationship Type="http://schemas.openxmlformats.org/officeDocument/2006/relationships/hyperlink" Id="rId103" Target="https://doi.org/10.1111/j.1365-313X.2004.02254.x" TargetMode="External" /><Relationship Type="http://schemas.openxmlformats.org/officeDocument/2006/relationships/hyperlink" Id="rId93" Target="https://doi.org/10.1126/science.1151461" TargetMode="External" /><Relationship Type="http://schemas.openxmlformats.org/officeDocument/2006/relationships/hyperlink" Id="rId66" Target="https://doi.org/10.1242/dev.033811" TargetMode="External" /><Relationship Type="http://schemas.openxmlformats.org/officeDocument/2006/relationships/hyperlink" Id="rId74" Target="https://doi.org/10.1371/journal.pgen.1004918" TargetMode="External" /><Relationship Type="http://schemas.openxmlformats.org/officeDocument/2006/relationships/hyperlink" Id="rId55" Target="https://doi.org/10.1371/journal.pgen.1006301" TargetMode="External" /><Relationship Type="http://schemas.openxmlformats.org/officeDocument/2006/relationships/hyperlink" Id="rId45" Target="https://doi.org/10.1371/journal.pone.0043414" TargetMode="External" /><Relationship Type="http://schemas.openxmlformats.org/officeDocument/2006/relationships/hyperlink" Id="rId86" Target="https://doi.org/10.1534/g3.115.025585" TargetMode="External" /><Relationship Type="http://schemas.openxmlformats.org/officeDocument/2006/relationships/hyperlink" Id="rId82" Target="https://doi.org/10.1534/genetics.116.199190" TargetMode="External" /><Relationship Type="http://schemas.openxmlformats.org/officeDocument/2006/relationships/hyperlink" Id="rId101" Target="https://doi.org/10.1534/genetics.117.300092" TargetMode="External" /><Relationship Type="http://schemas.openxmlformats.org/officeDocument/2006/relationships/hyperlink" Id="rId34" Target="https://www.arabidopsis.org/servlets/TairObject?type=notepad&amp;id=11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analysis of natural sequence variation within the Arabidopsis thaliana nuclear auxin signaling pathway using an accessible web application</dc:title>
  <dc:creator/>
  <cp:keywords/>
  <dcterms:created xsi:type="dcterms:W3CDTF">2018-07-03T07:02:06Z</dcterms:created>
  <dcterms:modified xsi:type="dcterms:W3CDTF">2018-07-03T07:02:06Z</dcterms:modified>
</cp:coreProperties>
</file>