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Concept Note: SME Validation for the Control-Linkage Model</w:t>
      </w:r>
    </w:p>
    <w:p>
      <w:pPr>
        <w:spacing w:after="40"/>
      </w:pPr>
      <w:r>
        <w:rPr>
          <w:i/>
          <w:iCs/>
          <w:color w:val="595959"/>
          <w:sz w:val="22"/>
          <w:szCs w:val="22"/>
        </w:rPr>
        <w:t xml:space="preserve">Establishing a control-level ground truth to measure and assure the Impact Assessment tool</w:t>
      </w:r>
    </w:p>
    <w:p>
      <w:pPr>
        <w:pBdr>
          <w:bottom w:val="single" w:color="C00000" w:sz="6"/>
        </w:pBdr>
        <w:spacing w:after="160"/>
      </w:pPr>
      <w:r>
        <w:rPr>
          <w:color w:val="595959"/>
          <w:sz w:val="18"/>
          <w:szCs w:val="18"/>
        </w:rPr>
        <w:t xml:space="preserve">Audience: Product Owner · Scrum Master · Analytics Leadership     |     Status: For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In one paragraph</w:t>
            </w:r>
          </w:p>
          <w:p>
            <w:pPr>
              <w:spacing w:line="272"/>
              <w:jc w:val="both"/>
            </w:pPr>
            <w:r>
              <w:rPr>
                <w:sz w:val="21"/>
                <w:szCs w:val="21"/>
              </w:rPr>
              <w:t xml:space="preserve">Our AI control-linkage model performs well, but we cannot yet </w:t>
            </w:r>
            <w:r>
              <w:rPr>
                <w:i/>
                <w:iCs/>
                <w:sz w:val="21"/>
                <w:szCs w:val="21"/>
              </w:rPr>
              <w:t xml:space="preserve">measure</w:t>
            </w:r>
            <w:r>
              <w:rPr>
                <w:sz w:val="21"/>
                <w:szCs w:val="21"/>
              </w:rPr>
              <w:t xml:space="preserve"> its true accuracy — because the reference (“golden”) dataset we grade it against maps alerts to </w:t>
            </w:r>
            <w:r>
              <w:rPr>
                <w:b/>
                <w:bCs/>
                <w:sz w:val="21"/>
                <w:szCs w:val="21"/>
              </w:rPr>
              <w:t xml:space="preserve">whole regulations</w:t>
            </w:r>
            <w:r>
              <w:rPr>
                <w:sz w:val="21"/>
                <w:szCs w:val="21"/>
              </w:rPr>
              <w:t xml:space="preserve">, not to the specific controls that matter. This inflates the apparent link count roughly 30× and makes recall read far lower than reality (an independent audit shows ~98% of apparent “misses” are the model correctly rejecting over-mapped controls). To measure true performance, satisfy Model Risk Management, and safely deploy, we need a small, </w:t>
            </w:r>
            <w:r>
              <w:rPr>
                <w:b/>
                <w:bCs/>
                <w:sz w:val="21"/>
                <w:szCs w:val="21"/>
              </w:rPr>
              <w:t xml:space="preserve">control-level ground truth validated by Subject-Matter Experts (SMEs)</w:t>
            </w:r>
            <w:r>
              <w:rPr>
                <w:sz w:val="21"/>
                <w:szCs w:val="21"/>
              </w:rPr>
              <w:t xml:space="preserve">. This note sets out why, how, and the sample-size technicalities.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rPr>
          <w:b/>
          <w:bCs/>
          <w:color w:val="1F3864"/>
          <w:sz w:val="28"/>
          <w:szCs w:val="28"/>
        </w:rPr>
        <w:t xml:space="preserve">A.  Why we need SME validation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model links incoming regulatory alerts to internal controls. To trust and deploy it, we must answer a simple question: </w:t>
      </w:r>
      <w:r>
        <w:rPr>
          <w:i/>
          <w:iCs/>
          <w:sz w:val="21"/>
          <w:szCs w:val="21"/>
        </w:rPr>
        <w:t xml:space="preserve">“how accurate is it?”</w:t>
      </w:r>
      <w:r>
        <w:rPr>
          <w:sz w:val="21"/>
          <w:szCs w:val="21"/>
        </w:rPr>
        <w:t xml:space="preserve"> Today we cannot answer that reliably, for three reasons: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1.  The current reference data over-maps by ~30×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golden dataset records links at the </w:t>
      </w:r>
      <w:r>
        <w:rPr>
          <w:b/>
          <w:bCs/>
          <w:sz w:val="21"/>
          <w:szCs w:val="21"/>
        </w:rPr>
        <w:t xml:space="preserve">regulation level</w:t>
      </w:r>
      <w:r>
        <w:rPr>
          <w:sz w:val="21"/>
          <w:szCs w:val="21"/>
        </w:rPr>
        <w:t xml:space="preserve">, not the control level (its summary-level field is effectively blank — 3 real values across 2,185 controls). It therefore marks an alert as linked to </w:t>
      </w:r>
      <w:r>
        <w:rPr>
          <w:i/>
          <w:iCs/>
          <w:sz w:val="21"/>
          <w:szCs w:val="21"/>
        </w:rPr>
        <w:t xml:space="preserve">every</w:t>
      </w:r>
      <w:r>
        <w:rPr>
          <w:sz w:val="21"/>
          <w:szCs w:val="21"/>
        </w:rPr>
        <w:t xml:space="preserve"> control beneath a regulation it touches, including controls the alert does not affect. As a result, 2,185 genuine controls balloon into 64,303 claimed links. Recall measured against this reads ~9% — not because the model fails, but because the denominator is ~30× too large.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2.  We can measure recall, but not true accuracy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An independent LLM audit indicates the model’s genuine error rate is ~2%; ~98% of apparent “misses” are the model </w:t>
      </w:r>
      <w:r>
        <w:rPr>
          <w:i/>
          <w:iCs/>
          <w:sz w:val="21"/>
          <w:szCs w:val="21"/>
        </w:rPr>
        <w:t xml:space="preserve">correctly</w:t>
      </w:r>
      <w:r>
        <w:rPr>
          <w:sz w:val="21"/>
          <w:szCs w:val="21"/>
        </w:rPr>
        <w:t xml:space="preserve"> rejecting over-mapped controls. This is strong evidence, but it is an </w:t>
      </w:r>
      <w:r>
        <w:rPr>
          <w:b/>
          <w:bCs/>
          <w:sz w:val="21"/>
          <w:szCs w:val="21"/>
        </w:rPr>
        <w:t xml:space="preserve">estimate</w:t>
      </w:r>
      <w:r>
        <w:rPr>
          <w:sz w:val="21"/>
          <w:szCs w:val="21"/>
        </w:rPr>
        <w:t xml:space="preserve"> (an AI auditing an AI). Leadership and Model Risk Management (MRM) need a </w:t>
      </w:r>
      <w:r>
        <w:rPr>
          <w:b/>
          <w:bCs/>
          <w:sz w:val="21"/>
          <w:szCs w:val="21"/>
        </w:rPr>
        <w:t xml:space="preserve">human-verified</w:t>
      </w:r>
      <w:r>
        <w:rPr>
          <w:sz w:val="21"/>
          <w:szCs w:val="21"/>
        </w:rPr>
        <w:t xml:space="preserve"> measure of accuracy before the tool can be relied upon.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3.  The golden is non-exhaustive — the model finds links humans missed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business has confirmed the golden is not exhaustive: a recorded A→B link does not imply A does not also link to C. The model surfaces </w:t>
      </w:r>
      <w:r>
        <w:rPr>
          <w:b/>
          <w:bCs/>
          <w:sz w:val="21"/>
          <w:szCs w:val="21"/>
        </w:rPr>
        <w:t xml:space="preserve">candidate new links</w:t>
      </w:r>
      <w:r>
        <w:rPr>
          <w:sz w:val="21"/>
          <w:szCs w:val="21"/>
        </w:rPr>
        <w:t xml:space="preserve"> the manual process never recorded (early audit suggests ~40% are genuine). Without SME confirmation, we cannot claim this value or grow the reference set. SME validation converts these “discoveries” into confirmed knowledge.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Bottom line: </w:t>
            </w:r>
            <w:r>
              <w:rPr>
                <w:sz w:val="21"/>
                <w:szCs w:val="21"/>
              </w:rPr>
              <w:t xml:space="preserve">This is a data-quality limitation, not a model limitation. No amount of further model tuning can produce a trustworthy accuracy figure while the ground truth over-claims by ~30×. A small SME-validated, control-level dataset is the missing piece.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rPr>
          <w:b/>
          <w:bCs/>
          <w:color w:val="1F3864"/>
          <w:sz w:val="28"/>
          <w:szCs w:val="28"/>
        </w:rPr>
        <w:t xml:space="preserve">B.  How we will run the validation (minimum viable approach)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The objective is a </w:t>
      </w:r>
      <w:r>
        <w:rPr>
          <w:b/>
          <w:bCs/>
          <w:sz w:val="21"/>
          <w:szCs w:val="21"/>
        </w:rPr>
        <w:t xml:space="preserve">control-level, SME-confirmed dataset</w:t>
      </w:r>
      <w:r>
        <w:rPr>
          <w:sz w:val="21"/>
          <w:szCs w:val="21"/>
        </w:rPr>
        <w:t xml:space="preserve"> of alert→control links, produced with the least SME time necessary to yield a defensible accuracy measure. The workflow: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Step 1 — Assemble a review pack. </w:t>
      </w:r>
      <w:r>
        <w:rPr>
          <w:sz w:val="21"/>
          <w:szCs w:val="21"/>
        </w:rPr>
        <w:t xml:space="preserve">For a sampled set of alerts, the tool presents each candidate alert→control pair with the alert text, the control text, the model’s decision, its confidence score, and a one-line rationale. SMEs are not asked to search from scratch — they judge pre-assembled pairs.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Step 2 — SME adjudication. </w:t>
      </w:r>
      <w:r>
        <w:rPr>
          <w:sz w:val="21"/>
          <w:szCs w:val="21"/>
        </w:rPr>
        <w:t xml:space="preserve">For each pair the SME records a simple verdict: </w:t>
      </w:r>
      <w:r>
        <w:rPr>
          <w:i/>
          <w:iCs/>
          <w:sz w:val="21"/>
          <w:szCs w:val="21"/>
        </w:rPr>
        <w:t xml:space="preserve">Linked / Not Linked / Unsure</w:t>
      </w:r>
      <w:r>
        <w:rPr>
          <w:sz w:val="21"/>
          <w:szCs w:val="21"/>
        </w:rPr>
        <w:t xml:space="preserve">, with an optional note. “Unsure” is captured deliberately — it flags genuinely ambiguous cases needing policy interpretation.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Step 3 — Capture discoveries. </w:t>
      </w:r>
      <w:r>
        <w:rPr>
          <w:sz w:val="21"/>
          <w:szCs w:val="21"/>
        </w:rPr>
        <w:t xml:space="preserve">Model-proposed links absent from the current golden are included so SMEs can confirm or reject them — this both measures precision and grows the reference set.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Step 4 — Consolidate. </w:t>
      </w:r>
      <w:r>
        <w:rPr>
          <w:sz w:val="21"/>
          <w:szCs w:val="21"/>
        </w:rPr>
        <w:t xml:space="preserve">Confirmed pairs form the new control-level ground truth. The model is then scored against it to produce a human-verified recall and precision figure for MRM.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Minimum requirements to start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SME availability: </w:t>
      </w:r>
      <w:r>
        <w:rPr>
          <w:sz w:val="21"/>
          <w:szCs w:val="21"/>
        </w:rPr>
        <w:t xml:space="preserve">2–3 SMEs with control-domain knowledge, for a bounded, time-boxed exercise.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simple review interface: </w:t>
      </w:r>
      <w:r>
        <w:rPr>
          <w:sz w:val="21"/>
          <w:szCs w:val="21"/>
        </w:rPr>
        <w:t xml:space="preserve">a structured spreadsheet or lightweight review sheet is sufficient for v1 — no new system required.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clear adjudication guideline: </w:t>
      </w:r>
      <w:r>
        <w:rPr>
          <w:sz w:val="21"/>
          <w:szCs w:val="21"/>
        </w:rPr>
        <w:t xml:space="preserve">a one-page definition of what “linked” means (does the alert change what this control must do?), so verdicts are consistent across SMEs.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double-review slice: </w:t>
      </w:r>
      <w:r>
        <w:rPr>
          <w:sz w:val="21"/>
          <w:szCs w:val="21"/>
        </w:rPr>
        <w:t xml:space="preserve">a subset reviewed by two SMEs independently, to measure agreement (inter-rater reliability) and confirm the guideline is being applied consistently.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8"/>
          <w:szCs w:val="28"/>
        </w:rPr>
        <w:t xml:space="preserve">C.  Technicalities — sampling and sizing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We do not need SMEs to label all 64,303 pairs — that would be prohibitive and unnecessary. A </w:t>
      </w:r>
      <w:r>
        <w:rPr>
          <w:b/>
          <w:bCs/>
          <w:sz w:val="21"/>
          <w:szCs w:val="21"/>
        </w:rPr>
        <w:t xml:space="preserve">statistically sound sample</w:t>
      </w:r>
      <w:r>
        <w:rPr>
          <w:sz w:val="21"/>
          <w:szCs w:val="21"/>
        </w:rPr>
        <w:t xml:space="preserve"> gives a defensible accuracy estimate at a fraction of the effort. Two complementary samples are proposed: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Sample sizing (statistical basis)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For a proportion (e.g. “what % of model links are correct?”) at 95% confidence, the </w:t>
      </w:r>
      <w:r>
        <w:rPr>
          <w:b/>
          <w:bCs/>
          <w:sz w:val="21"/>
          <w:szCs w:val="21"/>
        </w:rPr>
        <w:t xml:space="preserve">required sample grows sharply as the margin of error tightens</w:t>
      </w:r>
      <w:r>
        <w:rPr>
          <w:sz w:val="21"/>
          <w:szCs w:val="21"/>
        </w:rPr>
        <w:t xml:space="preserve">. Concretely (worst-case p=0.5, 95% confidence):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60"/>
        <w:gridCol w:w="3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 of error</w:t>
            </w:r>
          </w:p>
        </w:tc>
        <w:tc>
          <w:tcPr>
            <w:tcW w:type="dxa" w:w="286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Approx. pairs to review</w:t>
            </w:r>
          </w:p>
        </w:tc>
        <w:tc>
          <w:tcPr>
            <w:tcW w:type="dxa" w:w="3900"/>
            <w:shd w:fill="1F3864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Assurance level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±10%</w:t>
            </w:r>
          </w:p>
        </w:tc>
        <w:tc>
          <w:tcPr>
            <w:tcW w:type="dxa" w:w="2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~100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Directional read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±7%</w:t>
            </w:r>
          </w:p>
        </w:tc>
        <w:tc>
          <w:tcPr>
            <w:tcW w:type="dxa" w:w="28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Balanced</w:t>
            </w:r>
          </w:p>
        </w:tc>
      </w:tr>
      <w:tr>
        <w:tc>
          <w:tcPr>
            <w:tcW w:type="dxa" w:w="2600"/>
            <w:shd w:fill="E2EFD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±5%</w:t>
            </w:r>
          </w:p>
        </w:tc>
        <w:tc>
          <w:tcPr>
            <w:tcW w:type="dxa" w:w="2860"/>
            <w:shd w:fill="E2EFD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~380</w:t>
            </w:r>
          </w:p>
        </w:tc>
        <w:tc>
          <w:tcPr>
            <w:tcW w:type="dxa" w:w="3900"/>
            <w:shd w:fill="E2EFD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Recommended (MRM-grade)</w:t>
            </w:r>
          </w:p>
        </w:tc>
      </w:tr>
      <w:tr>
        <w:tc>
          <w:tcPr>
            <w:tcW w:type="dxa" w:w="260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±1%</w:t>
            </w:r>
          </w:p>
        </w:tc>
        <w:tc>
          <w:tcPr>
            <w:tcW w:type="dxa" w:w="286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~9,600</w:t>
            </w:r>
          </w:p>
        </w:tc>
        <w:tc>
          <w:tcPr>
            <w:tcW w:type="dxa" w:w="390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Ideal (near six-sigma)</w:t>
            </w:r>
          </w:p>
        </w:tc>
      </w:tr>
      <w:tr>
        <w:tc>
          <w:tcPr>
            <w:tcW w:type="dxa" w:w="260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±0.5%</w:t>
            </w:r>
          </w:p>
        </w:tc>
        <w:tc>
          <w:tcPr>
            <w:tcW w:type="dxa" w:w="286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~38,400</w:t>
            </w:r>
          </w:p>
        </w:tc>
        <w:tc>
          <w:tcPr>
            <w:tcW w:type="dxa" w:w="3900"/>
            <w:shd w:fill="DEEAF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Ideal (six-sigma) — typically impractical</w:t>
            </w:r>
          </w:p>
        </w:tc>
      </w:tr>
    </w:tbl>
    <w:p>
      <w:pPr>
        <w:spacing w:after="100"/>
      </w:pP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What to sample (stratified, not random-only)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Validated links (model agrees with golden): </w:t>
      </w:r>
      <w:r>
        <w:rPr>
          <w:sz w:val="21"/>
          <w:szCs w:val="21"/>
        </w:rPr>
        <w:t xml:space="preserve">confirm they are genuinely correct — checks the golden itself.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Rejected links (model said not-linked, golden said linked): </w:t>
      </w:r>
      <w:r>
        <w:rPr>
          <w:sz w:val="21"/>
          <w:szCs w:val="21"/>
        </w:rPr>
        <w:t xml:space="preserve">the key test — confirm these are correct rejections (over-mapping) vs. true misses.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Discoveries (model linked, not in golden): </w:t>
      </w:r>
      <w:r>
        <w:rPr>
          <w:sz w:val="21"/>
          <w:szCs w:val="21"/>
        </w:rPr>
        <w:t xml:space="preserve">measure how many are genuine new links (precision + reference-set growth).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A practical first tranche: </w:t>
      </w:r>
      <w:r>
        <w:rPr>
          <w:sz w:val="21"/>
          <w:szCs w:val="21"/>
        </w:rPr>
        <w:t xml:space="preserve">~200 pairs stratified across the three buckets above (e.g. ~70 validated, ~70 rejected, ~60 discoveries), of which a subset is double-reviewed for agreement. This yields a defensible first accuracy estimate and a seed control-level golden.</w:t>
      </w:r>
    </w:p>
    <w:p>
      <w:pPr>
        <w:pStyle w:val="Heading2"/>
        <w:spacing w:after="90" w:before="180"/>
      </w:pPr>
      <w:r>
        <w:rPr>
          <w:b/>
          <w:bCs/>
          <w:color w:val="1F3864"/>
          <w:sz w:val="24"/>
          <w:szCs w:val="24"/>
        </w:rPr>
        <w:t xml:space="preserve">Outputs and success criteria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human-verified recall &amp; precision figure </w:t>
      </w:r>
      <w:r>
        <w:rPr>
          <w:sz w:val="21"/>
          <w:szCs w:val="21"/>
        </w:rPr>
        <w:t xml:space="preserve">for the model, suitable for MRM and leadership reporting.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Inter-rater agreement </w:t>
      </w:r>
      <w:r>
        <w:rPr>
          <w:sz w:val="21"/>
          <w:szCs w:val="21"/>
        </w:rPr>
        <w:t xml:space="preserve">(e.g. Cohen’s kappa) confirming the adjudication guideline is applied consistently.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A seed control-level golden </w:t>
      </w:r>
      <w:r>
        <w:rPr>
          <w:sz w:val="21"/>
          <w:szCs w:val="21"/>
        </w:rPr>
        <w:t xml:space="preserve">that can be expanded in later tranches, replacing the over-mapped regulation-level reference over time.</w:t>
      </w:r>
    </w:p>
    <w:p>
      <w:pPr>
        <w:pBdr>
          <w:top w:val="single" w:color="1F3864" w:sz="6"/>
        </w:pBdr>
        <w:spacing w:before="160"/>
      </w:pPr>
    </w:p>
    <w:p>
      <w:pPr>
        <w:spacing w:before="80"/>
        <w:jc w:val="both"/>
      </w:pPr>
      <w:r>
        <w:rPr>
          <w:b/>
          <w:bCs/>
          <w:color w:val="2E7D32"/>
          <w:sz w:val="21"/>
          <w:szCs w:val="21"/>
        </w:rPr>
        <w:t xml:space="preserve">Recommendation: </w:t>
      </w:r>
      <w:r>
        <w:rPr>
          <w:sz w:val="21"/>
          <w:szCs w:val="21"/>
        </w:rPr>
        <w:t xml:space="preserve">approve a single, time-boxed SME validation tranche of ~200 stratified pairs. It is low-cost, unlocks a defensible accuracy measure, satisfies MRM’s need for human-verified ground truth, and begins replacing a reference dataset that structurally over-claims by ~30×. This is the fastest route from “the model looks like 9%” to “the model is verified at X% on control-level truth.”</w:t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595959"/>
        <w:sz w:val="16"/>
        <w:szCs w:val="16"/>
      </w:rPr>
      <w:t xml:space="preserve">HSBC  |  Impact Assessment — Concept Note (Confidential, Internal)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2026-09-16T09:49:47.512Z</dcterms:created>
  <dcterms:modified xsi:type="dcterms:W3CDTF">2026-09-16T09:49:47.512Z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