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RCM – Impact Assessment (Risk and Controls)</w:t>
      </w:r>
    </w:p>
    <w:tbl>
      <w:tblPr>
        <w:tblStyle w:val="TableGrid"/>
        <w:tblW w:type="auto" w:w="0"/>
        <w:jc w:val="center"/>
        <w:tblLayout w:type="fixed"/>
        <w:tblLook w:firstColumn="1" w:firstRow="1" w:lastColumn="0" w:lastRow="0" w:noHBand="0" w:noVBand="1" w:val="04A0"/>
      </w:tblPr>
      <w:tblGrid>
        <w:gridCol w:w="5184"/>
        <w:gridCol w:w="5184"/>
      </w:tblGrid>
      <w:tr>
        <w:tc>
          <w:tcPr>
            <w:tcW w:type="dxa" w:w="2376"/>
            <w:vAlign w:val="center"/>
            <w:shd w:fill="E7E6E6"/>
          </w:tcPr>
          <w:p>
            <w:pPr>
              <w:spacing w:after="0"/>
            </w:pPr>
            <w:r>
              <w:rPr>
                <w:rFonts w:ascii="Arial" w:hAnsi="Arial"/>
                <w:b/>
                <w:sz w:val="19"/>
              </w:rPr>
              <w:t>Name</w:t>
            </w:r>
          </w:p>
        </w:tc>
        <w:tc>
          <w:tcPr>
            <w:tcW w:type="dxa" w:w="8280"/>
            <w:vAlign w:val="top"/>
            <w:shd w:fill="E7E6E6"/>
          </w:tcPr>
          <w:p>
            <w:pPr>
              <w:spacing w:after="60" w:line="240" w:lineRule="auto"/>
            </w:pPr>
            <w:r/>
            <w:r>
              <w:rPr>
                <w:rFonts w:ascii="Arial" w:hAnsi="Arial"/>
                <w:sz w:val="18"/>
              </w:rPr>
              <w:t>RCM – Impact Assessment (Risk and Controls)</w:t>
            </w:r>
          </w:p>
        </w:tc>
      </w:tr>
      <w:tr>
        <w:tc>
          <w:tcPr>
            <w:tcW w:type="dxa" w:w="2376"/>
            <w:vAlign w:val="center"/>
          </w:tcPr>
          <w:p>
            <w:pPr>
              <w:spacing w:after="0"/>
            </w:pPr>
            <w:r>
              <w:rPr>
                <w:rFonts w:ascii="Arial" w:hAnsi="Arial"/>
                <w:b/>
                <w:sz w:val="19"/>
              </w:rPr>
              <w:t>Description</w:t>
            </w:r>
          </w:p>
        </w:tc>
        <w:tc>
          <w:tcPr>
            <w:tcW w:type="dxa" w:w="8280"/>
            <w:vAlign w:val="top"/>
          </w:tcPr>
          <w:p>
            <w:pPr>
              <w:spacing w:after="60" w:line="240" w:lineRule="auto"/>
            </w:pPr>
            <w:r/>
            <w:r>
              <w:rPr>
                <w:rFonts w:ascii="Arial" w:hAnsi="Arial"/>
                <w:sz w:val="18"/>
              </w:rPr>
              <w:t>The solution aims to build a Phase 1 capability to support the manual linkage of regulatory development alerts (REGDEVs) in RAPID2 (currently sourced from RegRoom and transitioning to CUBE) to the most relevant Risk, L1 Library Controls and L1 Control Instances available in the Helios system.</w:t>
            </w:r>
          </w:p>
          <w:p>
            <w:pPr>
              <w:spacing w:after="60" w:line="240" w:lineRule="auto"/>
            </w:pPr>
            <w:r>
              <w:rPr>
                <w:rFonts w:ascii="Arial" w:hAnsi="Arial"/>
                <w:sz w:val="18"/>
              </w:rPr>
            </w:r>
          </w:p>
          <w:p>
            <w:pPr>
              <w:spacing w:after="60" w:line="240" w:lineRule="auto"/>
            </w:pPr>
            <w:r>
              <w:rPr>
                <w:rFonts w:ascii="Arial" w:hAnsi="Arial"/>
                <w:sz w:val="18"/>
              </w:rPr>
              <w:t>The solution will provide linkage recommendations as decision support. End users will retain ownership of the final linkage and will be able to accept, amend or override the recommendations based on their domain expertise.</w:t>
            </w:r>
          </w:p>
          <w:p>
            <w:pPr>
              <w:spacing w:after="60" w:line="240" w:lineRule="auto"/>
            </w:pPr>
            <w:r>
              <w:rPr>
                <w:rFonts w:ascii="Arial" w:hAnsi="Arial"/>
                <w:sz w:val="18"/>
              </w:rPr>
            </w:r>
          </w:p>
          <w:p>
            <w:pPr>
              <w:spacing w:after="60" w:line="240" w:lineRule="auto"/>
            </w:pPr>
            <w:r>
              <w:rPr>
                <w:rFonts w:ascii="Arial" w:hAnsi="Arial"/>
                <w:sz w:val="18"/>
              </w:rPr>
              <w:t>The Phase 1 capability is intended to standardise and streamline the current linkage process, improve consistency of mapping, and provide a scalable foundation for future enhancements.</w:t>
            </w:r>
          </w:p>
        </w:tc>
      </w:tr>
      <w:tr>
        <w:tc>
          <w:tcPr>
            <w:tcW w:type="dxa" w:w="2376"/>
            <w:vAlign w:val="center"/>
          </w:tcPr>
          <w:p>
            <w:pPr>
              <w:spacing w:after="0"/>
            </w:pPr>
            <w:r>
              <w:rPr>
                <w:rFonts w:ascii="Arial" w:hAnsi="Arial"/>
                <w:b/>
                <w:sz w:val="19"/>
              </w:rPr>
              <w:t>Business Outcome</w:t>
            </w:r>
          </w:p>
        </w:tc>
        <w:tc>
          <w:tcPr>
            <w:tcW w:type="dxa" w:w="8280"/>
            <w:vAlign w:val="top"/>
          </w:tcPr>
          <w:p>
            <w:pPr>
              <w:spacing w:after="60" w:line="240" w:lineRule="auto"/>
            </w:pPr>
            <w:r/>
            <w:r>
              <w:rPr>
                <w:rFonts w:ascii="Arial" w:hAnsi="Arial"/>
                <w:sz w:val="18"/>
              </w:rPr>
              <w:t>The business requirement is to develop a solution that enables a more robust and consistent process for linking regulatory development alerts to relevant Risk, L1 Library Controls and L1 Control Instances.</w:t>
            </w:r>
          </w:p>
          <w:p>
            <w:pPr>
              <w:spacing w:after="60" w:line="240" w:lineRule="auto"/>
            </w:pPr>
            <w:r>
              <w:rPr>
                <w:rFonts w:ascii="Arial" w:hAnsi="Arial"/>
                <w:sz w:val="18"/>
              </w:rPr>
            </w:r>
          </w:p>
          <w:p>
            <w:pPr>
              <w:spacing w:after="60" w:line="240" w:lineRule="auto"/>
            </w:pPr>
            <w:r>
              <w:rPr>
                <w:rFonts w:ascii="Arial" w:hAnsi="Arial"/>
                <w:sz w:val="18"/>
              </w:rPr>
              <w:t>The solution is intended to:</w:t>
            </w:r>
          </w:p>
          <w:p>
            <w:pPr>
              <w:spacing w:after="60" w:line="240" w:lineRule="auto"/>
            </w:pPr>
            <w:r>
              <w:rPr>
                <w:rFonts w:ascii="Arial" w:hAnsi="Arial"/>
                <w:sz w:val="18"/>
              </w:rPr>
              <w:t>• reduce manual effort associated with identifying relevant linkages;</w:t>
            </w:r>
          </w:p>
          <w:p>
            <w:pPr>
              <w:spacing w:after="60" w:line="240" w:lineRule="auto"/>
            </w:pPr>
            <w:r>
              <w:rPr>
                <w:rFonts w:ascii="Arial" w:hAnsi="Arial"/>
                <w:sz w:val="18"/>
              </w:rPr>
              <w:t>• improve consistency and standardisation of the linkage process;</w:t>
            </w:r>
          </w:p>
          <w:p>
            <w:pPr>
              <w:spacing w:after="60" w:line="240" w:lineRule="auto"/>
            </w:pPr>
            <w:r>
              <w:rPr>
                <w:rFonts w:ascii="Arial" w:hAnsi="Arial"/>
                <w:sz w:val="18"/>
              </w:rPr>
              <w:t>• support users in identifying and prioritising relevant Risk and Controls; and</w:t>
            </w:r>
          </w:p>
          <w:p>
            <w:pPr>
              <w:spacing w:after="60" w:line="240" w:lineRule="auto"/>
            </w:pPr>
            <w:r>
              <w:rPr>
                <w:rFonts w:ascii="Arial" w:hAnsi="Arial"/>
                <w:sz w:val="18"/>
              </w:rPr>
              <w:t>• provide a scalable foundation for future capabilities.</w:t>
            </w:r>
          </w:p>
          <w:p>
            <w:pPr>
              <w:spacing w:after="60" w:line="240" w:lineRule="auto"/>
            </w:pPr>
            <w:r>
              <w:rPr>
                <w:rFonts w:ascii="Arial" w:hAnsi="Arial"/>
                <w:sz w:val="18"/>
              </w:rPr>
            </w:r>
          </w:p>
          <w:p>
            <w:pPr>
              <w:spacing w:after="60" w:line="240" w:lineRule="auto"/>
            </w:pPr>
            <w:r>
              <w:rPr>
                <w:rFonts w:ascii="Arial" w:hAnsi="Arial"/>
                <w:sz w:val="18"/>
              </w:rPr>
              <w:t>Quantification of business benefits will be assessed once the Phase 1 baseline and solution performance have been established; no specific percentage reduction is assumed at this stage.</w:t>
            </w:r>
          </w:p>
        </w:tc>
      </w:tr>
      <w:tr>
        <w:tc>
          <w:tcPr>
            <w:tcW w:type="dxa" w:w="2376"/>
            <w:vAlign w:val="center"/>
          </w:tcPr>
          <w:p>
            <w:pPr>
              <w:spacing w:after="0"/>
            </w:pPr>
            <w:r>
              <w:rPr>
                <w:rFonts w:ascii="Arial" w:hAnsi="Arial"/>
                <w:b/>
                <w:sz w:val="19"/>
              </w:rPr>
              <w:t>Objectives</w:t>
            </w:r>
          </w:p>
        </w:tc>
        <w:tc>
          <w:tcPr>
            <w:tcW w:type="dxa" w:w="8280"/>
            <w:vAlign w:val="top"/>
          </w:tcPr>
          <w:p>
            <w:pPr>
              <w:spacing w:after="60" w:line="240" w:lineRule="auto"/>
            </w:pPr>
            <w:r/>
            <w:r>
              <w:rPr>
                <w:rFonts w:ascii="Arial" w:hAnsi="Arial"/>
                <w:b/>
                <w:sz w:val="18"/>
              </w:rPr>
              <w:t>In Scope – Phase 1</w:t>
            </w:r>
          </w:p>
          <w:p>
            <w:pPr>
              <w:spacing w:after="60" w:line="240" w:lineRule="auto"/>
            </w:pPr>
            <w:r>
              <w:rPr>
                <w:rFonts w:ascii="Arial" w:hAnsi="Arial"/>
                <w:sz w:val="18"/>
              </w:rPr>
            </w:r>
          </w:p>
          <w:p>
            <w:pPr>
              <w:spacing w:after="60" w:line="240" w:lineRule="auto"/>
            </w:pPr>
            <w:r>
              <w:rPr>
                <w:rFonts w:ascii="Arial" w:hAnsi="Arial"/>
                <w:sz w:val="18"/>
              </w:rPr>
              <w:t>• Historical RAPID2 records (RegRoom → CUBE transition) relevant to the agreed Phase 1 population.</w:t>
            </w:r>
          </w:p>
          <w:p>
            <w:pPr>
              <w:spacing w:after="60" w:line="240" w:lineRule="auto"/>
            </w:pPr>
            <w:r>
              <w:rPr>
                <w:rFonts w:ascii="Arial" w:hAnsi="Arial"/>
                <w:sz w:val="18"/>
              </w:rPr>
              <w:t>• Historical Helios records relating to Risk, L1 Library Controls and L1 Control Instances.</w:t>
            </w:r>
          </w:p>
          <w:p>
            <w:pPr>
              <w:spacing w:after="60" w:line="240" w:lineRule="auto"/>
            </w:pPr>
            <w:r>
              <w:rPr>
                <w:rFonts w:ascii="Arial" w:hAnsi="Arial"/>
                <w:sz w:val="18"/>
              </w:rPr>
              <w:t>• REGDEV (Regulatory Development) records only.</w:t>
            </w:r>
          </w:p>
          <w:p>
            <w:pPr>
              <w:spacing w:after="60" w:line="240" w:lineRule="auto"/>
            </w:pPr>
            <w:r>
              <w:rPr>
                <w:rFonts w:ascii="Arial" w:hAnsi="Arial"/>
                <w:sz w:val="18"/>
              </w:rPr>
              <w:t>• English-language REGDEVs only.</w:t>
            </w:r>
          </w:p>
          <w:p>
            <w:pPr>
              <w:spacing w:after="60" w:line="240" w:lineRule="auto"/>
            </w:pPr>
            <w:r>
              <w:rPr>
                <w:rFonts w:ascii="Arial" w:hAnsi="Arial"/>
                <w:sz w:val="18"/>
              </w:rPr>
              <w:t>• Generate linkage recommendations between each in-scope REGDEV and relevant Risk IDs, L1 Library Control IDs and L1 Control Instance IDs.</w:t>
            </w:r>
          </w:p>
          <w:p>
            <w:pPr>
              <w:spacing w:after="60" w:line="240" w:lineRule="auto"/>
            </w:pPr>
            <w:r>
              <w:rPr>
                <w:rFonts w:ascii="Arial" w:hAnsi="Arial"/>
                <w:sz w:val="18"/>
              </w:rPr>
              <w:t>• Support multiple relevant linkages for a REGDEV where applicable.</w:t>
            </w:r>
          </w:p>
          <w:p>
            <w:pPr>
              <w:spacing w:after="60" w:line="240" w:lineRule="auto"/>
            </w:pPr>
            <w:r>
              <w:rPr>
                <w:rFonts w:ascii="Arial" w:hAnsi="Arial"/>
                <w:sz w:val="18"/>
              </w:rPr>
              <w:t>• Provide a confidence/score associated with recommendations.</w:t>
            </w:r>
          </w:p>
          <w:p>
            <w:pPr>
              <w:spacing w:after="60" w:line="240" w:lineRule="auto"/>
            </w:pPr>
            <w:r>
              <w:rPr>
                <w:rFonts w:ascii="Arial" w:hAnsi="Arial"/>
                <w:sz w:val="18"/>
              </w:rPr>
              <w:t>• Recommendations will use a threshold-based approach; the numerical threshold will be determined during solution development and validated before UAT.</w:t>
            </w:r>
          </w:p>
          <w:p>
            <w:pPr>
              <w:spacing w:after="60" w:line="240" w:lineRule="auto"/>
            </w:pPr>
            <w:r>
              <w:rPr>
                <w:rFonts w:ascii="Arial" w:hAnsi="Arial"/>
                <w:sz w:val="18"/>
              </w:rPr>
              <w:t>• Where no recommendation meets the agreed confidence threshold, the record will remain subject to manual review rather than being assigned an unsupported linkage.</w:t>
            </w:r>
          </w:p>
          <w:p>
            <w:pPr>
              <w:spacing w:after="60" w:line="240" w:lineRule="auto"/>
            </w:pPr>
            <w:r>
              <w:rPr>
                <w:rFonts w:ascii="Arial" w:hAnsi="Arial"/>
                <w:sz w:val="18"/>
              </w:rPr>
              <w:t>• Recommendations will act as decision support; end users retain ownership of the final Risk, L1 Library Control and L1 Control Instance selection and may accept, amend or override recommendations.</w:t>
            </w:r>
          </w:p>
          <w:p>
            <w:pPr>
              <w:spacing w:after="60" w:line="240" w:lineRule="auto"/>
            </w:pPr>
            <w:r>
              <w:rPr>
                <w:rFonts w:ascii="Arial" w:hAnsi="Arial"/>
                <w:sz w:val="18"/>
              </w:rPr>
              <w:t>• Provide agreed logging of solution recommendations and user decisions to support auditability.</w:t>
            </w:r>
          </w:p>
          <w:p>
            <w:pPr>
              <w:spacing w:after="60" w:line="240" w:lineRule="auto"/>
            </w:pPr>
            <w:r>
              <w:rPr>
                <w:rFonts w:ascii="Arial" w:hAnsi="Arial"/>
                <w:sz w:val="18"/>
              </w:rPr>
              <w:t>• Establish a SME-validated golden dataset during Phase 1 for validation of linkage recommendations, given the absence of an existing validated historical linkage dataset.</w:t>
            </w:r>
          </w:p>
          <w:p>
            <w:pPr>
              <w:spacing w:after="60" w:line="240" w:lineRule="auto"/>
            </w:pPr>
            <w:r>
              <w:rPr>
                <w:rFonts w:ascii="Arial" w:hAnsi="Arial"/>
                <w:sz w:val="18"/>
              </w:rPr>
            </w:r>
          </w:p>
          <w:p>
            <w:pPr>
              <w:spacing w:after="60" w:line="240" w:lineRule="auto"/>
            </w:pPr>
            <w:r>
              <w:rPr>
                <w:rFonts w:ascii="Arial" w:hAnsi="Arial"/>
                <w:b/>
                <w:sz w:val="18"/>
              </w:rPr>
              <w:t>Out of Scope – Phase 1</w:t>
            </w:r>
          </w:p>
          <w:p>
            <w:pPr>
              <w:spacing w:after="60" w:line="240" w:lineRule="auto"/>
            </w:pPr>
            <w:r>
              <w:rPr>
                <w:rFonts w:ascii="Arial" w:hAnsi="Arial"/>
                <w:sz w:val="18"/>
              </w:rPr>
            </w:r>
          </w:p>
          <w:p>
            <w:pPr>
              <w:spacing w:after="60" w:line="240" w:lineRule="auto"/>
            </w:pPr>
            <w:r>
              <w:rPr>
                <w:rFonts w:ascii="Arial" w:hAnsi="Arial"/>
                <w:sz w:val="18"/>
              </w:rPr>
              <w:t>• All record category codes other than REGDEV.</w:t>
            </w:r>
          </w:p>
          <w:p>
            <w:pPr>
              <w:spacing w:after="60" w:line="240" w:lineRule="auto"/>
            </w:pPr>
            <w:r>
              <w:rPr>
                <w:rFonts w:ascii="Arial" w:hAnsi="Arial"/>
                <w:sz w:val="18"/>
              </w:rPr>
              <w:t>• Non-English REGDEVs.</w:t>
            </w:r>
          </w:p>
          <w:p>
            <w:pPr>
              <w:spacing w:after="60" w:line="240" w:lineRule="auto"/>
            </w:pPr>
            <w:r>
              <w:rPr>
                <w:rFonts w:ascii="Arial" w:hAnsi="Arial"/>
                <w:sz w:val="18"/>
              </w:rPr>
              <w:t>• Automated final approval or ownership of Risk, L1 Library Control or L1 Control Instance linkages.</w:t>
            </w:r>
          </w:p>
          <w:p>
            <w:pPr>
              <w:spacing w:after="60" w:line="240" w:lineRule="auto"/>
            </w:pPr>
            <w:r>
              <w:rPr>
                <w:rFonts w:ascii="Arial" w:hAnsi="Arial"/>
                <w:sz w:val="18"/>
              </w:rPr>
              <w:t>• Future-state capabilities such as advanced gap assessment, Graph RAG, agentic AI or other Phase 2/Phase 3 enhancements.</w:t>
            </w:r>
          </w:p>
          <w:p>
            <w:pPr>
              <w:spacing w:after="60" w:line="240" w:lineRule="auto"/>
            </w:pPr>
            <w:r>
              <w:rPr>
                <w:rFonts w:ascii="Arial" w:hAnsi="Arial"/>
                <w:sz w:val="18"/>
              </w:rPr>
              <w:t>• Detailed production monitoring, BAU operating model and ongoing model governance, which will be addressed through relevant downstream documentation.</w:t>
            </w:r>
          </w:p>
          <w:p>
            <w:pPr>
              <w:spacing w:after="60" w:line="240" w:lineRule="auto"/>
            </w:pPr>
            <w:r>
              <w:rPr>
                <w:rFonts w:ascii="Arial" w:hAnsi="Arial"/>
                <w:sz w:val="18"/>
              </w:rPr>
            </w:r>
          </w:p>
          <w:p>
            <w:pPr>
              <w:spacing w:after="60" w:line="240" w:lineRule="auto"/>
            </w:pPr>
            <w:r>
              <w:rPr>
                <w:rFonts w:ascii="Arial" w:hAnsi="Arial"/>
                <w:b/>
                <w:sz w:val="18"/>
              </w:rPr>
              <w:t>Phase 1 Output</w:t>
            </w:r>
          </w:p>
          <w:p>
            <w:pPr>
              <w:spacing w:after="60" w:line="240" w:lineRule="auto"/>
            </w:pPr>
            <w:r>
              <w:rPr>
                <w:rFonts w:ascii="Arial" w:hAnsi="Arial"/>
                <w:sz w:val="18"/>
              </w:rPr>
            </w:r>
          </w:p>
          <w:p>
            <w:pPr>
              <w:spacing w:after="60" w:line="240" w:lineRule="auto"/>
            </w:pPr>
            <w:r>
              <w:rPr>
                <w:rFonts w:ascii="Arial" w:hAnsi="Arial"/>
                <w:sz w:val="18"/>
              </w:rPr>
              <w:t>For each applicable REGDEV, the intended output is a set of recommended linkage IDs covering Risk, L1 Library Control and L1 Control Instance, together with the associated confidence/score. The final output definition will be confirmed as part of detailed solution design before development is frozen.</w:t>
            </w:r>
          </w:p>
        </w:tc>
      </w:tr>
      <w:tr>
        <w:tc>
          <w:tcPr>
            <w:tcW w:type="dxa" w:w="2376"/>
            <w:vAlign w:val="center"/>
          </w:tcPr>
          <w:p>
            <w:pPr>
              <w:spacing w:after="0"/>
            </w:pPr>
            <w:r>
              <w:rPr>
                <w:rFonts w:ascii="Arial" w:hAnsi="Arial"/>
                <w:b/>
                <w:sz w:val="19"/>
              </w:rPr>
              <w:t>Success / Acceptance Criteria</w:t>
            </w:r>
          </w:p>
        </w:tc>
        <w:tc>
          <w:tcPr>
            <w:tcW w:type="dxa" w:w="8280"/>
            <w:vAlign w:val="top"/>
          </w:tcPr>
          <w:p>
            <w:pPr>
              <w:spacing w:after="60" w:line="240" w:lineRule="auto"/>
            </w:pPr>
            <w:r/>
            <w:r>
              <w:rPr>
                <w:rFonts w:ascii="Arial" w:hAnsi="Arial"/>
                <w:sz w:val="18"/>
              </w:rPr>
              <w:t>Phase 1 will be considered successful when the solution:</w:t>
            </w:r>
          </w:p>
          <w:p>
            <w:pPr>
              <w:spacing w:after="60" w:line="240" w:lineRule="auto"/>
            </w:pPr>
            <w:r>
              <w:rPr>
                <w:rFonts w:ascii="Arial" w:hAnsi="Arial"/>
                <w:sz w:val="18"/>
              </w:rPr>
            </w:r>
          </w:p>
          <w:p>
            <w:pPr>
              <w:spacing w:after="60" w:line="240" w:lineRule="auto"/>
            </w:pPr>
            <w:r>
              <w:rPr>
                <w:rFonts w:ascii="Arial" w:hAnsi="Arial"/>
                <w:sz w:val="18"/>
              </w:rPr>
              <w:t>• Generates recommendations for the agreed in-scope REGDEV population against the relevant Risk, L1 Library Control and L1 Control Instance records.</w:t>
            </w:r>
          </w:p>
          <w:p>
            <w:pPr>
              <w:spacing w:after="60" w:line="240" w:lineRule="auto"/>
            </w:pPr>
            <w:r>
              <w:rPr>
                <w:rFonts w:ascii="Arial" w:hAnsi="Arial"/>
                <w:sz w:val="18"/>
              </w:rPr>
              <w:t>• Supports multiple relevant linkages where applicable.</w:t>
            </w:r>
          </w:p>
          <w:p>
            <w:pPr>
              <w:spacing w:after="60" w:line="240" w:lineRule="auto"/>
            </w:pPr>
            <w:r>
              <w:rPr>
                <w:rFonts w:ascii="Arial" w:hAnsi="Arial"/>
                <w:sz w:val="18"/>
              </w:rPr>
              <w:t>• Provides a confidence/score and applies the agreed threshold-based recommendation behaviour.</w:t>
            </w:r>
          </w:p>
          <w:p>
            <w:pPr>
              <w:spacing w:after="60" w:line="240" w:lineRule="auto"/>
            </w:pPr>
            <w:r>
              <w:rPr>
                <w:rFonts w:ascii="Arial" w:hAnsi="Arial"/>
                <w:sz w:val="18"/>
              </w:rPr>
              <w:t>• Allows designated users to review, accept, amend or override recommendations.</w:t>
            </w:r>
          </w:p>
          <w:p>
            <w:pPr>
              <w:spacing w:after="60" w:line="240" w:lineRule="auto"/>
            </w:pPr>
            <w:r>
              <w:rPr>
                <w:rFonts w:ascii="Arial" w:hAnsi="Arial"/>
                <w:sz w:val="18"/>
              </w:rPr>
              <w:t>• Maintains business/SME ownership of the final linkage decision.</w:t>
            </w:r>
          </w:p>
          <w:p>
            <w:pPr>
              <w:spacing w:after="60" w:line="240" w:lineRule="auto"/>
            </w:pPr>
            <w:r>
              <w:rPr>
                <w:rFonts w:ascii="Arial" w:hAnsi="Arial"/>
                <w:sz w:val="18"/>
              </w:rPr>
              <w:t>• Captures the agreed recommendation and user-decision information for audit/logging purposes.</w:t>
            </w:r>
          </w:p>
          <w:p>
            <w:pPr>
              <w:spacing w:after="60" w:line="240" w:lineRule="auto"/>
            </w:pPr>
            <w:r>
              <w:rPr>
                <w:rFonts w:ascii="Arial" w:hAnsi="Arial"/>
                <w:sz w:val="18"/>
              </w:rPr>
              <w:t>• Has its recommendations validated against the SME-reviewed golden dataset established for Phase 1.</w:t>
            </w:r>
          </w:p>
          <w:p>
            <w:pPr>
              <w:spacing w:after="60" w:line="240" w:lineRule="auto"/>
            </w:pPr>
            <w:r>
              <w:rPr>
                <w:rFonts w:ascii="Arial" w:hAnsi="Arial"/>
                <w:sz w:val="18"/>
              </w:rPr>
              <w:t>• Successfully completes agreed Business UAT and receives Business sign-off.</w:t>
            </w:r>
          </w:p>
          <w:p>
            <w:pPr>
              <w:spacing w:after="60" w:line="240" w:lineRule="auto"/>
            </w:pPr>
            <w:r>
              <w:rPr>
                <w:rFonts w:ascii="Arial" w:hAnsi="Arial"/>
                <w:sz w:val="18"/>
              </w:rPr>
            </w:r>
          </w:p>
          <w:p>
            <w:pPr>
              <w:spacing w:after="60" w:line="240" w:lineRule="auto"/>
            </w:pPr>
            <w:r>
              <w:rPr>
                <w:rFonts w:ascii="Arial" w:hAnsi="Arial"/>
                <w:sz w:val="18"/>
              </w:rPr>
              <w:t>Detailed AI/ML evaluation methodology, including technical metrics, model comparison, threshold calibration and error analysis, will be maintained within internal development/evaluation documentation rather than this Business scope document.</w:t>
            </w:r>
          </w:p>
        </w:tc>
      </w:tr>
      <w:tr>
        <w:tc>
          <w:tcPr>
            <w:tcW w:type="dxa" w:w="2376"/>
            <w:vAlign w:val="center"/>
          </w:tcPr>
          <w:p>
            <w:pPr>
              <w:spacing w:after="0"/>
            </w:pPr>
            <w:r>
              <w:rPr>
                <w:rFonts w:ascii="Arial" w:hAnsi="Arial"/>
                <w:b/>
                <w:sz w:val="19"/>
              </w:rPr>
              <w:t>Assumptions</w:t>
            </w:r>
          </w:p>
        </w:tc>
        <w:tc>
          <w:tcPr>
            <w:tcW w:type="dxa" w:w="8280"/>
            <w:vAlign w:val="top"/>
          </w:tcPr>
          <w:p>
            <w:pPr>
              <w:spacing w:after="60" w:line="240" w:lineRule="auto"/>
            </w:pPr>
            <w:r/>
            <w:r>
              <w:rPr>
                <w:rFonts w:ascii="Arial" w:hAnsi="Arial"/>
                <w:sz w:val="18"/>
              </w:rPr>
              <w:t>• A single REGDEV may be associated with multiple Risk, L1 Library Control and L1 Control Instance linkages.</w:t>
            </w:r>
          </w:p>
          <w:p>
            <w:pPr>
              <w:spacing w:after="60" w:line="240" w:lineRule="auto"/>
            </w:pPr>
            <w:r>
              <w:rPr>
                <w:rFonts w:ascii="Arial" w:hAnsi="Arial"/>
                <w:sz w:val="18"/>
              </w:rPr>
              <w:t>• The Phase 1 solution will provide recommendations rather than automatically determine or approve the final linkage.</w:t>
            </w:r>
          </w:p>
          <w:p>
            <w:pPr>
              <w:spacing w:after="60" w:line="240" w:lineRule="auto"/>
            </w:pPr>
            <w:r>
              <w:rPr>
                <w:rFonts w:ascii="Arial" w:hAnsi="Arial"/>
                <w:sz w:val="18"/>
              </w:rPr>
              <w:t>• Recommendations will be threshold-based rather than a fixed Top 3 / Top 5 output; the threshold will be determined during development.</w:t>
            </w:r>
          </w:p>
          <w:p>
            <w:pPr>
              <w:spacing w:after="60" w:line="240" w:lineRule="auto"/>
            </w:pPr>
            <w:r>
              <w:rPr>
                <w:rFonts w:ascii="Arial" w:hAnsi="Arial"/>
                <w:sz w:val="18"/>
              </w:rPr>
              <w:t>• English-language REGDEVs are the agreed Phase 1 population.</w:t>
            </w:r>
          </w:p>
          <w:p>
            <w:pPr>
              <w:spacing w:after="60" w:line="240" w:lineRule="auto"/>
            </w:pPr>
            <w:r>
              <w:rPr>
                <w:rFonts w:ascii="Arial" w:hAnsi="Arial"/>
                <w:sz w:val="18"/>
              </w:rPr>
              <w:t>• The required textual information and relevant reference data will be available from the agreed source systems.</w:t>
            </w:r>
          </w:p>
          <w:p>
            <w:pPr>
              <w:spacing w:after="60" w:line="240" w:lineRule="auto"/>
            </w:pPr>
            <w:r>
              <w:rPr>
                <w:rFonts w:ascii="Arial" w:hAnsi="Arial"/>
                <w:sz w:val="18"/>
              </w:rPr>
              <w:t>• End users/SMEs will retain final decision ownership.</w:t>
            </w:r>
          </w:p>
          <w:p>
            <w:pPr>
              <w:spacing w:after="60" w:line="240" w:lineRule="auto"/>
            </w:pPr>
            <w:r>
              <w:rPr>
                <w:rFonts w:ascii="Arial" w:hAnsi="Arial"/>
                <w:sz w:val="18"/>
              </w:rPr>
              <w:t>• A validated historical linkage dataset is not assumed to exist; a golden dataset will therefore need to be established through SME validation during Phase 1.</w:t>
            </w:r>
          </w:p>
          <w:p>
            <w:pPr>
              <w:spacing w:after="60" w:line="240" w:lineRule="auto"/>
            </w:pPr>
            <w:r>
              <w:rPr>
                <w:rFonts w:ascii="Arial" w:hAnsi="Arial"/>
                <w:sz w:val="18"/>
              </w:rPr>
              <w:t>• The Phase 1 business benefit is expected to be improved efficiency and consistency; quantitative benefit targets are not assumed until a baseline is established.</w:t>
            </w:r>
          </w:p>
          <w:p>
            <w:pPr>
              <w:spacing w:after="60" w:line="240" w:lineRule="auto"/>
            </w:pPr>
            <w:r>
              <w:rPr>
                <w:rFonts w:ascii="Arial" w:hAnsi="Arial"/>
                <w:sz w:val="18"/>
              </w:rPr>
              <w:t>• Detailed development, evaluation, delivery planning and downstream governance will be maintained in separate project artefacts.</w:t>
            </w:r>
          </w:p>
        </w:tc>
      </w:tr>
      <w:tr>
        <w:tc>
          <w:tcPr>
            <w:tcW w:type="dxa" w:w="2376"/>
            <w:vAlign w:val="center"/>
          </w:tcPr>
          <w:p>
            <w:pPr>
              <w:spacing w:after="0"/>
            </w:pPr>
            <w:r>
              <w:rPr>
                <w:rFonts w:ascii="Arial" w:hAnsi="Arial"/>
                <w:b/>
                <w:sz w:val="19"/>
              </w:rPr>
              <w:t>Dependencies</w:t>
            </w:r>
          </w:p>
        </w:tc>
        <w:tc>
          <w:tcPr>
            <w:tcW w:type="dxa" w:w="8280"/>
            <w:vAlign w:val="top"/>
          </w:tcPr>
          <w:p>
            <w:pPr>
              <w:spacing w:after="60" w:line="240" w:lineRule="auto"/>
            </w:pPr>
            <w:r/>
            <w:r>
              <w:rPr>
                <w:rFonts w:ascii="Arial" w:hAnsi="Arial"/>
                <w:b/>
                <w:sz w:val="18"/>
              </w:rPr>
              <w:t>Source System / Migration Dependencies</w:t>
            </w:r>
          </w:p>
          <w:p>
            <w:pPr>
              <w:spacing w:after="60" w:line="240" w:lineRule="auto"/>
            </w:pPr>
            <w:r>
              <w:rPr>
                <w:rFonts w:ascii="Arial" w:hAnsi="Arial"/>
                <w:sz w:val="18"/>
              </w:rPr>
            </w:r>
          </w:p>
          <w:p>
            <w:pPr>
              <w:spacing w:after="60" w:line="240" w:lineRule="auto"/>
            </w:pPr>
            <w:r>
              <w:rPr>
                <w:rFonts w:ascii="Arial" w:hAnsi="Arial"/>
                <w:sz w:val="18"/>
              </w:rPr>
              <w:t>• Confirmation of the timing and scope of the RegRoom → CUBE migration.</w:t>
            </w:r>
          </w:p>
          <w:p>
            <w:pPr>
              <w:spacing w:after="60" w:line="240" w:lineRule="auto"/>
            </w:pPr>
            <w:r>
              <w:rPr>
                <w:rFonts w:ascii="Arial" w:hAnsi="Arial"/>
                <w:sz w:val="18"/>
              </w:rPr>
              <w:t>• Confirmation of whether the migration will introduce schema, data-structure or identifier changes.</w:t>
            </w:r>
          </w:p>
          <w:p>
            <w:pPr>
              <w:spacing w:after="60" w:line="240" w:lineRule="auto"/>
            </w:pPr>
            <w:r>
              <w:rPr>
                <w:rFonts w:ascii="Arial" w:hAnsi="Arial"/>
                <w:sz w:val="18"/>
              </w:rPr>
              <w:t>• Confirmation that required historical RAPID2/REGDEV data will remain accessible following migration.</w:t>
            </w:r>
          </w:p>
          <w:p>
            <w:pPr>
              <w:spacing w:after="60" w:line="240" w:lineRule="auto"/>
            </w:pPr>
            <w:r>
              <w:rPr>
                <w:rFonts w:ascii="Arial" w:hAnsi="Arial"/>
                <w:sz w:val="18"/>
              </w:rPr>
              <w:t>• Confirmation of whether Phase 1 will consume data from RegRoom, CUBE, or both during the transition period.</w:t>
            </w:r>
          </w:p>
          <w:p>
            <w:pPr>
              <w:spacing w:after="60" w:line="240" w:lineRule="auto"/>
            </w:pPr>
            <w:r>
              <w:rPr>
                <w:rFonts w:ascii="Arial" w:hAnsi="Arial"/>
                <w:sz w:val="18"/>
              </w:rPr>
              <w:t>• Identification of the owner for the CUBE migration dependency.</w:t>
            </w:r>
          </w:p>
          <w:p>
            <w:pPr>
              <w:spacing w:after="60" w:line="240" w:lineRule="auto"/>
            </w:pPr>
            <w:r>
              <w:rPr>
                <w:rFonts w:ascii="Arial" w:hAnsi="Arial"/>
                <w:sz w:val="18"/>
              </w:rPr>
              <w:t>• Agreed impact/contingency approach if the CUBE migration timeline or required data availability changes.</w:t>
            </w:r>
          </w:p>
          <w:p>
            <w:pPr>
              <w:spacing w:after="60" w:line="240" w:lineRule="auto"/>
            </w:pPr>
            <w:r>
              <w:rPr>
                <w:rFonts w:ascii="Arial" w:hAnsi="Arial"/>
                <w:sz w:val="18"/>
              </w:rPr>
            </w:r>
          </w:p>
          <w:p>
            <w:pPr>
              <w:spacing w:after="60" w:line="240" w:lineRule="auto"/>
            </w:pPr>
            <w:r>
              <w:rPr>
                <w:rFonts w:ascii="Arial" w:hAnsi="Arial"/>
                <w:b/>
                <w:sz w:val="18"/>
              </w:rPr>
              <w:t>Data Dependencies</w:t>
            </w:r>
          </w:p>
          <w:p>
            <w:pPr>
              <w:spacing w:after="60" w:line="240" w:lineRule="auto"/>
            </w:pPr>
            <w:r>
              <w:rPr>
                <w:rFonts w:ascii="Arial" w:hAnsi="Arial"/>
                <w:sz w:val="18"/>
              </w:rPr>
            </w:r>
          </w:p>
          <w:p>
            <w:pPr>
              <w:spacing w:after="60" w:line="240" w:lineRule="auto"/>
            </w:pPr>
            <w:r>
              <w:rPr>
                <w:rFonts w:ascii="Arial" w:hAnsi="Arial"/>
                <w:sz w:val="18"/>
              </w:rPr>
              <w:t>• Availability and accessibility of required Helios Risk data.</w:t>
            </w:r>
          </w:p>
          <w:p>
            <w:pPr>
              <w:spacing w:after="60" w:line="240" w:lineRule="auto"/>
            </w:pPr>
            <w:r>
              <w:rPr>
                <w:rFonts w:ascii="Arial" w:hAnsi="Arial"/>
                <w:sz w:val="18"/>
              </w:rPr>
              <w:t>• Availability and accessibility of L1 Library Control and L1 Control Instance data.</w:t>
            </w:r>
          </w:p>
          <w:p>
            <w:pPr>
              <w:spacing w:after="60" w:line="240" w:lineRule="auto"/>
            </w:pPr>
            <w:r>
              <w:rPr>
                <w:rFonts w:ascii="Arial" w:hAnsi="Arial"/>
                <w:sz w:val="18"/>
              </w:rPr>
              <w:t>• Availability and accessibility of RegMap data where required by the agreed Phase 1 solution design.</w:t>
            </w:r>
          </w:p>
          <w:p>
            <w:pPr>
              <w:spacing w:after="60" w:line="240" w:lineRule="auto"/>
            </w:pPr>
            <w:r>
              <w:rPr>
                <w:rFonts w:ascii="Arial" w:hAnsi="Arial"/>
                <w:sz w:val="18"/>
              </w:rPr>
              <w:t>• Availability of the relevant Risk Taxonomy/reference data.</w:t>
            </w:r>
          </w:p>
          <w:p>
            <w:pPr>
              <w:spacing w:after="60" w:line="240" w:lineRule="auto"/>
            </w:pPr>
            <w:r>
              <w:rPr>
                <w:rFonts w:ascii="Arial" w:hAnsi="Arial"/>
                <w:sz w:val="18"/>
              </w:rPr>
              <w:t>• Availability of required historical REGDEV/RAPID2 records.</w:t>
            </w:r>
          </w:p>
          <w:p>
            <w:pPr>
              <w:spacing w:after="60" w:line="240" w:lineRule="auto"/>
            </w:pPr>
            <w:r>
              <w:rPr>
                <w:rFonts w:ascii="Arial" w:hAnsi="Arial"/>
                <w:sz w:val="18"/>
              </w:rPr>
              <w:t>• Availability of historical linkage information where it exists.</w:t>
            </w:r>
          </w:p>
          <w:p>
            <w:pPr>
              <w:spacing w:after="60" w:line="240" w:lineRule="auto"/>
            </w:pPr>
            <w:r>
              <w:rPr>
                <w:rFonts w:ascii="Arial" w:hAnsi="Arial"/>
                <w:sz w:val="18"/>
              </w:rPr>
              <w:t>• Availability of required identifiers and fields to establish relationships across source systems.</w:t>
            </w:r>
          </w:p>
          <w:p>
            <w:pPr>
              <w:spacing w:after="60" w:line="240" w:lineRule="auto"/>
            </w:pPr>
            <w:r>
              <w:rPr>
                <w:rFonts w:ascii="Arial" w:hAnsi="Arial"/>
                <w:sz w:val="18"/>
              </w:rPr>
              <w:t>• Data completeness, quality, duplication and versioning must be sufficient for the agreed Phase 1 use case.</w:t>
            </w:r>
          </w:p>
          <w:p>
            <w:pPr>
              <w:spacing w:after="60" w:line="240" w:lineRule="auto"/>
            </w:pPr>
            <w:r>
              <w:rPr>
                <w:rFonts w:ascii="Arial" w:hAnsi="Arial"/>
                <w:sz w:val="18"/>
              </w:rPr>
              <w:t>• Required data access, permissions and environments must be provisioned in time for development and validation.</w:t>
            </w:r>
          </w:p>
          <w:p>
            <w:pPr>
              <w:spacing w:after="60" w:line="240" w:lineRule="auto"/>
            </w:pPr>
            <w:r>
              <w:rPr>
                <w:rFonts w:ascii="Arial" w:hAnsi="Arial"/>
                <w:sz w:val="18"/>
              </w:rPr>
              <w:t>• Relevant data ownership and source-system ownership must be confirmed.</w:t>
            </w:r>
          </w:p>
          <w:p>
            <w:pPr>
              <w:spacing w:after="60" w:line="240" w:lineRule="auto"/>
            </w:pPr>
            <w:r>
              <w:rPr>
                <w:rFonts w:ascii="Arial" w:hAnsi="Arial"/>
                <w:sz w:val="18"/>
              </w:rPr>
            </w:r>
          </w:p>
          <w:p>
            <w:pPr>
              <w:spacing w:after="60" w:line="240" w:lineRule="auto"/>
            </w:pPr>
            <w:r>
              <w:rPr>
                <w:rFonts w:ascii="Arial" w:hAnsi="Arial"/>
                <w:b/>
                <w:sz w:val="18"/>
              </w:rPr>
              <w:t>SME / Validation Dependency</w:t>
            </w:r>
          </w:p>
          <w:p>
            <w:pPr>
              <w:spacing w:after="60" w:line="240" w:lineRule="auto"/>
            </w:pPr>
            <w:r>
              <w:rPr>
                <w:rFonts w:ascii="Arial" w:hAnsi="Arial"/>
                <w:sz w:val="18"/>
              </w:rPr>
            </w:r>
          </w:p>
          <w:p>
            <w:pPr>
              <w:spacing w:after="60" w:line="240" w:lineRule="auto"/>
            </w:pPr>
            <w:r>
              <w:rPr>
                <w:rFonts w:ascii="Arial" w:hAnsi="Arial"/>
                <w:sz w:val="18"/>
              </w:rPr>
              <w:t>• Designated Business/SME users must be available to manually review and validate solution-generated linkage recommendations.</w:t>
            </w:r>
          </w:p>
          <w:p>
            <w:pPr>
              <w:spacing w:after="60" w:line="240" w:lineRule="auto"/>
            </w:pPr>
            <w:r>
              <w:rPr>
                <w:rFonts w:ascii="Arial" w:hAnsi="Arial"/>
                <w:sz w:val="18"/>
              </w:rPr>
              <w:t>• Sufficient SME capacity and timely turnaround will be required for validation.</w:t>
            </w:r>
          </w:p>
          <w:p>
            <w:pPr>
              <w:spacing w:after="60" w:line="240" w:lineRule="auto"/>
            </w:pPr>
            <w:r>
              <w:rPr>
                <w:rFonts w:ascii="Arial" w:hAnsi="Arial"/>
                <w:sz w:val="18"/>
              </w:rPr>
              <w:t>• SME-reviewed outcomes will be used to establish the Phase 1 golden dataset in the absence of a reliable pre-existing validated linkage dataset.</w:t>
            </w:r>
          </w:p>
          <w:p>
            <w:pPr>
              <w:spacing w:after="60" w:line="240" w:lineRule="auto"/>
            </w:pPr>
            <w:r>
              <w:rPr>
                <w:rFonts w:ascii="Arial" w:hAnsi="Arial"/>
                <w:sz w:val="18"/>
              </w:rPr>
              <w:t>• Timely completion of SME validation is therefore a critical dependency for solution evaluation and UAT.</w:t>
            </w:r>
          </w:p>
          <w:p>
            <w:pPr>
              <w:spacing w:after="60" w:line="240" w:lineRule="auto"/>
            </w:pPr>
            <w:r>
              <w:rPr>
                <w:rFonts w:ascii="Arial" w:hAnsi="Arial"/>
                <w:sz w:val="18"/>
              </w:rPr>
            </w:r>
          </w:p>
          <w:p>
            <w:pPr>
              <w:spacing w:after="60" w:line="240" w:lineRule="auto"/>
            </w:pPr>
            <w:r>
              <w:rPr>
                <w:rFonts w:ascii="Arial" w:hAnsi="Arial"/>
                <w:b/>
                <w:sz w:val="18"/>
              </w:rPr>
              <w:t>Other Dependencies</w:t>
            </w:r>
          </w:p>
          <w:p>
            <w:pPr>
              <w:spacing w:after="60" w:line="240" w:lineRule="auto"/>
            </w:pPr>
            <w:r>
              <w:rPr>
                <w:rFonts w:ascii="Arial" w:hAnsi="Arial"/>
                <w:sz w:val="18"/>
              </w:rPr>
            </w:r>
          </w:p>
          <w:p>
            <w:pPr>
              <w:spacing w:after="60" w:line="240" w:lineRule="auto"/>
            </w:pPr>
            <w:r>
              <w:rPr>
                <w:rFonts w:ascii="Arial" w:hAnsi="Arial"/>
                <w:sz w:val="18"/>
              </w:rPr>
              <w:t>• Availability of required development and test environments.</w:t>
            </w:r>
          </w:p>
          <w:p>
            <w:pPr>
              <w:spacing w:after="60" w:line="240" w:lineRule="auto"/>
            </w:pPr>
            <w:r>
              <w:rPr>
                <w:rFonts w:ascii="Arial" w:hAnsi="Arial"/>
                <w:sz w:val="18"/>
              </w:rPr>
              <w:t>• Availability of relevant technology/platform access and permissions.</w:t>
            </w:r>
          </w:p>
          <w:p>
            <w:pPr>
              <w:spacing w:after="60" w:line="240" w:lineRule="auto"/>
            </w:pPr>
            <w:r>
              <w:rPr>
                <w:rFonts w:ascii="Arial" w:hAnsi="Arial"/>
                <w:sz w:val="18"/>
              </w:rPr>
              <w:t>• Timely resolution of data, access or source-system issues that may affect development or validation.</w:t>
            </w:r>
          </w:p>
          <w:p>
            <w:pPr>
              <w:spacing w:after="60" w:line="240" w:lineRule="auto"/>
            </w:pPr>
            <w:r>
              <w:rPr>
                <w:rFonts w:ascii="Arial" w:hAnsi="Arial"/>
                <w:sz w:val="18"/>
              </w:rPr>
              <w:t>• Availability of Business/SME representatives for requirement clarification, validation and UAT.</w:t>
            </w:r>
          </w:p>
        </w:tc>
      </w:tr>
      <w:tr>
        <w:tc>
          <w:tcPr>
            <w:tcW w:type="dxa" w:w="2376"/>
            <w:vAlign w:val="center"/>
          </w:tcPr>
          <w:p>
            <w:pPr>
              <w:spacing w:after="0"/>
            </w:pPr>
            <w:r>
              <w:rPr>
                <w:rFonts w:ascii="Arial" w:hAnsi="Arial"/>
                <w:b/>
                <w:sz w:val="19"/>
              </w:rPr>
              <w:t>End Users</w:t>
            </w:r>
          </w:p>
        </w:tc>
        <w:tc>
          <w:tcPr>
            <w:tcW w:type="dxa" w:w="8280"/>
            <w:vAlign w:val="top"/>
          </w:tcPr>
          <w:p>
            <w:pPr>
              <w:spacing w:after="60" w:line="240" w:lineRule="auto"/>
            </w:pPr>
            <w:r/>
            <w:r>
              <w:rPr>
                <w:rFonts w:ascii="Arial" w:hAnsi="Arial"/>
                <w:sz w:val="18"/>
              </w:rPr>
              <w:t>GARGI MUKHERJEE</w:t>
            </w:r>
          </w:p>
          <w:p>
            <w:pPr>
              <w:spacing w:after="60" w:line="240" w:lineRule="auto"/>
            </w:pPr>
            <w:r>
              <w:rPr>
                <w:rFonts w:ascii="Arial" w:hAnsi="Arial"/>
                <w:sz w:val="18"/>
              </w:rPr>
              <w:t>CHAN GILL</w:t>
            </w:r>
          </w:p>
        </w:tc>
      </w:tr>
      <w:tr>
        <w:tc>
          <w:tcPr>
            <w:tcW w:type="dxa" w:w="2376"/>
            <w:vAlign w:val="center"/>
          </w:tcPr>
          <w:p>
            <w:pPr>
              <w:spacing w:after="0"/>
            </w:pPr>
            <w:r>
              <w:rPr>
                <w:rFonts w:ascii="Arial" w:hAnsi="Arial"/>
                <w:b/>
                <w:sz w:val="19"/>
              </w:rPr>
              <w:t>Timelines</w:t>
            </w:r>
          </w:p>
        </w:tc>
        <w:tc>
          <w:tcPr>
            <w:tcW w:type="dxa" w:w="8280"/>
            <w:vAlign w:val="top"/>
          </w:tcPr>
          <w:p>
            <w:pPr>
              <w:spacing w:after="60" w:line="240" w:lineRule="auto"/>
            </w:pPr>
            <w:r/>
            <w:r>
              <w:rPr>
                <w:rFonts w:ascii="Arial" w:hAnsi="Arial"/>
                <w:sz w:val="18"/>
              </w:rPr>
              <w:t>Please refer to the separate Project Delivery Plan for development milestones, UAT, deployment and Go-Live timelines.</w:t>
            </w:r>
          </w:p>
          <w:p>
            <w:pPr>
              <w:spacing w:after="60" w:line="240" w:lineRule="auto"/>
            </w:pPr>
            <w:r>
              <w:rPr>
                <w:rFonts w:ascii="Arial" w:hAnsi="Arial"/>
                <w:sz w:val="18"/>
              </w:rPr>
            </w:r>
          </w:p>
          <w:p>
            <w:pPr>
              <w:spacing w:after="60" w:line="240" w:lineRule="auto"/>
            </w:pPr>
            <w:r>
              <w:rPr>
                <w:rFonts w:ascii="Arial" w:hAnsi="Arial"/>
                <w:sz w:val="18"/>
              </w:rPr>
              <w:t>This scope document is intended to define and freeze the Phase 1 business scope, boundaries, required inputs, expected outputs, assumptions and dependencies; detailed delivery sequencing is maintained separately.</w:t>
            </w:r>
          </w:p>
        </w:tc>
      </w:tr>
    </w:tbl>
    <w:p/>
    <w:p>
      <w:r>
        <w:rPr>
          <w:b/>
        </w:rPr>
        <w:t xml:space="preserve">Document boundary: </w:t>
      </w:r>
      <w:r>
        <w:t>This scope freezes the Phase 1 business scope, boundaries, inputs, outputs, assumptions and dependencies. Detailed AI/ML evaluation, delivery planning and downstream TOR/MDT governance are maintained separately.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