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RCM – Impact Assessment (Risk and Controls)</w:t>
      </w:r>
    </w:p>
    <w:tbl>
      <w:tblPr>
        <w:tblStyle w:val="TableGrid"/>
        <w:tblW w:type="auto" w:w="0"/>
        <w:jc w:val="center"/>
        <w:tblLayout w:type="fixed"/>
        <w:tblLook w:firstColumn="1" w:firstRow="1" w:lastColumn="0" w:lastRow="0" w:noHBand="0" w:noVBand="1" w:val="04A0"/>
      </w:tblPr>
      <w:tblGrid>
        <w:gridCol w:w="5184"/>
        <w:gridCol w:w="5184"/>
      </w:tblGrid>
      <w:tr>
        <w:tc>
          <w:tcPr>
            <w:tcW w:type="dxa" w:w="2376"/>
            <w:vAlign w:val="center"/>
            <w:shd w:fill="E7E6E6"/>
          </w:tcPr>
          <w:p>
            <w:pPr>
              <w:spacing w:after="0"/>
            </w:pPr>
            <w:r>
              <w:rPr>
                <w:rFonts w:ascii="Arial" w:hAnsi="Arial"/>
                <w:b/>
                <w:sz w:val="19"/>
              </w:rPr>
              <w:t>Name</w:t>
            </w:r>
          </w:p>
        </w:tc>
        <w:tc>
          <w:tcPr>
            <w:tcW w:type="dxa" w:w="8280"/>
            <w:vAlign w:val="top"/>
            <w:shd w:fill="E7E6E6"/>
          </w:tcPr>
          <w:p>
            <w:pPr>
              <w:spacing w:after="60" w:line="240" w:lineRule="auto"/>
            </w:pPr>
            <w:r/>
            <w:r>
              <w:rPr>
                <w:rFonts w:ascii="Arial" w:hAnsi="Arial"/>
                <w:sz w:val="18"/>
              </w:rPr>
              <w:t>RCM – Impact Assessment (Risk and Controls)</w:t>
            </w:r>
          </w:p>
        </w:tc>
      </w:tr>
      <w:tr>
        <w:tc>
          <w:tcPr>
            <w:tcW w:type="dxa" w:w="2376"/>
            <w:vAlign w:val="center"/>
          </w:tcPr>
          <w:p>
            <w:pPr>
              <w:spacing w:after="0"/>
            </w:pPr>
            <w:r>
              <w:rPr>
                <w:rFonts w:ascii="Arial" w:hAnsi="Arial"/>
                <w:b/>
                <w:sz w:val="19"/>
              </w:rPr>
              <w:t>Description</w:t>
            </w:r>
          </w:p>
        </w:tc>
        <w:tc>
          <w:tcPr>
            <w:tcW w:type="dxa" w:w="8280"/>
            <w:vAlign w:val="top"/>
          </w:tcPr>
          <w:p>
            <w:pPr>
              <w:spacing w:after="60" w:line="240" w:lineRule="auto"/>
            </w:pPr>
            <w:r/>
            <w:r>
              <w:rPr>
                <w:rFonts w:ascii="Arial" w:hAnsi="Arial"/>
                <w:sz w:val="18"/>
              </w:rPr>
              <w:t>The solution aims to build a Phase 1 capability to support the manual linkage of regulatory development alerts (REGDEVs) in RAPID2 (currently sourced from RegRoom and transitioning to CUBE) to relevant Risk, L1 Library Controls and L1 Control Instances available in the Helios system.</w:t>
            </w:r>
          </w:p>
          <w:p>
            <w:pPr>
              <w:spacing w:after="60" w:line="240" w:lineRule="auto"/>
            </w:pPr>
            <w:r>
              <w:rPr>
                <w:rFonts w:ascii="Arial" w:hAnsi="Arial"/>
                <w:sz w:val="18"/>
              </w:rPr>
            </w:r>
          </w:p>
          <w:p>
            <w:pPr>
              <w:spacing w:after="60" w:line="240" w:lineRule="auto"/>
            </w:pPr>
            <w:r>
              <w:rPr>
                <w:rFonts w:ascii="Arial" w:hAnsi="Arial"/>
                <w:sz w:val="18"/>
              </w:rPr>
              <w:t>The solution will provide linkage recommendations as decision support. End users will retain ownership of the final linkage and will be able to accept, amend or override recommendations based on their domain expertise.</w:t>
            </w:r>
          </w:p>
          <w:p>
            <w:pPr>
              <w:spacing w:after="60" w:line="240" w:lineRule="auto"/>
            </w:pPr>
            <w:r>
              <w:rPr>
                <w:rFonts w:ascii="Arial" w:hAnsi="Arial"/>
                <w:sz w:val="18"/>
              </w:rPr>
            </w:r>
          </w:p>
          <w:p>
            <w:pPr>
              <w:spacing w:after="60" w:line="240" w:lineRule="auto"/>
            </w:pPr>
            <w:r>
              <w:rPr>
                <w:rFonts w:ascii="Arial" w:hAnsi="Arial"/>
                <w:sz w:val="18"/>
              </w:rPr>
              <w:t>The Phase 1 capability is intended to standardise and streamline the current linkage process, improve consistency of mapping, and provide a scalable foundation for future enhancements.</w:t>
            </w:r>
          </w:p>
        </w:tc>
      </w:tr>
      <w:tr>
        <w:tc>
          <w:tcPr>
            <w:tcW w:type="dxa" w:w="2376"/>
            <w:vAlign w:val="center"/>
          </w:tcPr>
          <w:p>
            <w:pPr>
              <w:spacing w:after="0"/>
            </w:pPr>
            <w:r>
              <w:rPr>
                <w:rFonts w:ascii="Arial" w:hAnsi="Arial"/>
                <w:b/>
                <w:sz w:val="19"/>
              </w:rPr>
              <w:t>Business Outcome</w:t>
            </w:r>
          </w:p>
        </w:tc>
        <w:tc>
          <w:tcPr>
            <w:tcW w:type="dxa" w:w="8280"/>
            <w:vAlign w:val="top"/>
          </w:tcPr>
          <w:p>
            <w:pPr>
              <w:spacing w:after="60" w:line="240" w:lineRule="auto"/>
            </w:pPr>
            <w:r/>
            <w:r>
              <w:rPr>
                <w:rFonts w:ascii="Arial" w:hAnsi="Arial"/>
                <w:sz w:val="18"/>
              </w:rPr>
              <w:t>The business requirement is to develop a solution that enables a more robust and consistent process for linking regulatory development alerts to relevant Risk, L1 Library Controls and L1 Control Instances.</w:t>
            </w:r>
          </w:p>
          <w:p>
            <w:pPr>
              <w:spacing w:after="60" w:line="240" w:lineRule="auto"/>
            </w:pPr>
            <w:r>
              <w:rPr>
                <w:rFonts w:ascii="Arial" w:hAnsi="Arial"/>
                <w:sz w:val="18"/>
              </w:rPr>
            </w:r>
          </w:p>
          <w:p>
            <w:pPr>
              <w:spacing w:after="60" w:line="240" w:lineRule="auto"/>
            </w:pPr>
            <w:r>
              <w:rPr>
                <w:rFonts w:ascii="Arial" w:hAnsi="Arial"/>
                <w:sz w:val="18"/>
              </w:rPr>
              <w:t>The solution is intended to:</w:t>
            </w:r>
          </w:p>
          <w:p>
            <w:pPr>
              <w:spacing w:after="60" w:line="240" w:lineRule="auto"/>
            </w:pPr>
            <w:r>
              <w:rPr>
                <w:rFonts w:ascii="Arial" w:hAnsi="Arial"/>
                <w:sz w:val="18"/>
              </w:rPr>
              <w:t>• reduce manual effort associated with identifying relevant linkages;</w:t>
            </w:r>
          </w:p>
          <w:p>
            <w:pPr>
              <w:spacing w:after="60" w:line="240" w:lineRule="auto"/>
            </w:pPr>
            <w:r>
              <w:rPr>
                <w:rFonts w:ascii="Arial" w:hAnsi="Arial"/>
                <w:sz w:val="18"/>
              </w:rPr>
              <w:t>• improve consistency and standardisation of the linkage process;</w:t>
            </w:r>
          </w:p>
          <w:p>
            <w:pPr>
              <w:spacing w:after="60" w:line="240" w:lineRule="auto"/>
            </w:pPr>
            <w:r>
              <w:rPr>
                <w:rFonts w:ascii="Arial" w:hAnsi="Arial"/>
                <w:sz w:val="18"/>
              </w:rPr>
              <w:t>• support users in identifying and prioritising relevant Risk and Controls; and</w:t>
            </w:r>
          </w:p>
          <w:p>
            <w:pPr>
              <w:spacing w:after="60" w:line="240" w:lineRule="auto"/>
            </w:pPr>
            <w:r>
              <w:rPr>
                <w:rFonts w:ascii="Arial" w:hAnsi="Arial"/>
                <w:sz w:val="18"/>
              </w:rPr>
              <w:t>• provide a scalable foundation for future capabilities.</w:t>
            </w:r>
          </w:p>
          <w:p>
            <w:pPr>
              <w:spacing w:after="60" w:line="240" w:lineRule="auto"/>
            </w:pPr>
            <w:r>
              <w:rPr>
                <w:rFonts w:ascii="Arial" w:hAnsi="Arial"/>
                <w:sz w:val="18"/>
              </w:rPr>
            </w:r>
          </w:p>
          <w:p>
            <w:pPr>
              <w:spacing w:after="60" w:line="240" w:lineRule="auto"/>
            </w:pPr>
            <w:r>
              <w:rPr>
                <w:rFonts w:ascii="Arial" w:hAnsi="Arial"/>
                <w:sz w:val="18"/>
              </w:rPr>
              <w:t>Quantification of business benefits will be assessed once the Phase 1 baseline and solution performance have been established; no specific percentage reduction is assumed at this stage.</w:t>
            </w:r>
          </w:p>
        </w:tc>
      </w:tr>
      <w:tr>
        <w:tc>
          <w:tcPr>
            <w:tcW w:type="dxa" w:w="2376"/>
            <w:vAlign w:val="center"/>
          </w:tcPr>
          <w:p>
            <w:pPr>
              <w:spacing w:after="0"/>
            </w:pPr>
            <w:r>
              <w:rPr>
                <w:rFonts w:ascii="Arial" w:hAnsi="Arial"/>
                <w:b/>
                <w:sz w:val="19"/>
              </w:rPr>
              <w:t>Objectives</w:t>
            </w:r>
          </w:p>
        </w:tc>
        <w:tc>
          <w:tcPr>
            <w:tcW w:type="dxa" w:w="8280"/>
            <w:vAlign w:val="top"/>
          </w:tcPr>
          <w:p>
            <w:pPr>
              <w:spacing w:after="60" w:line="240" w:lineRule="auto"/>
            </w:pPr>
            <w:r/>
            <w:r>
              <w:rPr>
                <w:rFonts w:ascii="Arial" w:hAnsi="Arial"/>
                <w:b/>
                <w:sz w:val="18"/>
              </w:rPr>
              <w:t>In Scope – Phase 1</w:t>
            </w:r>
          </w:p>
          <w:p>
            <w:pPr>
              <w:spacing w:after="60" w:line="240" w:lineRule="auto"/>
            </w:pPr>
            <w:r>
              <w:rPr>
                <w:rFonts w:ascii="Arial" w:hAnsi="Arial"/>
                <w:sz w:val="18"/>
              </w:rPr>
            </w:r>
          </w:p>
          <w:p>
            <w:pPr>
              <w:spacing w:after="60" w:line="240" w:lineRule="auto"/>
            </w:pPr>
            <w:r>
              <w:rPr>
                <w:rFonts w:ascii="Arial" w:hAnsi="Arial"/>
                <w:sz w:val="18"/>
              </w:rPr>
              <w:t>• Historical REGDEV source records relevant to the agreed Phase 1 population, including records transitioning from RegRoom to CUBE.</w:t>
            </w:r>
          </w:p>
          <w:p>
            <w:pPr>
              <w:spacing w:after="60" w:line="240" w:lineRule="auto"/>
            </w:pPr>
            <w:r>
              <w:rPr>
                <w:rFonts w:ascii="Arial" w:hAnsi="Arial"/>
                <w:sz w:val="18"/>
              </w:rPr>
              <w:t>• Historical Helios records relating to Risk, L1 Library Controls and L1 Control Instances.</w:t>
            </w:r>
          </w:p>
          <w:p>
            <w:pPr>
              <w:spacing w:after="60" w:line="240" w:lineRule="auto"/>
            </w:pPr>
            <w:r>
              <w:rPr>
                <w:rFonts w:ascii="Arial" w:hAnsi="Arial"/>
                <w:sz w:val="18"/>
              </w:rPr>
              <w:t>• REGDEV (Regulatory Development) records only.</w:t>
            </w:r>
          </w:p>
          <w:p>
            <w:pPr>
              <w:spacing w:after="60" w:line="240" w:lineRule="auto"/>
            </w:pPr>
            <w:r>
              <w:rPr>
                <w:rFonts w:ascii="Arial" w:hAnsi="Arial"/>
                <w:sz w:val="18"/>
              </w:rPr>
              <w:t>• English-language REGDEVs only, subject to final confirmation with the Business/SME team.</w:t>
            </w:r>
          </w:p>
          <w:p>
            <w:pPr>
              <w:spacing w:after="60" w:line="240" w:lineRule="auto"/>
            </w:pPr>
            <w:r>
              <w:rPr>
                <w:rFonts w:ascii="Arial" w:hAnsi="Arial"/>
                <w:sz w:val="18"/>
              </w:rPr>
              <w:t>• Generate linkage recommendations between each in-scope REGDEV and relevant Risk IDs, L1 Library Control IDs and L1 Control Instance IDs.</w:t>
            </w:r>
          </w:p>
          <w:p>
            <w:pPr>
              <w:spacing w:after="60" w:line="240" w:lineRule="auto"/>
            </w:pPr>
            <w:r>
              <w:rPr>
                <w:rFonts w:ascii="Arial" w:hAnsi="Arial"/>
                <w:sz w:val="18"/>
              </w:rPr>
              <w:t>• Support multiple recommended linkages for a REGDEV where supported by the solution's defined recommendation criteria.</w:t>
            </w:r>
          </w:p>
          <w:p>
            <w:pPr>
              <w:spacing w:after="60" w:line="240" w:lineRule="auto"/>
            </w:pPr>
            <w:r>
              <w:rPr>
                <w:rFonts w:ascii="Arial" w:hAnsi="Arial"/>
                <w:sz w:val="18"/>
              </w:rPr>
              <w:t>• Provide an associated recommendation score/confidence indicator; this should be interpreted as a solution score/confidence measure and not as a calibrated probability of correctness.</w:t>
            </w:r>
          </w:p>
          <w:p>
            <w:pPr>
              <w:spacing w:after="60" w:line="240" w:lineRule="auto"/>
            </w:pPr>
            <w:r>
              <w:rPr>
                <w:rFonts w:ascii="Arial" w:hAnsi="Arial"/>
                <w:sz w:val="18"/>
              </w:rPr>
              <w:t>• Recommendations will use a threshold-based approach; the numerical threshold will be determined during solution development and validated before UAT.</w:t>
            </w:r>
          </w:p>
          <w:p>
            <w:pPr>
              <w:spacing w:after="60" w:line="240" w:lineRule="auto"/>
            </w:pPr>
            <w:r>
              <w:rPr>
                <w:rFonts w:ascii="Arial" w:hAnsi="Arial"/>
                <w:sz w:val="18"/>
              </w:rPr>
              <w:t>• Where no recommendation meets the agreed confidence threshold, the record will remain subject to manual review rather than being assigned an unsupported linkage.</w:t>
            </w:r>
          </w:p>
          <w:p>
            <w:pPr>
              <w:spacing w:after="60" w:line="240" w:lineRule="auto"/>
            </w:pPr>
            <w:r>
              <w:rPr>
                <w:rFonts w:ascii="Arial" w:hAnsi="Arial"/>
                <w:sz w:val="18"/>
              </w:rPr>
              <w:t>• Recommendations will act as decision support; end users retain ownership of the final Risk, L1 Library Control and L1 Control Instance selection and may accept, amend or override recommendations.</w:t>
            </w:r>
          </w:p>
          <w:p>
            <w:pPr>
              <w:spacing w:after="60" w:line="240" w:lineRule="auto"/>
            </w:pPr>
            <w:r>
              <w:rPr>
                <w:rFonts w:ascii="Arial" w:hAnsi="Arial"/>
                <w:sz w:val="18"/>
              </w:rPr>
              <w:t>• Capture the agreed recommendation and user-decision information to support traceability of the Phase 1 workflow.</w:t>
            </w:r>
          </w:p>
          <w:p>
            <w:pPr>
              <w:spacing w:after="60" w:line="240" w:lineRule="auto"/>
            </w:pPr>
            <w:r>
              <w:rPr>
                <w:rFonts w:ascii="Arial" w:hAnsi="Arial"/>
                <w:sz w:val="18"/>
              </w:rPr>
            </w:r>
          </w:p>
          <w:p>
            <w:pPr>
              <w:spacing w:after="60" w:line="240" w:lineRule="auto"/>
            </w:pPr>
            <w:r>
              <w:rPr>
                <w:rFonts w:ascii="Arial" w:hAnsi="Arial"/>
                <w:b/>
                <w:sz w:val="18"/>
              </w:rPr>
              <w:t>Out of Scope – Phase 1</w:t>
            </w:r>
          </w:p>
          <w:p>
            <w:pPr>
              <w:spacing w:after="60" w:line="240" w:lineRule="auto"/>
            </w:pPr>
            <w:r>
              <w:rPr>
                <w:rFonts w:ascii="Arial" w:hAnsi="Arial"/>
                <w:sz w:val="18"/>
              </w:rPr>
            </w:r>
          </w:p>
          <w:p>
            <w:pPr>
              <w:spacing w:after="60" w:line="240" w:lineRule="auto"/>
            </w:pPr>
            <w:r>
              <w:rPr>
                <w:rFonts w:ascii="Arial" w:hAnsi="Arial"/>
                <w:sz w:val="18"/>
              </w:rPr>
              <w:t>• All record category codes other than REGDEV.</w:t>
            </w:r>
          </w:p>
          <w:p>
            <w:pPr>
              <w:spacing w:after="60" w:line="240" w:lineRule="auto"/>
            </w:pPr>
            <w:r>
              <w:rPr>
                <w:rFonts w:ascii="Arial" w:hAnsi="Arial"/>
                <w:sz w:val="18"/>
              </w:rPr>
              <w:t>• Non-English REGDEVs, subject to final Phase 1 confirmation.</w:t>
            </w:r>
          </w:p>
          <w:p>
            <w:pPr>
              <w:spacing w:after="60" w:line="240" w:lineRule="auto"/>
            </w:pPr>
            <w:r>
              <w:rPr>
                <w:rFonts w:ascii="Arial" w:hAnsi="Arial"/>
                <w:sz w:val="18"/>
              </w:rPr>
              <w:t>• Automated final approval or ownership of Risk, L1 Library Control or L1 Control Instance linkages.</w:t>
            </w:r>
          </w:p>
          <w:p>
            <w:pPr>
              <w:spacing w:after="60" w:line="240" w:lineRule="auto"/>
            </w:pPr>
            <w:r>
              <w:rPr>
                <w:rFonts w:ascii="Arial" w:hAnsi="Arial"/>
                <w:sz w:val="18"/>
              </w:rPr>
              <w:t>• Gap assessment or automated identification of gaps between regulatory text and Risk/Control descriptions.</w:t>
            </w:r>
          </w:p>
          <w:p>
            <w:pPr>
              <w:spacing w:after="60" w:line="240" w:lineRule="auto"/>
            </w:pPr>
            <w:r>
              <w:rPr>
                <w:rFonts w:ascii="Arial" w:hAnsi="Arial"/>
                <w:sz w:val="18"/>
              </w:rPr>
              <w:t>• Future-state capabilities such as Graph RAG, agentic AI or other Phase 2/Phase 3 enhancements.</w:t>
            </w:r>
          </w:p>
          <w:p>
            <w:pPr>
              <w:spacing w:after="60" w:line="240" w:lineRule="auto"/>
            </w:pPr>
            <w:r>
              <w:rPr>
                <w:rFonts w:ascii="Arial" w:hAnsi="Arial"/>
                <w:sz w:val="18"/>
              </w:rPr>
              <w:t>• Detailed production monitoring, BAU operating model and ongoing model governance, which will be addressed through relevant downstream documentation.</w:t>
            </w:r>
          </w:p>
          <w:p>
            <w:pPr>
              <w:spacing w:after="60" w:line="240" w:lineRule="auto"/>
            </w:pPr>
            <w:r>
              <w:rPr>
                <w:rFonts w:ascii="Arial" w:hAnsi="Arial"/>
                <w:sz w:val="18"/>
              </w:rPr>
            </w:r>
          </w:p>
          <w:p>
            <w:pPr>
              <w:spacing w:after="60" w:line="240" w:lineRule="auto"/>
            </w:pPr>
            <w:r>
              <w:rPr>
                <w:rFonts w:ascii="Arial" w:hAnsi="Arial"/>
                <w:b/>
                <w:sz w:val="18"/>
              </w:rPr>
              <w:t>Phase 1 Output</w:t>
            </w:r>
          </w:p>
          <w:p>
            <w:pPr>
              <w:spacing w:after="60" w:line="240" w:lineRule="auto"/>
            </w:pPr>
            <w:r>
              <w:rPr>
                <w:rFonts w:ascii="Arial" w:hAnsi="Arial"/>
                <w:sz w:val="18"/>
              </w:rPr>
            </w:r>
          </w:p>
          <w:p>
            <w:pPr>
              <w:spacing w:after="60" w:line="240" w:lineRule="auto"/>
            </w:pPr>
            <w:r>
              <w:rPr>
                <w:rFonts w:ascii="Arial" w:hAnsi="Arial"/>
                <w:sz w:val="18"/>
              </w:rPr>
              <w:t>For each applicable REGDEV, the intended output is a set of recommended linkage IDs covering Risk, L1 Library Control and L1 Control Instance, together with an associated score/confidence indicator. Any additional output, including the use of RegMap information, remains subject to confirmation with the team before the Phase 1 scope is frozen.</w:t>
            </w:r>
          </w:p>
        </w:tc>
      </w:tr>
      <w:tr>
        <w:tc>
          <w:tcPr>
            <w:tcW w:type="dxa" w:w="2376"/>
            <w:vAlign w:val="center"/>
          </w:tcPr>
          <w:p>
            <w:pPr>
              <w:spacing w:after="0"/>
            </w:pPr>
            <w:r>
              <w:rPr>
                <w:rFonts w:ascii="Arial" w:hAnsi="Arial"/>
                <w:b/>
                <w:sz w:val="19"/>
              </w:rPr>
              <w:t>Success / Acceptance Criteria</w:t>
            </w:r>
          </w:p>
        </w:tc>
        <w:tc>
          <w:tcPr>
            <w:tcW w:type="dxa" w:w="8280"/>
            <w:vAlign w:val="top"/>
          </w:tcPr>
          <w:p>
            <w:pPr>
              <w:spacing w:after="60" w:line="240" w:lineRule="auto"/>
            </w:pPr>
            <w:r/>
            <w:r>
              <w:rPr>
                <w:rFonts w:ascii="Arial" w:hAnsi="Arial"/>
                <w:sz w:val="18"/>
              </w:rPr>
              <w:t>Phase 1 Expected Outcome / Business Acceptance</w:t>
            </w:r>
          </w:p>
          <w:p>
            <w:pPr>
              <w:spacing w:after="60" w:line="240" w:lineRule="auto"/>
            </w:pPr>
            <w:r>
              <w:rPr>
                <w:rFonts w:ascii="Arial" w:hAnsi="Arial"/>
                <w:sz w:val="18"/>
              </w:rPr>
            </w:r>
          </w:p>
          <w:p>
            <w:pPr>
              <w:spacing w:after="60" w:line="240" w:lineRule="auto"/>
            </w:pPr>
            <w:r>
              <w:rPr>
                <w:rFonts w:ascii="Arial" w:hAnsi="Arial"/>
                <w:sz w:val="18"/>
              </w:rPr>
              <w:t>The Phase 1 solution is expected to demonstrate the following business capabilities:</w:t>
            </w:r>
          </w:p>
          <w:p>
            <w:pPr>
              <w:spacing w:after="60" w:line="240" w:lineRule="auto"/>
            </w:pPr>
            <w:r>
              <w:rPr>
                <w:rFonts w:ascii="Arial" w:hAnsi="Arial"/>
                <w:sz w:val="18"/>
              </w:rPr>
            </w:r>
          </w:p>
          <w:p>
            <w:pPr>
              <w:spacing w:after="60" w:line="240" w:lineRule="auto"/>
            </w:pPr>
            <w:r>
              <w:rPr>
                <w:rFonts w:ascii="Arial" w:hAnsi="Arial"/>
                <w:sz w:val="18"/>
              </w:rPr>
              <w:t>• Generate linkage recommendations for the agreed in-scope REGDEV population against relevant Risk, L1 Library Control and L1 Control Instance records.</w:t>
            </w:r>
          </w:p>
          <w:p>
            <w:pPr>
              <w:spacing w:after="60" w:line="240" w:lineRule="auto"/>
            </w:pPr>
            <w:r>
              <w:rPr>
                <w:rFonts w:ascii="Arial" w:hAnsi="Arial"/>
                <w:sz w:val="18"/>
              </w:rPr>
              <w:t>• Support multiple recommended linkages where supported by the defined recommendation criteria.</w:t>
            </w:r>
          </w:p>
          <w:p>
            <w:pPr>
              <w:spacing w:after="60" w:line="240" w:lineRule="auto"/>
            </w:pPr>
            <w:r>
              <w:rPr>
                <w:rFonts w:ascii="Arial" w:hAnsi="Arial"/>
                <w:sz w:val="18"/>
              </w:rPr>
              <w:t>• Provide an associated score/confidence indicator and apply the agreed threshold-based recommendation behaviour.</w:t>
            </w:r>
          </w:p>
          <w:p>
            <w:pPr>
              <w:spacing w:after="60" w:line="240" w:lineRule="auto"/>
            </w:pPr>
            <w:r>
              <w:rPr>
                <w:rFonts w:ascii="Arial" w:hAnsi="Arial"/>
                <w:sz w:val="18"/>
              </w:rPr>
              <w:t>• Allow designated users to review, accept, amend or override recommendations.</w:t>
            </w:r>
          </w:p>
          <w:p>
            <w:pPr>
              <w:spacing w:after="60" w:line="240" w:lineRule="auto"/>
            </w:pPr>
            <w:r>
              <w:rPr>
                <w:rFonts w:ascii="Arial" w:hAnsi="Arial"/>
                <w:sz w:val="18"/>
              </w:rPr>
              <w:t>• Maintain Business/SME ownership of the final linkage decision.</w:t>
            </w:r>
          </w:p>
          <w:p>
            <w:pPr>
              <w:spacing w:after="60" w:line="240" w:lineRule="auto"/>
            </w:pPr>
            <w:r>
              <w:rPr>
                <w:rFonts w:ascii="Arial" w:hAnsi="Arial"/>
                <w:sz w:val="18"/>
              </w:rPr>
              <w:t>• Capture the agreed recommendation and user-decision information to support traceability of the workflow.</w:t>
            </w:r>
          </w:p>
          <w:p>
            <w:pPr>
              <w:spacing w:after="60" w:line="240" w:lineRule="auto"/>
            </w:pPr>
            <w:r>
              <w:rPr>
                <w:rFonts w:ascii="Arial" w:hAnsi="Arial"/>
                <w:sz w:val="18"/>
              </w:rPr>
              <w:t>• Demonstrate linkage recommendation performance through validation against a SME-reviewed reference/golden dataset established during Phase 1.</w:t>
            </w:r>
          </w:p>
          <w:p>
            <w:pPr>
              <w:spacing w:after="60" w:line="240" w:lineRule="auto"/>
            </w:pPr>
            <w:r>
              <w:rPr>
                <w:rFonts w:ascii="Arial" w:hAnsi="Arial"/>
                <w:sz w:val="18"/>
              </w:rPr>
              <w:t>• Complete agreed Business UAT and obtain the required Business sign-off.</w:t>
            </w:r>
          </w:p>
          <w:p>
            <w:pPr>
              <w:spacing w:after="60" w:line="240" w:lineRule="auto"/>
            </w:pPr>
            <w:r>
              <w:rPr>
                <w:rFonts w:ascii="Arial" w:hAnsi="Arial"/>
                <w:sz w:val="18"/>
              </w:rPr>
            </w:r>
          </w:p>
          <w:p>
            <w:pPr>
              <w:spacing w:after="60" w:line="240" w:lineRule="auto"/>
            </w:pPr>
            <w:r>
              <w:rPr>
                <w:rFonts w:ascii="Arial" w:hAnsi="Arial"/>
                <w:sz w:val="18"/>
              </w:rPr>
              <w:t>Formal UAT acceptance criteria, detailed AI/ML evaluation methodology and technical performance measures will be defined and maintained within the relevant internal development, evaluation and UAT documentation rather than this Business scope document.</w:t>
            </w:r>
          </w:p>
        </w:tc>
      </w:tr>
      <w:tr>
        <w:tc>
          <w:tcPr>
            <w:tcW w:type="dxa" w:w="2376"/>
            <w:vAlign w:val="center"/>
          </w:tcPr>
          <w:p>
            <w:pPr>
              <w:spacing w:after="0"/>
            </w:pPr>
            <w:r>
              <w:rPr>
                <w:rFonts w:ascii="Arial" w:hAnsi="Arial"/>
                <w:b/>
                <w:sz w:val="19"/>
              </w:rPr>
              <w:t>Assumptions</w:t>
            </w:r>
          </w:p>
        </w:tc>
        <w:tc>
          <w:tcPr>
            <w:tcW w:type="dxa" w:w="8280"/>
            <w:vAlign w:val="top"/>
          </w:tcPr>
          <w:p>
            <w:pPr>
              <w:spacing w:after="60" w:line="240" w:lineRule="auto"/>
            </w:pPr>
            <w:r/>
            <w:r>
              <w:rPr>
                <w:rFonts w:ascii="Arial" w:hAnsi="Arial"/>
                <w:sz w:val="18"/>
              </w:rPr>
              <w:t>• A single REGDEV may have multiple applicable Risk, L1 Library Control and L1 Control Instance linkages.</w:t>
            </w:r>
          </w:p>
          <w:p>
            <w:pPr>
              <w:spacing w:after="60" w:line="240" w:lineRule="auto"/>
            </w:pPr>
            <w:r>
              <w:rPr>
                <w:rFonts w:ascii="Arial" w:hAnsi="Arial"/>
                <w:sz w:val="18"/>
              </w:rPr>
              <w:t>• The Phase 1 solution will provide recommendations rather than automatically determine or approve the final linkage.</w:t>
            </w:r>
          </w:p>
          <w:p>
            <w:pPr>
              <w:spacing w:after="60" w:line="240" w:lineRule="auto"/>
            </w:pPr>
            <w:r>
              <w:rPr>
                <w:rFonts w:ascii="Arial" w:hAnsi="Arial"/>
                <w:sz w:val="18"/>
              </w:rPr>
              <w:t>• Recommendations will be threshold-based rather than a fixed Top 3 / Top 5 output; the threshold will be determined during development.</w:t>
            </w:r>
          </w:p>
          <w:p>
            <w:pPr>
              <w:spacing w:after="60" w:line="240" w:lineRule="auto"/>
            </w:pPr>
            <w:r>
              <w:rPr>
                <w:rFonts w:ascii="Arial" w:hAnsi="Arial"/>
                <w:sz w:val="18"/>
              </w:rPr>
              <w:t>• The recommendation score/confidence indicator is a solution-generated measure and is not assumed to represent a calibrated probability of correctness.</w:t>
            </w:r>
          </w:p>
          <w:p>
            <w:pPr>
              <w:spacing w:after="60" w:line="240" w:lineRule="auto"/>
            </w:pPr>
            <w:r>
              <w:rPr>
                <w:rFonts w:ascii="Arial" w:hAnsi="Arial"/>
                <w:sz w:val="18"/>
              </w:rPr>
              <w:t>• The required textual information and relevant reference data will be available from the agreed source systems.</w:t>
            </w:r>
          </w:p>
          <w:p>
            <w:pPr>
              <w:spacing w:after="60" w:line="240" w:lineRule="auto"/>
            </w:pPr>
            <w:r>
              <w:rPr>
                <w:rFonts w:ascii="Arial" w:hAnsi="Arial"/>
                <w:sz w:val="18"/>
              </w:rPr>
              <w:t>• End users/SMEs will retain final decision ownership.</w:t>
            </w:r>
          </w:p>
          <w:p>
            <w:pPr>
              <w:spacing w:after="60" w:line="240" w:lineRule="auto"/>
            </w:pPr>
            <w:r>
              <w:rPr>
                <w:rFonts w:ascii="Arial" w:hAnsi="Arial"/>
                <w:sz w:val="18"/>
              </w:rPr>
              <w:t>• Detailed development, evaluation, delivery planning and downstream governance will be maintained in separate project artefacts.</w:t>
            </w:r>
          </w:p>
          <w:p>
            <w:pPr>
              <w:spacing w:after="60" w:line="240" w:lineRule="auto"/>
            </w:pPr>
            <w:r>
              <w:rPr>
                <w:rFonts w:ascii="Arial" w:hAnsi="Arial"/>
                <w:sz w:val="18"/>
              </w:rPr>
              <w:t>• Quantitative business benefit targets are not assumed until an appropriate baseline has been established.</w:t>
            </w:r>
          </w:p>
        </w:tc>
      </w:tr>
      <w:tr>
        <w:tc>
          <w:tcPr>
            <w:tcW w:type="dxa" w:w="2376"/>
            <w:vAlign w:val="center"/>
          </w:tcPr>
          <w:p>
            <w:pPr>
              <w:spacing w:after="0"/>
            </w:pPr>
            <w:r>
              <w:rPr>
                <w:rFonts w:ascii="Arial" w:hAnsi="Arial"/>
                <w:b/>
                <w:sz w:val="19"/>
              </w:rPr>
              <w:t>Dependencies</w:t>
            </w:r>
          </w:p>
        </w:tc>
        <w:tc>
          <w:tcPr>
            <w:tcW w:type="dxa" w:w="8280"/>
            <w:vAlign w:val="top"/>
          </w:tcPr>
          <w:p>
            <w:pPr>
              <w:spacing w:after="60" w:line="240" w:lineRule="auto"/>
            </w:pPr>
            <w:r/>
            <w:r>
              <w:rPr>
                <w:rFonts w:ascii="Arial" w:hAnsi="Arial"/>
                <w:b/>
                <w:sz w:val="18"/>
              </w:rPr>
              <w:t>Source System / Migration Dependencies</w:t>
            </w:r>
          </w:p>
          <w:p>
            <w:pPr>
              <w:spacing w:after="60" w:line="240" w:lineRule="auto"/>
            </w:pPr>
            <w:r>
              <w:rPr>
                <w:rFonts w:ascii="Arial" w:hAnsi="Arial"/>
                <w:sz w:val="18"/>
              </w:rPr>
            </w:r>
          </w:p>
          <w:p>
            <w:pPr>
              <w:spacing w:after="60" w:line="240" w:lineRule="auto"/>
            </w:pPr>
            <w:r>
              <w:rPr>
                <w:rFonts w:ascii="Arial" w:hAnsi="Arial"/>
                <w:sz w:val="18"/>
              </w:rPr>
              <w:t>• The solution design must account for the RegRoom → CUBE transition and the agreed Phase 1 source-of-record strategy.</w:t>
            </w:r>
          </w:p>
          <w:p>
            <w:pPr>
              <w:spacing w:after="60" w:line="240" w:lineRule="auto"/>
            </w:pPr>
            <w:r>
              <w:rPr>
                <w:rFonts w:ascii="Arial" w:hAnsi="Arial"/>
                <w:sz w:val="18"/>
              </w:rPr>
              <w:t>• Confirmation is required on whether the migration will introduce schema, data-structure or identifier changes that affect the Phase 1 solution.</w:t>
            </w:r>
          </w:p>
          <w:p>
            <w:pPr>
              <w:spacing w:after="60" w:line="240" w:lineRule="auto"/>
            </w:pPr>
            <w:r>
              <w:rPr>
                <w:rFonts w:ascii="Arial" w:hAnsi="Arial"/>
                <w:sz w:val="18"/>
              </w:rPr>
              <w:t>• Required historical REGDEV source records must remain accessible through the agreed source strategy following migration.</w:t>
            </w:r>
          </w:p>
          <w:p>
            <w:pPr>
              <w:spacing w:after="60" w:line="240" w:lineRule="auto"/>
            </w:pPr>
            <w:r>
              <w:rPr>
                <w:rFonts w:ascii="Arial" w:hAnsi="Arial"/>
                <w:sz w:val="18"/>
              </w:rPr>
              <w:t>• The Phase 1 build approach must be able to accommodate the agreed transition between RegRoom and CUBE; CUBE migration should not be treated as an automatic blocker unless the required data/source strategy makes it so.</w:t>
            </w:r>
          </w:p>
          <w:p>
            <w:pPr>
              <w:spacing w:after="60" w:line="240" w:lineRule="auto"/>
            </w:pPr>
            <w:r>
              <w:rPr>
                <w:rFonts w:ascii="Arial" w:hAnsi="Arial"/>
                <w:sz w:val="18"/>
              </w:rPr>
              <w:t>• The owner of the RegRoom → CUBE migration dependency and the agreed impact/contingency approach for material migration changes must be identified.</w:t>
            </w:r>
          </w:p>
          <w:p>
            <w:pPr>
              <w:spacing w:after="60" w:line="240" w:lineRule="auto"/>
            </w:pPr>
            <w:r>
              <w:rPr>
                <w:rFonts w:ascii="Arial" w:hAnsi="Arial"/>
                <w:sz w:val="18"/>
              </w:rPr>
              <w:t>• Required source-system access and permissions must be available for the agreed Phase 1 source.</w:t>
            </w:r>
          </w:p>
          <w:p>
            <w:pPr>
              <w:spacing w:after="60" w:line="240" w:lineRule="auto"/>
            </w:pPr>
            <w:r>
              <w:rPr>
                <w:rFonts w:ascii="Arial" w:hAnsi="Arial"/>
                <w:sz w:val="18"/>
              </w:rPr>
            </w:r>
          </w:p>
          <w:p>
            <w:pPr>
              <w:spacing w:after="60" w:line="240" w:lineRule="auto"/>
            </w:pPr>
            <w:r>
              <w:rPr>
                <w:rFonts w:ascii="Arial" w:hAnsi="Arial"/>
                <w:b/>
                <w:sz w:val="18"/>
              </w:rPr>
              <w:t>Data Dependencies</w:t>
            </w:r>
          </w:p>
          <w:p>
            <w:pPr>
              <w:spacing w:after="60" w:line="240" w:lineRule="auto"/>
            </w:pPr>
            <w:r>
              <w:rPr>
                <w:rFonts w:ascii="Arial" w:hAnsi="Arial"/>
                <w:sz w:val="18"/>
              </w:rPr>
            </w:r>
          </w:p>
          <w:p>
            <w:pPr>
              <w:spacing w:after="60" w:line="240" w:lineRule="auto"/>
            </w:pPr>
            <w:r>
              <w:rPr>
                <w:rFonts w:ascii="Arial" w:hAnsi="Arial"/>
                <w:sz w:val="18"/>
              </w:rPr>
              <w:t>• Availability and accessibility of required Helios Risk data.</w:t>
            </w:r>
          </w:p>
          <w:p>
            <w:pPr>
              <w:spacing w:after="60" w:line="240" w:lineRule="auto"/>
            </w:pPr>
            <w:r>
              <w:rPr>
                <w:rFonts w:ascii="Arial" w:hAnsi="Arial"/>
                <w:sz w:val="18"/>
              </w:rPr>
              <w:t>• Availability and accessibility of L1 Library Control and L1 Control Instance data.</w:t>
            </w:r>
          </w:p>
          <w:p>
            <w:pPr>
              <w:spacing w:after="60" w:line="240" w:lineRule="auto"/>
            </w:pPr>
            <w:r>
              <w:rPr>
                <w:rFonts w:ascii="Arial" w:hAnsi="Arial"/>
                <w:sz w:val="18"/>
              </w:rPr>
              <w:t>• Availability and accessibility of RegMap data, **if confirmed as a Phase 1 requirement**.</w:t>
            </w:r>
          </w:p>
          <w:p>
            <w:pPr>
              <w:spacing w:after="60" w:line="240" w:lineRule="auto"/>
            </w:pPr>
            <w:r>
              <w:rPr>
                <w:rFonts w:ascii="Arial" w:hAnsi="Arial"/>
                <w:sz w:val="18"/>
              </w:rPr>
              <w:t>• Availability of the relevant Risk Taxonomy/reference data where required by the agreed solution design.</w:t>
            </w:r>
          </w:p>
          <w:p>
            <w:pPr>
              <w:spacing w:after="60" w:line="240" w:lineRule="auto"/>
            </w:pPr>
            <w:r>
              <w:rPr>
                <w:rFonts w:ascii="Arial" w:hAnsi="Arial"/>
                <w:sz w:val="18"/>
              </w:rPr>
              <w:t>• Availability of required historical REGDEV source records.</w:t>
            </w:r>
          </w:p>
          <w:p>
            <w:pPr>
              <w:spacing w:after="60" w:line="240" w:lineRule="auto"/>
            </w:pPr>
            <w:r>
              <w:rPr>
                <w:rFonts w:ascii="Arial" w:hAnsi="Arial"/>
                <w:sz w:val="18"/>
              </w:rPr>
              <w:t>• Availability of historical linkage information, where it exists; historical source records must not be assumed to constitute validated historical linkage data.</w:t>
            </w:r>
          </w:p>
          <w:p>
            <w:pPr>
              <w:spacing w:after="60" w:line="240" w:lineRule="auto"/>
            </w:pPr>
            <w:r>
              <w:rPr>
                <w:rFonts w:ascii="Arial" w:hAnsi="Arial"/>
                <w:sz w:val="18"/>
              </w:rPr>
              <w:t>• Availability of required identifiers and fields to establish relationships across source systems.</w:t>
            </w:r>
          </w:p>
          <w:p>
            <w:pPr>
              <w:spacing w:after="60" w:line="240" w:lineRule="auto"/>
            </w:pPr>
            <w:r>
              <w:rPr>
                <w:rFonts w:ascii="Arial" w:hAnsi="Arial"/>
                <w:sz w:val="18"/>
              </w:rPr>
              <w:t>• Data completeness, quality, duplication and versioning must be sufficient for the agreed Phase 1 use case.</w:t>
            </w:r>
          </w:p>
          <w:p>
            <w:pPr>
              <w:spacing w:after="60" w:line="240" w:lineRule="auto"/>
            </w:pPr>
            <w:r>
              <w:rPr>
                <w:rFonts w:ascii="Arial" w:hAnsi="Arial"/>
                <w:sz w:val="18"/>
              </w:rPr>
              <w:t>• Required data access, permissions and environments must be provisioned in time for development and validation.</w:t>
            </w:r>
          </w:p>
          <w:p>
            <w:pPr>
              <w:spacing w:after="60" w:line="240" w:lineRule="auto"/>
            </w:pPr>
            <w:r>
              <w:rPr>
                <w:rFonts w:ascii="Arial" w:hAnsi="Arial"/>
                <w:sz w:val="18"/>
              </w:rPr>
              <w:t>• Relevant data ownership and source-system ownership must be confirmed.</w:t>
            </w:r>
          </w:p>
          <w:p>
            <w:pPr>
              <w:spacing w:after="60" w:line="240" w:lineRule="auto"/>
            </w:pPr>
            <w:r>
              <w:rPr>
                <w:rFonts w:ascii="Arial" w:hAnsi="Arial"/>
                <w:sz w:val="18"/>
              </w:rPr>
            </w:r>
          </w:p>
          <w:p>
            <w:pPr>
              <w:spacing w:after="60" w:line="240" w:lineRule="auto"/>
            </w:pPr>
            <w:r>
              <w:rPr>
                <w:rFonts w:ascii="Arial" w:hAnsi="Arial"/>
                <w:b/>
                <w:sz w:val="18"/>
              </w:rPr>
              <w:t>SME / Validation / Reference Dataset Dependency</w:t>
            </w:r>
          </w:p>
          <w:p>
            <w:pPr>
              <w:spacing w:after="60" w:line="240" w:lineRule="auto"/>
            </w:pPr>
            <w:r>
              <w:rPr>
                <w:rFonts w:ascii="Arial" w:hAnsi="Arial"/>
                <w:sz w:val="18"/>
              </w:rPr>
            </w:r>
          </w:p>
          <w:p>
            <w:pPr>
              <w:spacing w:after="60" w:line="240" w:lineRule="auto"/>
            </w:pPr>
            <w:r>
              <w:rPr>
                <w:rFonts w:ascii="Arial" w:hAnsi="Arial"/>
                <w:sz w:val="18"/>
              </w:rPr>
              <w:t>• There is currently no assumed reliable, validated historical linked-alert dataset that can serve as a baseline or authoritative ground truth for Phase 1 performance evaluation.</w:t>
            </w:r>
          </w:p>
          <w:p>
            <w:pPr>
              <w:spacing w:after="60" w:line="240" w:lineRule="auto"/>
            </w:pPr>
            <w:r>
              <w:rPr>
                <w:rFonts w:ascii="Arial" w:hAnsi="Arial"/>
                <w:sz w:val="18"/>
              </w:rPr>
              <w:t>• In the absence of such historical validated linkages, manual review and validation of solution-generated recommendations by designated Business/SME users is a critical Phase 1 dependency.</w:t>
            </w:r>
          </w:p>
          <w:p>
            <w:pPr>
              <w:spacing w:after="60" w:line="240" w:lineRule="auto"/>
            </w:pPr>
            <w:r>
              <w:rPr>
                <w:rFonts w:ascii="Arial" w:hAnsi="Arial"/>
                <w:sz w:val="18"/>
              </w:rPr>
              <w:t>• Sufficient SME capacity and timely turnaround will be required to review predicted linkages and determine the appropriate linkage outcome.</w:t>
            </w:r>
          </w:p>
          <w:p>
            <w:pPr>
              <w:spacing w:after="60" w:line="240" w:lineRule="auto"/>
            </w:pPr>
            <w:r>
              <w:rPr>
                <w:rFonts w:ascii="Arial" w:hAnsi="Arial"/>
                <w:sz w:val="18"/>
              </w:rPr>
              <w:t>• The SME-validated outcomes will form the Phase 1 reference/golden dataset required to establish a baseline and evaluate solution performance.</w:t>
            </w:r>
          </w:p>
          <w:p>
            <w:pPr>
              <w:spacing w:after="60" w:line="240" w:lineRule="auto"/>
            </w:pPr>
            <w:r>
              <w:rPr>
                <w:rFonts w:ascii="Arial" w:hAnsi="Arial"/>
                <w:sz w:val="18"/>
              </w:rPr>
              <w:t>• Timely completion of SME validation is therefore a material dependency for solution evaluation and subsequent UAT.</w:t>
            </w:r>
          </w:p>
          <w:p>
            <w:pPr>
              <w:spacing w:after="60" w:line="240" w:lineRule="auto"/>
            </w:pPr>
            <w:r>
              <w:rPr>
                <w:rFonts w:ascii="Arial" w:hAnsi="Arial"/>
                <w:sz w:val="18"/>
              </w:rPr>
            </w:r>
          </w:p>
          <w:p>
            <w:pPr>
              <w:spacing w:after="60" w:line="240" w:lineRule="auto"/>
            </w:pPr>
            <w:r>
              <w:rPr>
                <w:rFonts w:ascii="Arial" w:hAnsi="Arial"/>
                <w:b/>
                <w:sz w:val="18"/>
              </w:rPr>
              <w:t>Other Dependencies</w:t>
            </w:r>
          </w:p>
          <w:p>
            <w:pPr>
              <w:spacing w:after="60" w:line="240" w:lineRule="auto"/>
            </w:pPr>
            <w:r>
              <w:rPr>
                <w:rFonts w:ascii="Arial" w:hAnsi="Arial"/>
                <w:sz w:val="18"/>
              </w:rPr>
            </w:r>
          </w:p>
          <w:p>
            <w:pPr>
              <w:spacing w:after="60" w:line="240" w:lineRule="auto"/>
            </w:pPr>
            <w:r>
              <w:rPr>
                <w:rFonts w:ascii="Arial" w:hAnsi="Arial"/>
                <w:sz w:val="18"/>
              </w:rPr>
              <w:t>• Availability of required development and test environments.</w:t>
            </w:r>
          </w:p>
          <w:p>
            <w:pPr>
              <w:spacing w:after="60" w:line="240" w:lineRule="auto"/>
            </w:pPr>
            <w:r>
              <w:rPr>
                <w:rFonts w:ascii="Arial" w:hAnsi="Arial"/>
                <w:sz w:val="18"/>
              </w:rPr>
              <w:t>• Availability of relevant technology/platform access and permissions.</w:t>
            </w:r>
          </w:p>
          <w:p>
            <w:pPr>
              <w:spacing w:after="60" w:line="240" w:lineRule="auto"/>
            </w:pPr>
            <w:r>
              <w:rPr>
                <w:rFonts w:ascii="Arial" w:hAnsi="Arial"/>
                <w:sz w:val="18"/>
              </w:rPr>
              <w:t>• Timely resolution of data, access or source-system issues that may affect development or validation.</w:t>
            </w:r>
          </w:p>
          <w:p>
            <w:pPr>
              <w:spacing w:after="60" w:line="240" w:lineRule="auto"/>
            </w:pPr>
            <w:r>
              <w:rPr>
                <w:rFonts w:ascii="Arial" w:hAnsi="Arial"/>
                <w:sz w:val="18"/>
              </w:rPr>
              <w:t>• Availability of Business/SME representatives for requirement clarification, validation and UAT.</w:t>
            </w:r>
          </w:p>
        </w:tc>
      </w:tr>
      <w:tr>
        <w:tc>
          <w:tcPr>
            <w:tcW w:type="dxa" w:w="2376"/>
            <w:vAlign w:val="center"/>
          </w:tcPr>
          <w:p>
            <w:pPr>
              <w:spacing w:after="0"/>
            </w:pPr>
            <w:r>
              <w:rPr>
                <w:rFonts w:ascii="Arial" w:hAnsi="Arial"/>
                <w:b/>
                <w:sz w:val="19"/>
              </w:rPr>
              <w:t>End Users</w:t>
            </w:r>
          </w:p>
        </w:tc>
        <w:tc>
          <w:tcPr>
            <w:tcW w:type="dxa" w:w="8280"/>
            <w:vAlign w:val="top"/>
          </w:tcPr>
          <w:p>
            <w:pPr>
              <w:spacing w:after="60" w:line="240" w:lineRule="auto"/>
            </w:pPr>
            <w:r/>
            <w:r>
              <w:rPr>
                <w:rFonts w:ascii="Arial" w:hAnsi="Arial"/>
                <w:sz w:val="18"/>
              </w:rPr>
              <w:t>GARGI MUKHERJEE</w:t>
            </w:r>
          </w:p>
          <w:p>
            <w:pPr>
              <w:spacing w:after="60" w:line="240" w:lineRule="auto"/>
            </w:pPr>
            <w:r>
              <w:rPr>
                <w:rFonts w:ascii="Arial" w:hAnsi="Arial"/>
                <w:sz w:val="18"/>
              </w:rPr>
              <w:t>CHAN GILL</w:t>
            </w:r>
          </w:p>
        </w:tc>
      </w:tr>
      <w:tr>
        <w:tc>
          <w:tcPr>
            <w:tcW w:type="dxa" w:w="2376"/>
            <w:vAlign w:val="center"/>
          </w:tcPr>
          <w:p>
            <w:pPr>
              <w:spacing w:after="0"/>
            </w:pPr>
            <w:r>
              <w:rPr>
                <w:rFonts w:ascii="Arial" w:hAnsi="Arial"/>
                <w:b/>
                <w:sz w:val="19"/>
              </w:rPr>
              <w:t>Timelines</w:t>
            </w:r>
          </w:p>
        </w:tc>
        <w:tc>
          <w:tcPr>
            <w:tcW w:type="dxa" w:w="8280"/>
            <w:vAlign w:val="top"/>
          </w:tcPr>
          <w:p>
            <w:pPr>
              <w:spacing w:after="60" w:line="240" w:lineRule="auto"/>
            </w:pPr>
            <w:r/>
            <w:r>
              <w:rPr>
                <w:rFonts w:ascii="Arial" w:hAnsi="Arial"/>
                <w:sz w:val="18"/>
              </w:rPr>
              <w:t>Please refer to the separate Project Delivery Plan for development milestones, UAT, deployment and Go-Live timelines.</w:t>
            </w:r>
          </w:p>
          <w:p>
            <w:pPr>
              <w:spacing w:after="60" w:line="240" w:lineRule="auto"/>
            </w:pPr>
            <w:r>
              <w:rPr>
                <w:rFonts w:ascii="Arial" w:hAnsi="Arial"/>
                <w:sz w:val="18"/>
              </w:rPr>
            </w:r>
          </w:p>
          <w:p>
            <w:pPr>
              <w:spacing w:after="60" w:line="240" w:lineRule="auto"/>
            </w:pPr>
            <w:r>
              <w:rPr>
                <w:rFonts w:ascii="Arial" w:hAnsi="Arial"/>
                <w:sz w:val="18"/>
              </w:rPr>
              <w:t>This scope document is intended to define and freeze the Phase 1 business scope, boundaries, required inputs, expected outputs, assumptions and dependencies; detailed delivery sequencing is maintained separately.</w:t>
            </w:r>
          </w:p>
        </w:tc>
      </w:tr>
    </w:tbl>
    <w:p/>
    <w:p>
      <w:r>
        <w:rPr>
          <w:b/>
        </w:rPr>
        <w:t xml:space="preserve">Document boundary: </w:t>
      </w:r>
      <w:r>
        <w:t>This scope freezes the Phase 1 business scope, boundaries, inputs, outputs, assumptions and dependencies. Detailed AI/ML evaluation, delivery planning and downstream TOR/MDT governance are maintained separately.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