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34"/>
          <w:szCs w:val="34"/>
        </w:rPr>
        <w:t xml:space="preserve">Concept Note: SME Validation for the Control-Linkage Model</w:t>
      </w:r>
    </w:p>
    <w:p>
      <w:pPr>
        <w:spacing w:after="40"/>
      </w:pPr>
      <w:r>
        <w:rPr>
          <w:i/>
          <w:iCs/>
          <w:color w:val="595959"/>
          <w:sz w:val="22"/>
          <w:szCs w:val="22"/>
        </w:rPr>
        <w:t xml:space="preserve">Establishing a control-level ground truth to measure and assure the Impact Assessment tool</w:t>
      </w:r>
    </w:p>
    <w:p>
      <w:pPr>
        <w:pBdr>
          <w:bottom w:val="single" w:color="C00000" w:sz="6"/>
        </w:pBdr>
        <w:spacing w:after="160"/>
      </w:pPr>
      <w:r>
        <w:rPr>
          <w:color w:val="595959"/>
          <w:sz w:val="18"/>
          <w:szCs w:val="18"/>
        </w:rPr>
        <w:t xml:space="preserve">Audience: Product Owner · Scrum Master · Analytics Leadership     |     Status: For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BLUF (Bottom Line Up Front)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4"/>
            </w:pPr>
            <w:r>
              <w:rPr>
                <w:sz w:val="21"/>
                <w:szCs w:val="21"/>
              </w:rPr>
              <w:t xml:space="preserve">We cannot state the model's true accuracy until SMEs confirm which alert-to-control links are genuinely correct — there is no reliable measure of recall without a human-validated ground truth.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4"/>
            </w:pPr>
            <w:r>
              <w:rPr>
                <w:sz w:val="21"/>
                <w:szCs w:val="21"/>
              </w:rPr>
              <w:t xml:space="preserve">The current reference (“golden”) dataset maps alerts to </w:t>
            </w:r>
            <w:r>
              <w:rPr>
                <w:b/>
                <w:bCs/>
                <w:sz w:val="21"/>
                <w:szCs w:val="21"/>
              </w:rPr>
              <w:t xml:space="preserve">whole regulations, not specific controls</w:t>
            </w:r>
            <w:r>
              <w:rPr>
                <w:sz w:val="21"/>
                <w:szCs w:val="21"/>
              </w:rPr>
              <w:t xml:space="preserve">, inflating the link count ~30×, so the model cannot be fairly measured against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4"/>
            </w:pPr>
            <w:r>
              <w:rPr>
                <w:sz w:val="21"/>
                <w:szCs w:val="21"/>
              </w:rPr>
              <w:t xml:space="preserve">We are therefore raising a requirement for a </w:t>
            </w:r>
            <w:r>
              <w:rPr>
                <w:b/>
                <w:bCs/>
                <w:sz w:val="21"/>
                <w:szCs w:val="21"/>
              </w:rPr>
              <w:t xml:space="preserve">focused SME validation exercise</w:t>
            </w:r>
            <w:r>
              <w:rPr>
                <w:sz w:val="21"/>
                <w:szCs w:val="21"/>
              </w:rPr>
              <w:t xml:space="preserve"> to establish a control-level ground truth.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line="264"/>
            </w:pPr>
            <w:r>
              <w:rPr>
                <w:sz w:val="21"/>
                <w:szCs w:val="21"/>
              </w:rPr>
              <w:t xml:space="preserve">This note sets out </w:t>
            </w:r>
            <w:r>
              <w:rPr>
                <w:i/>
                <w:iCs/>
                <w:sz w:val="21"/>
                <w:szCs w:val="21"/>
              </w:rPr>
              <w:t xml:space="preserve">why</w:t>
            </w:r>
            <w:r>
              <w:rPr>
                <w:sz w:val="21"/>
                <w:szCs w:val="21"/>
              </w:rPr>
              <w:t xml:space="preserve"> it is needed, </w:t>
            </w:r>
            <w:r>
              <w:rPr>
                <w:i/>
                <w:iCs/>
                <w:sz w:val="21"/>
                <w:szCs w:val="21"/>
              </w:rPr>
              <w:t xml:space="preserve">what we ask SMEs to review</w:t>
            </w:r>
            <w:r>
              <w:rPr>
                <w:sz w:val="21"/>
                <w:szCs w:val="21"/>
              </w:rPr>
              <w:t xml:space="preserve">, and the </w:t>
            </w:r>
            <w:r>
              <w:rPr>
                <w:i/>
                <w:iCs/>
                <w:sz w:val="21"/>
                <w:szCs w:val="21"/>
              </w:rPr>
              <w:t xml:space="preserve">sampling technicalities</w:t>
            </w:r>
            <w:r>
              <w:rPr>
                <w:sz w:val="21"/>
                <w:szCs w:val="21"/>
              </w:rPr>
              <w:t xml:space="preserve">. Resourcing the SMEs sits with the Product Owner.</w:t>
            </w:r>
          </w:p>
        </w:tc>
      </w:tr>
    </w:tbl>
    <w:p>
      <w:pPr>
        <w:spacing w:after="60"/>
      </w:pPr>
    </w:p>
    <w:p>
      <w:pPr>
        <w:pStyle w:val="Heading1"/>
        <w:spacing w:after="120" w:before="260"/>
      </w:pPr>
      <w:r>
        <w:rPr>
          <w:b/>
          <w:bCs/>
          <w:color w:val="1F3864"/>
          <w:sz w:val="28"/>
          <w:szCs w:val="28"/>
        </w:rPr>
        <w:t xml:space="preserve">A.  Why we need SME validation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The model links incoming regulatory alerts to internal controls. Before the business can rely on it, one question must be answered: </w:t>
      </w:r>
      <w:r>
        <w:rPr>
          <w:i/>
          <w:iCs/>
          <w:sz w:val="21"/>
          <w:szCs w:val="21"/>
        </w:rPr>
        <w:t xml:space="preserve">how accurate is it?</w:t>
      </w:r>
      <w:r>
        <w:rPr>
          <w:sz w:val="21"/>
          <w:szCs w:val="21"/>
        </w:rPr>
        <w:t xml:space="preserve"> We cannot answer that today — and here is the precise reason.</w:t>
      </w:r>
    </w:p>
    <w:p>
      <w:pPr>
        <w:pStyle w:val="Heading2"/>
        <w:spacing w:after="90" w:before="180"/>
      </w:pPr>
      <w:r>
        <w:rPr>
          <w:b/>
          <w:bCs/>
          <w:color w:val="1F3864"/>
          <w:sz w:val="24"/>
          <w:szCs w:val="24"/>
        </w:rPr>
        <w:t xml:space="preserve">We cannot measure accuracy without a validated ground truth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Accuracy (recall and precision) can only be calculated against a </w:t>
      </w:r>
      <w:r>
        <w:rPr>
          <w:b/>
          <w:bCs/>
          <w:sz w:val="21"/>
          <w:szCs w:val="21"/>
        </w:rPr>
        <w:t xml:space="preserve">known set of correct answers</w:t>
      </w:r>
      <w:r>
        <w:rPr>
          <w:sz w:val="21"/>
          <w:szCs w:val="21"/>
        </w:rPr>
        <w:t xml:space="preserve">. For this problem, that means a list of the alert-to-control links that are genuinely correct — and </w:t>
      </w:r>
      <w:r>
        <w:rPr>
          <w:b/>
          <w:bCs/>
          <w:sz w:val="21"/>
          <w:szCs w:val="21"/>
        </w:rPr>
        <w:t xml:space="preserve">only a Subject-Matter Expert can confirm which links are genuinely correct</w:t>
      </w:r>
      <w:r>
        <w:rPr>
          <w:sz w:val="21"/>
          <w:szCs w:val="21"/>
        </w:rPr>
        <w:t xml:space="preserve">. Until SMEs validate a set of actual links, we have no trustworthy benchmark to measure the model against. In short: no SME-validated truth, no measurable recall.</w:t>
      </w:r>
    </w:p>
    <w:p>
      <w:pPr>
        <w:pStyle w:val="Heading2"/>
        <w:spacing w:after="90" w:before="180"/>
      </w:pPr>
      <w:r>
        <w:rPr>
          <w:b/>
          <w:bCs/>
          <w:color w:val="1F3864"/>
          <w:sz w:val="24"/>
          <w:szCs w:val="24"/>
        </w:rPr>
        <w:t xml:space="preserve">The existing reference data cannot serve as that truth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The reference (“golden”) dataset we currently hold maps alerts to </w:t>
      </w:r>
      <w:r>
        <w:rPr>
          <w:b/>
          <w:bCs/>
          <w:sz w:val="21"/>
          <w:szCs w:val="21"/>
        </w:rPr>
        <w:t xml:space="preserve">whole regulations, not to the specific controls that matter</w:t>
      </w:r>
      <w:r>
        <w:rPr>
          <w:sz w:val="21"/>
          <w:szCs w:val="21"/>
        </w:rPr>
        <w:t xml:space="preserve">. It therefore treats every control beneath a touched regulation as “linked,” including many that the alert does not affect. This inflates the recorded link count by roughly 30×. Measured against it, the model looks far worse than it is — not because it underperforms, but because the yardstick is broken.</w:t>
      </w:r>
    </w:p>
    <w:p>
      <w:pPr>
        <w:pStyle w:val="Heading2"/>
        <w:spacing w:after="90" w:before="180"/>
      </w:pPr>
      <w:r>
        <w:rPr>
          <w:b/>
          <w:bCs/>
          <w:color w:val="1F3864"/>
          <w:sz w:val="24"/>
          <w:szCs w:val="24"/>
        </w:rPr>
        <w:t xml:space="preserve">SME validation also unlocks the links the model finds that humans missed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The business has confirmed the reference set is not exhaustive: a recorded link does not mean no other link exists. The model surfaces </w:t>
      </w:r>
      <w:r>
        <w:rPr>
          <w:b/>
          <w:bCs/>
          <w:sz w:val="21"/>
          <w:szCs w:val="21"/>
        </w:rPr>
        <w:t xml:space="preserve">candidate links the manual process never recorded</w:t>
      </w:r>
      <w:r>
        <w:rPr>
          <w:sz w:val="21"/>
          <w:szCs w:val="21"/>
        </w:rPr>
        <w:t xml:space="preserve">. Only SMEs can confirm whether these are genuine — turning them into confirmed, reusable knowledge and steadily improving the reference set.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both"/>
            </w:pPr>
            <w:r>
              <w:rPr>
                <w:b/>
                <w:bCs/>
                <w:color w:val="C00000"/>
                <w:sz w:val="21"/>
                <w:szCs w:val="21"/>
              </w:rPr>
              <w:t xml:space="preserve">In one line: </w:t>
            </w:r>
            <w:r>
              <w:rPr>
                <w:sz w:val="21"/>
                <w:szCs w:val="21"/>
              </w:rPr>
              <w:t xml:space="preserve">we cannot prove how good the model is until SMEs tell us which links are truly correct. That validated truth is the missing input — and it is a data need, not a model shortcoming.</w:t>
            </w:r>
          </w:p>
        </w:tc>
      </w:tr>
    </w:tbl>
    <w:p>
      <w:pPr>
        <w:spacing w:after="60"/>
      </w:pPr>
    </w:p>
    <w:p>
      <w:pPr>
        <w:pStyle w:val="Heading1"/>
        <w:spacing w:after="120" w:before="260"/>
      </w:pPr>
      <w:r>
        <w:rPr>
          <w:b/>
          <w:bCs/>
          <w:color w:val="1F3864"/>
          <w:sz w:val="28"/>
          <w:szCs w:val="28"/>
        </w:rPr>
        <w:t xml:space="preserve">B.  What we are asking SMEs to review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The goal is a </w:t>
      </w:r>
      <w:r>
        <w:rPr>
          <w:b/>
          <w:bCs/>
          <w:sz w:val="21"/>
          <w:szCs w:val="21"/>
        </w:rPr>
        <w:t xml:space="preserve">control-level, SME-confirmed set of alert-to-control links</w:t>
      </w:r>
      <w:r>
        <w:rPr>
          <w:sz w:val="21"/>
          <w:szCs w:val="21"/>
        </w:rPr>
        <w:t xml:space="preserve"> that we can measure the model against. For a sampled set of alert-control pairs, the tool provides everything needed for review — the alert text, the control text, the model’s decision, and a short rationale — so SMEs judge pre-assembled pairs rather than searching from scratch.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There are three specific asks, and the review must be </w:t>
      </w:r>
      <w:r>
        <w:rPr>
          <w:b/>
          <w:bCs/>
          <w:sz w:val="21"/>
          <w:szCs w:val="21"/>
        </w:rPr>
        <w:t xml:space="preserve">balanced across both directions</w:t>
      </w:r>
      <w:r>
        <w:rPr>
          <w:sz w:val="21"/>
          <w:szCs w:val="21"/>
        </w:rPr>
        <w:t xml:space="preserve"> — links the model predicted, and links the model rejected — so we capture both false positives and false negatives:</w:t>
      </w:r>
    </w:p>
    <w:p>
      <w:pPr>
        <w:pStyle w:val="Heading2"/>
        <w:spacing w:after="90" w:before="180"/>
      </w:pPr>
      <w:r>
        <w:rPr>
          <w:b/>
          <w:bCs/>
          <w:color w:val="1F3864"/>
          <w:sz w:val="24"/>
          <w:szCs w:val="24"/>
        </w:rPr>
        <w:t xml:space="preserve">Ask 1 — Validate the predicted links (is a predicted link correct?)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For each pair the model predicted as </w:t>
      </w:r>
      <w:r>
        <w:rPr>
          <w:b/>
          <w:bCs/>
          <w:sz w:val="21"/>
          <w:szCs w:val="21"/>
        </w:rPr>
        <w:t xml:space="preserve">LINKED</w:t>
      </w:r>
      <w:r>
        <w:rPr>
          <w:sz w:val="21"/>
          <w:szCs w:val="21"/>
        </w:rPr>
        <w:t xml:space="preserve">, the SME confirms whether it is a </w:t>
      </w:r>
      <w:r>
        <w:rPr>
          <w:b/>
          <w:bCs/>
          <w:sz w:val="21"/>
          <w:szCs w:val="21"/>
        </w:rPr>
        <w:t xml:space="preserve">correct link or not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Where it is </w:t>
      </w:r>
      <w:r>
        <w:rPr>
          <w:i/>
          <w:iCs/>
          <w:sz w:val="21"/>
          <w:szCs w:val="21"/>
        </w:rPr>
        <w:t xml:space="preserve">not</w:t>
      </w:r>
      <w:r>
        <w:rPr>
          <w:sz w:val="21"/>
          <w:szCs w:val="21"/>
        </w:rPr>
        <w:t xml:space="preserve"> a correct link, the SME briefly notes </w:t>
      </w:r>
      <w:r>
        <w:rPr>
          <w:b/>
          <w:bCs/>
          <w:sz w:val="21"/>
          <w:szCs w:val="21"/>
        </w:rPr>
        <w:t xml:space="preserve">why</w:t>
      </w:r>
      <w:r>
        <w:rPr>
          <w:sz w:val="21"/>
          <w:szCs w:val="21"/>
        </w:rPr>
        <w:t xml:space="preserve"> (e.g. wrong product, different obligation, unrelated process).</w:t>
      </w:r>
    </w:p>
    <w:p>
      <w:pPr>
        <w:pStyle w:val="Heading2"/>
        <w:spacing w:after="90" w:before="180"/>
      </w:pPr>
      <w:r>
        <w:rPr>
          <w:b/>
          <w:bCs/>
          <w:color w:val="1F3864"/>
          <w:sz w:val="24"/>
          <w:szCs w:val="24"/>
        </w:rPr>
        <w:t xml:space="preserve">Ask 2 — Flag common issues / patterns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Where SMEs notice </w:t>
      </w:r>
      <w:r>
        <w:rPr>
          <w:b/>
          <w:bCs/>
          <w:sz w:val="21"/>
          <w:szCs w:val="21"/>
        </w:rPr>
        <w:t xml:space="preserve">recurring reasons</w:t>
      </w:r>
      <w:r>
        <w:rPr>
          <w:sz w:val="21"/>
          <w:szCs w:val="21"/>
        </w:rPr>
        <w:t xml:space="preserve"> a predicted link is wrong (or right), they capture a short observation. These patterns feed directly into improving the model’s judgement.</w:t>
      </w:r>
    </w:p>
    <w:p>
      <w:pPr>
        <w:pStyle w:val="Heading2"/>
        <w:spacing w:after="90" w:before="180"/>
      </w:pPr>
      <w:r>
        <w:rPr>
          <w:b/>
          <w:bCs/>
          <w:color w:val="1F3864"/>
          <w:sz w:val="24"/>
          <w:szCs w:val="24"/>
        </w:rPr>
        <w:t xml:space="preserve">Ask 3 — Validate the rejected links (are the non-links correct?)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For a sample of pairs the model predicted as </w:t>
      </w:r>
      <w:r>
        <w:rPr>
          <w:b/>
          <w:bCs/>
          <w:sz w:val="21"/>
          <w:szCs w:val="21"/>
        </w:rPr>
        <w:t xml:space="preserve">NOT LINKED</w:t>
      </w:r>
      <w:r>
        <w:rPr>
          <w:sz w:val="21"/>
          <w:szCs w:val="21"/>
        </w:rPr>
        <w:t xml:space="preserve">, the SME confirms whether that </w:t>
      </w:r>
      <w:r>
        <w:rPr>
          <w:b/>
          <w:bCs/>
          <w:sz w:val="21"/>
          <w:szCs w:val="21"/>
        </w:rPr>
        <w:t xml:space="preserve">rejection was correct</w:t>
      </w:r>
      <w:r>
        <w:rPr>
          <w:sz w:val="21"/>
          <w:szCs w:val="21"/>
        </w:rPr>
        <w:t xml:space="preserve"> — i.e. the two genuinely do not link — or whether a real link was missed.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Together, Asks 1 and 3 give a balanced picture: Ask 1 tests where the model may </w:t>
      </w:r>
      <w:r>
        <w:rPr>
          <w:i/>
          <w:iCs/>
          <w:sz w:val="21"/>
          <w:szCs w:val="21"/>
        </w:rPr>
        <w:t xml:space="preserve">over-link</w:t>
      </w:r>
      <w:r>
        <w:rPr>
          <w:sz w:val="21"/>
          <w:szCs w:val="21"/>
        </w:rPr>
        <w:t xml:space="preserve"> (false positives); Ask 3 tests where it may </w:t>
      </w:r>
      <w:r>
        <w:rPr>
          <w:i/>
          <w:iCs/>
          <w:sz w:val="21"/>
          <w:szCs w:val="21"/>
        </w:rPr>
        <w:t xml:space="preserve">miss a real link</w:t>
      </w:r>
      <w:r>
        <w:rPr>
          <w:sz w:val="21"/>
          <w:szCs w:val="21"/>
        </w:rPr>
        <w:t xml:space="preserve"> (false negatives). Both are required for a fair accuracy measure.</w:t>
      </w:r>
    </w:p>
    <w:p>
      <w:pPr>
        <w:pStyle w:val="Heading2"/>
        <w:spacing w:after="90" w:before="180"/>
      </w:pPr>
      <w:r>
        <w:rPr>
          <w:b/>
          <w:bCs/>
          <w:color w:val="1F3864"/>
          <w:sz w:val="24"/>
          <w:szCs w:val="24"/>
        </w:rPr>
        <w:t xml:space="preserve">What is needed to begin (requirement only)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sz w:val="21"/>
          <w:szCs w:val="21"/>
        </w:rPr>
        <w:t xml:space="preserve">SME availability: </w:t>
      </w:r>
      <w:r>
        <w:rPr>
          <w:sz w:val="21"/>
          <w:szCs w:val="21"/>
        </w:rPr>
        <w:t xml:space="preserve">access to Subject-Matter Experts with control-domain knowledge, for a bounded review exercise. </w:t>
      </w:r>
      <w:r>
        <w:rPr>
          <w:b/>
          <w:bCs/>
          <w:sz w:val="21"/>
          <w:szCs w:val="21"/>
        </w:rPr>
        <w:t xml:space="preserve">Sourcing and scheduling of SMEs sits with the Product Owner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sz w:val="21"/>
          <w:szCs w:val="21"/>
        </w:rPr>
        <w:t xml:space="preserve">A simple review interface: </w:t>
      </w:r>
      <w:r>
        <w:rPr>
          <w:sz w:val="21"/>
          <w:szCs w:val="21"/>
        </w:rPr>
        <w:t xml:space="preserve">a structured review sheet is sufficient for a first pass — no new system required.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sz w:val="21"/>
          <w:szCs w:val="21"/>
        </w:rPr>
        <w:t xml:space="preserve">A one-page adjudication guideline: </w:t>
      </w:r>
      <w:r>
        <w:rPr>
          <w:sz w:val="21"/>
          <w:szCs w:val="21"/>
        </w:rPr>
        <w:t xml:space="preserve">a shared definition of what “linked” means (does the alert change what this control must do?), so verdicts are consistent.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sz w:val="21"/>
          <w:szCs w:val="21"/>
        </w:rPr>
        <w:t xml:space="preserve">A double-review slice: </w:t>
      </w:r>
      <w:r>
        <w:rPr>
          <w:sz w:val="21"/>
          <w:szCs w:val="21"/>
        </w:rPr>
        <w:t xml:space="preserve">a subset reviewed by two SMEs independently, to confirm the guideline is applied consistently (agreement check).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28"/>
          <w:szCs w:val="28"/>
        </w:rPr>
        <w:t xml:space="preserve">C.  Technicalities — sampling and sizing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We do not need SMEs to label all 64,303 pairs — that would be prohibitive and unnecessary. A </w:t>
      </w:r>
      <w:r>
        <w:rPr>
          <w:b/>
          <w:bCs/>
          <w:sz w:val="21"/>
          <w:szCs w:val="21"/>
        </w:rPr>
        <w:t xml:space="preserve">statistically sound sample</w:t>
      </w:r>
      <w:r>
        <w:rPr>
          <w:sz w:val="21"/>
          <w:szCs w:val="21"/>
        </w:rPr>
        <w:t xml:space="preserve"> gives a defensible accuracy estimate at a fraction of the effort. Two complementary samples are proposed:</w:t>
      </w:r>
    </w:p>
    <w:p>
      <w:pPr>
        <w:pStyle w:val="Heading2"/>
        <w:spacing w:after="90" w:before="180"/>
      </w:pPr>
      <w:r>
        <w:rPr>
          <w:b/>
          <w:bCs/>
          <w:color w:val="1F3864"/>
          <w:sz w:val="24"/>
          <w:szCs w:val="24"/>
        </w:rPr>
        <w:t xml:space="preserve">Sample sizing (statistical basis)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For a proportion (e.g. “what % of model links are correct?”) at 95% confidence, the </w:t>
      </w:r>
      <w:r>
        <w:rPr>
          <w:b/>
          <w:bCs/>
          <w:sz w:val="21"/>
          <w:szCs w:val="21"/>
        </w:rPr>
        <w:t xml:space="preserve">required sample grows sharply as the margin of error tightens</w:t>
      </w:r>
      <w:r>
        <w:rPr>
          <w:sz w:val="21"/>
          <w:szCs w:val="21"/>
        </w:rPr>
        <w:t xml:space="preserve">. Concretely (worst-case p=0.5, 95% confidence):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60"/>
        <w:gridCol w:w="39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Margin of error</w:t>
            </w:r>
          </w:p>
        </w:tc>
        <w:tc>
          <w:tcPr>
            <w:tcW w:type="dxa" w:w="2860"/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Approx. pairs to review</w:t>
            </w:r>
          </w:p>
        </w:tc>
        <w:tc>
          <w:tcPr>
            <w:tcW w:type="dxa" w:w="3900"/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Assurance level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±10%</w:t>
            </w:r>
          </w:p>
        </w:tc>
        <w:tc>
          <w:tcPr>
            <w:tcW w:type="dxa" w:w="28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~100</w:t>
            </w:r>
          </w:p>
        </w:tc>
        <w:tc>
          <w:tcPr>
            <w:tcW w:type="dxa" w:w="3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Directional read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±7%</w:t>
            </w:r>
          </w:p>
        </w:tc>
        <w:tc>
          <w:tcPr>
            <w:tcW w:type="dxa" w:w="28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~200</w:t>
            </w:r>
          </w:p>
        </w:tc>
        <w:tc>
          <w:tcPr>
            <w:tcW w:type="dxa" w:w="3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Balanced</w:t>
            </w:r>
          </w:p>
        </w:tc>
      </w:tr>
      <w:tr>
        <w:tc>
          <w:tcPr>
            <w:tcW w:type="dxa" w:w="2600"/>
            <w:shd w:fill="E2EFD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±5%</w:t>
            </w:r>
          </w:p>
        </w:tc>
        <w:tc>
          <w:tcPr>
            <w:tcW w:type="dxa" w:w="2860"/>
            <w:shd w:fill="E2EFD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~380</w:t>
            </w:r>
          </w:p>
        </w:tc>
        <w:tc>
          <w:tcPr>
            <w:tcW w:type="dxa" w:w="3900"/>
            <w:shd w:fill="E2EFD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Recommended (MRM-grade)</w:t>
            </w:r>
          </w:p>
        </w:tc>
      </w:tr>
      <w:tr>
        <w:tc>
          <w:tcPr>
            <w:tcW w:type="dxa" w:w="2600"/>
            <w:shd w:fill="DEEAF6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±1%</w:t>
            </w:r>
          </w:p>
        </w:tc>
        <w:tc>
          <w:tcPr>
            <w:tcW w:type="dxa" w:w="2860"/>
            <w:shd w:fill="DEEAF6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~9,600</w:t>
            </w:r>
          </w:p>
        </w:tc>
        <w:tc>
          <w:tcPr>
            <w:tcW w:type="dxa" w:w="3900"/>
            <w:shd w:fill="DEEAF6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Ideal (near six-sigma)</w:t>
            </w:r>
          </w:p>
        </w:tc>
      </w:tr>
      <w:tr>
        <w:tc>
          <w:tcPr>
            <w:tcW w:type="dxa" w:w="2600"/>
            <w:shd w:fill="DEEAF6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±0.5%</w:t>
            </w:r>
          </w:p>
        </w:tc>
        <w:tc>
          <w:tcPr>
            <w:tcW w:type="dxa" w:w="2860"/>
            <w:shd w:fill="DEEAF6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~38,400</w:t>
            </w:r>
          </w:p>
        </w:tc>
        <w:tc>
          <w:tcPr>
            <w:tcW w:type="dxa" w:w="3900"/>
            <w:shd w:fill="DEEAF6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Ideal (six-sigma) — typically impractical</w:t>
            </w:r>
          </w:p>
        </w:tc>
      </w:tr>
    </w:tbl>
    <w:p>
      <w:pPr>
        <w:spacing w:after="100"/>
      </w:pPr>
    </w:p>
    <w:p>
      <w:pPr>
        <w:pStyle w:val="Heading2"/>
        <w:spacing w:after="90" w:before="180"/>
      </w:pPr>
      <w:r>
        <w:rPr>
          <w:b/>
          <w:bCs/>
          <w:color w:val="1F3864"/>
          <w:sz w:val="24"/>
          <w:szCs w:val="24"/>
        </w:rPr>
        <w:t xml:space="preserve">What to sample (stratified, not random-only)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sz w:val="21"/>
          <w:szCs w:val="21"/>
        </w:rPr>
        <w:t xml:space="preserve">Validated links (model agrees with golden): </w:t>
      </w:r>
      <w:r>
        <w:rPr>
          <w:sz w:val="21"/>
          <w:szCs w:val="21"/>
        </w:rPr>
        <w:t xml:space="preserve">confirm they are genuinely correct — checks the golden itself.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sz w:val="21"/>
          <w:szCs w:val="21"/>
        </w:rPr>
        <w:t xml:space="preserve">Rejected links (model said not-linked, golden said linked): </w:t>
      </w:r>
      <w:r>
        <w:rPr>
          <w:sz w:val="21"/>
          <w:szCs w:val="21"/>
        </w:rPr>
        <w:t xml:space="preserve">the key test — confirm these are correct rejections (over-mapping) vs. true misses.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sz w:val="21"/>
          <w:szCs w:val="21"/>
        </w:rPr>
        <w:t xml:space="preserve">Discoveries (model linked, not in golden): </w:t>
      </w:r>
      <w:r>
        <w:rPr>
          <w:sz w:val="21"/>
          <w:szCs w:val="21"/>
        </w:rPr>
        <w:t xml:space="preserve">measure how many are genuine new links (precision + reference-set growth).</w:t>
      </w:r>
    </w:p>
    <w:p>
      <w:pPr>
        <w:spacing w:after="120" w:line="276"/>
        <w:jc w:val="both"/>
      </w:pPr>
      <w:r>
        <w:rPr>
          <w:b/>
          <w:bCs/>
          <w:sz w:val="21"/>
          <w:szCs w:val="21"/>
        </w:rPr>
        <w:t xml:space="preserve">A practical first tranche: </w:t>
      </w:r>
      <w:r>
        <w:rPr>
          <w:sz w:val="21"/>
          <w:szCs w:val="21"/>
        </w:rPr>
        <w:t xml:space="preserve">~200 pairs stratified across the three buckets above (e.g. ~70 validated, ~70 rejected, ~60 discoveries), of which a subset is double-reviewed for agreement. This yields a defensible first accuracy estimate and a seed control-level golden.</w:t>
      </w:r>
    </w:p>
    <w:p>
      <w:pPr>
        <w:pStyle w:val="Heading2"/>
        <w:spacing w:after="90" w:before="180"/>
      </w:pPr>
      <w:r>
        <w:rPr>
          <w:b/>
          <w:bCs/>
          <w:color w:val="1F3864"/>
          <w:sz w:val="24"/>
          <w:szCs w:val="24"/>
        </w:rPr>
        <w:t xml:space="preserve">Outputs and success criteria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sz w:val="21"/>
          <w:szCs w:val="21"/>
        </w:rPr>
        <w:t xml:space="preserve">A human-verified recall &amp; precision figure </w:t>
      </w:r>
      <w:r>
        <w:rPr>
          <w:sz w:val="21"/>
          <w:szCs w:val="21"/>
        </w:rPr>
        <w:t xml:space="preserve">for the model, suitable for MRM and leadership reporting.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sz w:val="21"/>
          <w:szCs w:val="21"/>
        </w:rPr>
        <w:t xml:space="preserve">Inter-rater agreement </w:t>
      </w:r>
      <w:r>
        <w:rPr>
          <w:sz w:val="21"/>
          <w:szCs w:val="21"/>
        </w:rPr>
        <w:t xml:space="preserve">(e.g. Cohen’s kappa) confirming the adjudication guideline is applied consistently.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sz w:val="21"/>
          <w:szCs w:val="21"/>
        </w:rPr>
        <w:t xml:space="preserve">A seed control-level golden </w:t>
      </w:r>
      <w:r>
        <w:rPr>
          <w:sz w:val="21"/>
          <w:szCs w:val="21"/>
        </w:rPr>
        <w:t xml:space="preserve">that can be expanded in later tranches, replacing the over-mapped regulation-level reference over time.</w:t>
      </w:r>
    </w:p>
    <w:p>
      <w:pPr>
        <w:pBdr>
          <w:top w:val="single" w:color="1F3864" w:sz="6"/>
        </w:pBdr>
        <w:spacing w:before="160"/>
      </w:pPr>
    </w:p>
    <w:p>
      <w:pPr>
        <w:spacing w:before="80"/>
        <w:jc w:val="both"/>
      </w:pPr>
      <w:r>
        <w:rPr>
          <w:b/>
          <w:bCs/>
          <w:color w:val="2E7D32"/>
          <w:sz w:val="21"/>
          <w:szCs w:val="21"/>
        </w:rPr>
        <w:t xml:space="preserve">Recommendation: </w:t>
      </w:r>
      <w:r>
        <w:rPr>
          <w:sz w:val="21"/>
          <w:szCs w:val="21"/>
        </w:rPr>
        <w:t xml:space="preserve">approve a single, time-boxed SME validation tranche of ~200 stratified pairs. It is low-cost, unlocks a defensible accuracy measure, satisfies MRM’s need for human-verified ground truth, and begins replacing a reference dataset that structurally over-claims by ~30×. This is the fastest route from “the model looks like 9%” to “the model is verified at X% on control-level truth.”</w:t>
      </w:r>
    </w:p>
    <w:sectPr>
      <w:headerReference w:type="default" r:id="rId7"/>
      <w:footerReference w:type="default" r:id="rId8"/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/>
      </w:pBdr>
      <w:jc w:val="right"/>
    </w:pPr>
    <w:r>
      <w:rPr>
        <w:color w:val="595959"/>
        <w:sz w:val="16"/>
        <w:szCs w:val="16"/>
      </w:rPr>
      <w:t xml:space="preserve">HSBC  |  Impact Assessment — Concept Note (Confidential, Internal)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2026-09-16T10:17:25.456Z</dcterms:created>
  <dcterms:modified xsi:type="dcterms:W3CDTF">2026-09-16T10:17:25.466Z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