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120"/>
        <w:jc w:val="center"/>
      </w:pPr>
      <w:r>
        <w:rPr>
          <w:rFonts w:ascii="Times New Roman" w:hAnsi="Times New Roman" w:cs="Times New Roman"/>
          <w:b/>
          <w:i w:val="0"/>
          <w:color w:val="C0392B"/>
          <w:sz w:val="44"/>
        </w:rPr>
        <w:t>The Tremendous, Beautiful, Perfectly Perfect President</w:t>
      </w:r>
    </w:p>
    <w:p>
      <w:pPr>
        <w:spacing w:line="288" w:lineRule="auto" w:before="0" w:after="360"/>
        <w:jc w:val="center"/>
      </w:pPr>
      <w:r>
        <w:rPr>
          <w:rFonts w:ascii="Times New Roman" w:hAnsi="Times New Roman" w:cs="Times New Roman"/>
          <w:b w:val="0"/>
          <w:i/>
          <w:color w:val="808080"/>
          <w:sz w:val="26"/>
        </w:rPr>
        <w:t>A Sincere Homage to the Stable Genius — Believe Me</w:t>
      </w:r>
    </w:p>
    <w:p>
      <w:pPr>
        <w:spacing w:line="360" w:lineRule="auto" w:before="0" w:after="160"/>
        <w:ind w:firstLine="420"/>
        <w:jc w:val="both"/>
      </w:pPr>
      <w:r>
        <w:rPr>
          <w:rFonts w:ascii="Times New Roman" w:hAnsi="Times New Roman" w:cs="Times New Roman"/>
          <w:b w:val="0"/>
          <w:i w:val="0"/>
          <w:sz w:val="24"/>
        </w:rPr>
        <w:t>The man descends the golden escalator like a deity riding a mechanical chariot to earth, his hair a defiant commentary on the laws of physics, his complexion a sunset that has been professionally copyrighted. History should have gasped. History, in fact, did gasp — though whether from awe or indigestion, historians are still debating, and will likely continue to debate long after the gold leaf has flaked from the lobby walls and the escalator itself has been donated to a museum of curiosities.</w:t>
      </w:r>
    </w:p>
    <w:p>
      <w:pPr>
        <w:spacing w:line="360" w:lineRule="auto" w:before="0" w:after="160"/>
        <w:ind w:firstLine="420"/>
        <w:jc w:val="both"/>
      </w:pPr>
      <w:r>
        <w:rPr>
          <w:rFonts w:ascii="Times New Roman" w:hAnsi="Times New Roman" w:cs="Times New Roman"/>
          <w:b w:val="0"/>
          <w:i w:val="0"/>
          <w:sz w:val="24"/>
        </w:rPr>
        <w:t>Behold him: the greatest, the most tremendous, the most hugely tremendous figure ever to brandish his surname across a skyline. Before him, skyscrapers were merely tall. After him, they were Trump. Before him, golf was a sport. After him, it was a weekend habit conducted at the public’s expense, which is, after all, the only sensible way to play. Entire coastlines have been rearranged to accommodate his swings, and several small nations have politely inquired whether they, too, might one day be renamed.</w:t>
      </w:r>
    </w:p>
    <w:p>
      <w:pPr>
        <w:spacing w:line="360" w:lineRule="auto" w:before="0" w:after="160"/>
        <w:ind w:firstLine="420"/>
        <w:jc w:val="both"/>
      </w:pPr>
      <w:r>
        <w:rPr>
          <w:rFonts w:ascii="Times New Roman" w:hAnsi="Times New Roman" w:cs="Times New Roman"/>
          <w:b w:val="0"/>
          <w:i w:val="0"/>
          <w:sz w:val="24"/>
        </w:rPr>
        <w:t>He is, by his own modest admission, a stable genius — a phrase that surely refers to the kind of stability one finds in a horse, and the kind of genius one finds in a fortune cookie. We should be grateful. Stable geniuses are rare. Most geniuses are unstable, and most stable people are not, strictly speaking, geniuses. He has boldly combined the two, much as he combined red ties with blue suits, and steak with ketchup, in defiance of all known taste, all known nutrition, and several known treaties.</w:t>
      </w:r>
    </w:p>
    <w:p>
      <w:pPr>
        <w:spacing w:line="360" w:lineRule="auto" w:before="0" w:after="160"/>
        <w:ind w:firstLine="420"/>
        <w:jc w:val="both"/>
      </w:pPr>
      <w:r>
        <w:rPr>
          <w:rFonts w:ascii="Times New Roman" w:hAnsi="Times New Roman" w:cs="Times New Roman"/>
          <w:b w:val="0"/>
          <w:i w:val="0"/>
          <w:sz w:val="24"/>
        </w:rPr>
        <w:t>His vocabulary is a marvel of efficiency. Why say “very good” when you can say “tremendous”? Why say “large” when you can say “huge”? Why say anything at all, when you can say “believe me” and let the imagination of the listener do the heavy lifting? Linguists have wept. Poets have retired. Shakespeare himself, had he lived to witness such economy of expression, would have torn up his thesaurus, sold his quills, and gone into real estate, where adjectives are optional and contracts are merely suggestions.</w:t>
      </w:r>
    </w:p>
    <w:p>
      <w:pPr>
        <w:spacing w:line="360" w:lineRule="auto" w:before="0" w:after="160"/>
        <w:ind w:firstLine="420"/>
        <w:jc w:val="both"/>
      </w:pPr>
      <w:r>
        <w:rPr>
          <w:rFonts w:ascii="Times New Roman" w:hAnsi="Times New Roman" w:cs="Times New Roman"/>
          <w:b w:val="0"/>
          <w:i w:val="0"/>
          <w:sz w:val="24"/>
        </w:rPr>
        <w:t>The truth, in his presence, behaves like a polite guest at one of his hotels: it arrives, looks around nervously, and quietly leaves through the service entrance. He has reshaped the relationship between words and reality so thoroughly that an entire industry of fact-checkers now works overtime, furiously typing “FALSE” into spreadsheets that nobody reads, into databases that nobody queries, beside verdicts that nobody remembers. This is, we are told, job creation — and who are we to argue with the greatest job creator since the fellow who invented the wheel?</w:t>
      </w:r>
    </w:p>
    <w:p>
      <w:pPr>
        <w:spacing w:line="360" w:lineRule="auto" w:before="0" w:after="160"/>
        <w:ind w:firstLine="420"/>
        <w:jc w:val="both"/>
      </w:pPr>
      <w:r>
        <w:rPr>
          <w:rFonts w:ascii="Times New Roman" w:hAnsi="Times New Roman" w:cs="Times New Roman"/>
          <w:b w:val="0"/>
          <w:i w:val="0"/>
          <w:sz w:val="24"/>
        </w:rPr>
        <w:t>His business acumen is legendary — so legendary, in fact, that one must simply believe in it, the way one believes in Atlantis, or the tooth fairy, or the existence of a quiet weekend at Mar-a-Lago. Six bankruptcies are not failures; they are strategic pivots, bold reinventions, artful dodges of the kind that lesser minds call “losing money.” A casino, he once managed to bankrupt — a feat roughly equivalent to drowning in a desert, to misplacing the ocean, to mislaying a winning lottery ticket in a locked room. To lose money running a business where the math is structurally in your favor requires a kind of inverse genius, and we should pause, perhaps reverently, to admire it.</w:t>
      </w:r>
    </w:p>
    <w:p>
      <w:pPr>
        <w:spacing w:line="360" w:lineRule="auto" w:before="0" w:after="160"/>
        <w:ind w:firstLine="420"/>
        <w:jc w:val="both"/>
      </w:pPr>
      <w:r>
        <w:rPr>
          <w:rFonts w:ascii="Times New Roman" w:hAnsi="Times New Roman" w:cs="Times New Roman"/>
          <w:b w:val="0"/>
          <w:i w:val="0"/>
          <w:sz w:val="24"/>
        </w:rPr>
        <w:t>His diet is as disciplined as his rhetoric. Towering burgers, well-done steaks drowned in ketchup, Diet Coke summoned by red button like a king ringing for his court jester. Nutritionists faint. Cardiologists send their children to college. He has, in this respect, single-handedly sustained the fast-food industry through times of uncertainty, and for this alone he deserves a plaque — perhaps gold-plated, preferably with his name on it, ideally in a font that has not yet been invented but will be, shortly, by him.</w:t>
      </w:r>
    </w:p>
    <w:p>
      <w:pPr>
        <w:spacing w:line="360" w:lineRule="auto" w:before="0" w:after="160"/>
        <w:ind w:firstLine="420"/>
        <w:jc w:val="both"/>
      </w:pPr>
      <w:r>
        <w:rPr>
          <w:rFonts w:ascii="Times New Roman" w:hAnsi="Times New Roman" w:cs="Times New Roman"/>
          <w:b w:val="0"/>
          <w:i w:val="0"/>
          <w:sz w:val="24"/>
        </w:rPr>
        <w:t>His golf game, by his own account, is unmatched. He has, he insists, won championships that no one can locate in any record book, on courses that no one can find on any map, against opponents who, mysteriously, cannot be reached for comment. He has hit holes-in-one that exist primarily in the realm of faith, the kind of miracles once reserved for saints and now claimed, confidently, on a Tuesday afternoon. He has played with the dead and the living, with celebrities and senators, and has beaten them all — sometimes on courses he owns, scored by employees he pays, on holes he designed, with handicaps he personally approved. The honesty of such victories is, naturally, beyond question, and to question them is, as everyone knows, a form of treason.</w:t>
      </w:r>
    </w:p>
    <w:p>
      <w:pPr>
        <w:spacing w:line="360" w:lineRule="auto" w:before="0" w:after="160"/>
        <w:ind w:firstLine="420"/>
        <w:jc w:val="both"/>
      </w:pPr>
      <w:r>
        <w:rPr>
          <w:rFonts w:ascii="Times New Roman" w:hAnsi="Times New Roman" w:cs="Times New Roman"/>
          <w:b w:val="0"/>
          <w:i w:val="0"/>
          <w:sz w:val="24"/>
        </w:rPr>
        <w:t>His humility, finally, is the stuff of legend. He has confessed, with a perfectly straight face, that nobody knows more about taxes than he does, nobody knows more about infrastructure than he does, nobody knows more about ISIS than he does, and — remarkably — nobody knows more about campaign finance than he does, which must have come as a surprise to his accountants, his lawyers, and the various prosecutors who have, over the years, taken a lively interest in his affairs. He is a man who, having been told the limits of human knowledge, has simply declined to acknowledge them, much as he has declined to acknowledge election results, debate moderators, and the existence of stairs he finds inconvenient.</w:t>
      </w:r>
    </w:p>
    <w:p>
      <w:pPr>
        <w:spacing w:line="360" w:lineRule="auto" w:before="0" w:after="160"/>
        <w:ind w:firstLine="420"/>
        <w:jc w:val="both"/>
      </w:pPr>
      <w:r>
        <w:rPr>
          <w:rFonts w:ascii="Times New Roman" w:hAnsi="Times New Roman" w:cs="Times New Roman"/>
          <w:b w:val="0"/>
          <w:i w:val="0"/>
          <w:sz w:val="24"/>
        </w:rPr>
        <w:t>And so we raise a glass — a Diet Coke, naturally, in a gold-rimmed cup, sipped through a straw of unspecified length — to the tremendous one. To the stable genius. To the greatest, most beautiful, most hugely perfect figure ever to descend a golden escalator into the hearts of a nation that, depending on the day and the poll and the mood of the cable news anchor, either adores him or wonders, quietly, what on earth just happened, and whether it might, please, happen a little less. History will judge him, of course. But not before he has judged history first, found it lacking, renamed the chapter after himself, and billed the publisher.</w:t>
      </w:r>
    </w:p>
    <w:p>
      <w:pPr>
        <w:spacing w:line="288" w:lineRule="auto" w:before="240" w:after="0"/>
        <w:jc w:val="center"/>
      </w:pPr>
      <w:r>
        <w:rPr>
          <w:rFonts w:ascii="Times New Roman" w:hAnsi="Times New Roman" w:cs="Times New Roman"/>
          <w:b/>
          <w:i/>
          <w:color w:val="C0392B"/>
          <w:sz w:val="26"/>
        </w:rPr>
        <w:t>Believe me.</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