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http://meyerweb.com/eric/tools/css/reset/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v2.0 | 20110126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License: none (public domain)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html, body, div, span, applet, object, iframe,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h1, h2, h3, h4, h5, h6, p, blockquote, pre,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a, abbr, acronym, address, big, cite, code,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del, dfn, em, img, ins, kbd, q, s, samp,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small, strike, strong, sub, sup, tt, var,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b, u, i, center,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dl, dt, dd, ol, ul, li,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fieldset, form, label, legend,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table, caption, tbody, tfoot, thead, tr, th, td,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article, aside, canvas, details, embed,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figure, figcaption, footer, header, hgroup,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menu, nav, output, ruby, section, summary,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time, mark, audio, video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padding: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border: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font-size: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font: inherit;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vertical-align: baseline;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HTML5 display-role reset for older browsers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article, aside, details, figcaption, figure,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footer, header, hgroup, menu, nav, section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line-height: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ol, ul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list-style: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blockquote, q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quotes: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blockquote:before, blockquote:after,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q:before, q:after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content: '';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content: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border-spacing: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