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0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857500" cy="22860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500" w:after="0"/>
        <w:jc w:val="center"/>
        <w:rPr/>
      </w:pPr>
      <w:r>
        <w:rPr>
          <w:rFonts w:eastAsia="Georgia" w:cs="Georgia" w:ascii="Georgia" w:hAnsi="Georgia"/>
          <w:b/>
          <w:bCs/>
          <w:color w:val="19262B"/>
          <w:sz w:val="42"/>
          <w:szCs w:val="42"/>
        </w:rPr>
        <w:t>YOUR DEAL ANALYSIS</w:t>
      </w:r>
    </w:p>
    <w:p>
      <w:pPr>
        <w:pStyle w:val="Normal"/>
        <w:spacing w:before="120" w:after="0"/>
        <w:jc w:val="center"/>
        <w:rPr/>
      </w:pPr>
      <w:r>
        <w:rPr>
          <w:rFonts w:eastAsia="Georgia" w:cs="Georgia" w:ascii="Georgia" w:hAnsi="Georgia"/>
          <w:i/>
          <w:iCs/>
          <w:color w:val="68521B"/>
          <w:sz w:val="26"/>
          <w:szCs w:val="26"/>
        </w:rPr>
        <w:t>A Guide to Your Report and Model</w:t>
      </w:r>
    </w:p>
    <w:p>
      <w:pPr>
        <w:pStyle w:val="Normal"/>
        <w:spacing w:before="700" w:after="0"/>
        <w:jc w:val="center"/>
        <w:rPr/>
      </w:pPr>
      <w:r>
        <w:rPr>
          <w:rFonts w:eastAsia="Calibri" w:cs="Calibri" w:ascii="Calibri" w:hAnsi="Calibri"/>
          <w:b/>
          <w:bCs/>
          <w:color w:val="444444"/>
          <w:sz w:val="20"/>
          <w:szCs w:val="20"/>
        </w:rPr>
        <w:t>Newtree Capital Resources LLC</w:t>
      </w:r>
    </w:p>
    <w:p>
      <w:pPr>
        <w:pStyle w:val="Normal"/>
        <w:spacing w:before="0" w:after="0"/>
        <w:rPr/>
        <w:sectPr>
          <w:type w:val="nextPage"/>
          <w:pgSz w:w="12240" w:h="15840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/>
      </w:r>
      <w:r>
        <w:br w:type="page"/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Welcome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You've received two things: a written report and an editable spreadsheet, both covering the same property. This guide explains how to read the report, how to safely explore the spreadsheet yourself, and what a few key terms mean — no real estate or finance background assumed.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What You Received</w:t>
      </w:r>
    </w:p>
    <w:p>
      <w:pPr>
        <w:pStyle w:val="Heading2"/>
        <w:spacing w:before="280" w:after="130"/>
        <w:rPr/>
      </w:pPr>
      <w:r>
        <w:rPr>
          <w:rFonts w:eastAsia="Calibri" w:cs="Calibri" w:ascii="Calibri" w:hAnsi="Calibri"/>
          <w:b/>
          <w:bCs/>
          <w:color w:val="68521B"/>
          <w:sz w:val="21"/>
          <w:szCs w:val="21"/>
        </w:rPr>
        <w:t>The Report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A narrative writeup of the deal: what the property would cost to acquire and renovate, what it's likely worth once finished, and what that spread means for your return. Every number in it is sourced — pulled from public county records and verified comparable sales, not just an estimate.</w:t>
      </w:r>
    </w:p>
    <w:p>
      <w:pPr>
        <w:pStyle w:val="Heading2"/>
        <w:spacing w:before="280" w:after="130"/>
        <w:rPr/>
      </w:pPr>
      <w:r>
        <w:rPr>
          <w:rFonts w:eastAsia="Calibri" w:cs="Calibri" w:ascii="Calibri" w:hAnsi="Calibri"/>
          <w:b/>
          <w:bCs/>
          <w:color w:val="68521B"/>
          <w:sz w:val="21"/>
          <w:szCs w:val="21"/>
        </w:rPr>
        <w:t>The Spreadsheet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The full financial model behind the report. Unlike the report, this is yours to explore: change the rehab budget, the hold period, or the target sale price, and every calculation — profit, margin, return — updates automatically.</w:t>
      </w:r>
    </w:p>
    <w:p>
      <w:pPr>
        <w:pStyle w:val="Normal"/>
        <w:shd w:val="clear" w:fill="F5F3EE"/>
        <w:spacing w:before="100" w:after="220"/>
        <w:ind w:start="220" w:end="220"/>
        <w:rPr/>
      </w:pPr>
      <w:r>
        <w:rPr>
          <w:rFonts w:eastAsia="Calibri" w:cs="Calibri" w:ascii="Calibri" w:hAnsi="Calibri"/>
          <w:i/>
          <w:iCs/>
          <w:color w:val="595959"/>
          <w:sz w:val="19"/>
          <w:szCs w:val="19"/>
        </w:rPr>
        <w:t>Think of the report as the answer, and the spreadsheet as the calculator that produced it — one you now get to run yourself.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Which Level Did You Receive?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This analysis comes in two levels, and it's worth knowing which one you have:</w:t>
      </w:r>
    </w:p>
    <w:p>
      <w:pPr>
        <w:pStyle w:val="ListParagraph"/>
        <w:numPr>
          <w:ilvl w:val="0"/>
          <w:numId w:val="4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Quick Screen (Pre-Diligence) — a fast read on whether a property is worth pursuing, before a lender term sheet or a contractor bid exists. No financing costs, no itemized rehab — a screening tool, not a final underwriting.</w:t>
      </w:r>
    </w:p>
    <w:p>
      <w:pPr>
        <w:pStyle w:val="ListParagraph"/>
        <w:numPr>
          <w:ilvl w:val="0"/>
          <w:numId w:val="1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Full Model — the full build-out, once real financing terms and a contractor's itemized bid are in hand: month-by-month cash flow, full closing costs, and (for partnership deals) the complete profit split.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If you received a Quick Screen, look for the “What a Full Model Adds” section in your report — it lays out concretely what the next level includes. Ask if you'd like to move forward with one.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How to Use the Spreadsheet Safely</w:t>
      </w:r>
    </w:p>
    <w:p>
      <w:pPr>
        <w:pStyle w:val="ListParagraph"/>
        <w:numPr>
          <w:ilvl w:val="0"/>
          <w:numId w:val="5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Look for yellow-highlighted cells with blue text — these are the only cells meant to be edited. Everything else is a formula that calculates automatically from those inputs.</w:t>
      </w:r>
    </w:p>
    <w:p>
      <w:pPr>
        <w:pStyle w:val="ListParagraph"/>
        <w:numPr>
          <w:ilvl w:val="0"/>
          <w:numId w:val="2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Change one input at a time and watch what moves. For example, raising the rehab estimate will lower your projected profit — that's the model working correctly, not an error.</w:t>
      </w:r>
    </w:p>
    <w:p>
      <w:pPr>
        <w:pStyle w:val="ListParagraph"/>
        <w:numPr>
          <w:ilvl w:val="0"/>
          <w:numId w:val="2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If a number turns red, shows an error, or the sheet looks broken, undo your last change (Ctrl+Z / Cmd+Z) rather than trying to fix a formula directly.</w:t>
      </w:r>
    </w:p>
    <w:p>
      <w:pPr>
        <w:pStyle w:val="ListParagraph"/>
        <w:numPr>
          <w:ilvl w:val="0"/>
          <w:numId w:val="2"/>
        </w:numPr>
        <w:spacing w:lineRule="auto" w:line="271" w:before="0" w:after="10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Keep a copy of the original file before experimenting heavily, so you always have a clean version to return to.</w:t>
      </w:r>
    </w:p>
    <w:p>
      <w:pPr>
        <w:pStyle w:val="Normal"/>
        <w:pBdr>
          <w:left w:val="single" w:sz="18" w:space="8" w:color="68521B"/>
        </w:pBdr>
        <w:spacing w:before="100" w:after="220"/>
        <w:ind w:start="220" w:end="220"/>
        <w:rPr/>
      </w:pPr>
      <w:r>
        <w:rPr>
          <w:rFonts w:eastAsia="Calibri" w:cs="Calibri" w:ascii="Calibri" w:hAnsi="Calibri"/>
          <w:b/>
          <w:bCs/>
          <w:color w:val="68521B"/>
          <w:sz w:val="19"/>
          <w:szCs w:val="19"/>
        </w:rPr>
        <w:t>Don't edit any cell with black or green text, or any cell inside a table that isn't yellow-highlighted — these contain the formulas that make the model work, and overwriting one will break calculations elsewhere in the sheet.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A Few Terms Worth Knowing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2600"/>
        <w:gridCol w:w="6760"/>
      </w:tblGrid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ARV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After-Repair Value — what the property is expected to sell for once renovation is complete.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As-Is Value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What the property is worth today, in its current condition, before any work is done.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Rehab Estimate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The projected cost of renovation. Category-level (rough) at an early stage, itemized (from an actual contractor bid) once the deal is further along.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MAO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Maximum Allowable Offer — a common rule-of-thumb ceiling on purchase price, based on ARV and rehab cost.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Spread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The gap between what you'd pay and what the numbers support paying — positive means there's room; negative means the asking price may be above what the data supports.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Holding Costs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Ongoing costs during the renovation and sale period — property tax, insurance, utilities — that reduce total profit even though they're not part of the purchase price.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EDEAE2" w:val="clear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19262B"/>
                <w:sz w:val="19"/>
                <w:szCs w:val="19"/>
              </w:rPr>
              <w:t>Comps</w:t>
            </w:r>
          </w:p>
        </w:tc>
        <w:tc>
          <w:tcPr>
            <w:tcW w:w="6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color w:val="222222"/>
                <w:sz w:val="19"/>
                <w:szCs w:val="19"/>
              </w:rPr>
              <w:t>“Comparable sales” — recent sales of similar nearby properties, used to estimate value.</w:t>
            </w:r>
          </w:p>
        </w:tc>
      </w:tr>
    </w:tbl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Reading Your Results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Your report includes a bottom-line verdict — in plain terms, whether the numbers support pursuing this deal, and why. Any figure flagged as an estimate or not yet confirmed is called out explicitly rather than presented as certain; if you're missing a piece of information the model needs (an actual contractor bid, a finalized loan term), that gap is noted rather than quietly assumed away.</w:t>
      </w:r>
    </w:p>
    <w:p>
      <w:pPr>
        <w:pStyle w:val="Normal"/>
        <w:shd w:val="clear" w:fill="F5F3EE"/>
        <w:spacing w:before="100" w:after="220"/>
        <w:ind w:start="220" w:end="220"/>
        <w:rPr/>
      </w:pPr>
      <w:r>
        <w:rPr>
          <w:rFonts w:eastAsia="Calibri" w:cs="Calibri" w:ascii="Calibri" w:hAnsi="Calibri"/>
          <w:i/>
          <w:iCs/>
          <w:color w:val="595959"/>
          <w:sz w:val="19"/>
          <w:szCs w:val="19"/>
        </w:rPr>
        <w:t>Every sourced figure in your report is dated and cited — so if a number looks off, you can trace exactly where it came from and when it was pulled.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A Note on Accuracy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This analysis reflects the best available data at the time it was prepared — public records, market comparables, and the assumptions you provided. It is not a guarantee of resale value, rehab cost, or investment outcome, and market conditions can change. Treat it as a rigorous starting point for your own decision, not a substitute for your own due diligence, appraisal, or professional advice.</w:t>
      </w:r>
    </w:p>
    <w:p>
      <w:pPr>
        <w:pStyle w:val="Heading1"/>
        <w:pBdr>
          <w:bottom w:val="single" w:sz="6" w:space="4" w:color="D8BF77"/>
        </w:pBdr>
        <w:spacing w:before="420" w:after="200"/>
        <w:rPr/>
      </w:pPr>
      <w:r>
        <w:rPr>
          <w:rFonts w:eastAsia="Calibri" w:cs="Calibri" w:ascii="Calibri" w:hAnsi="Calibri"/>
          <w:b/>
          <w:bCs/>
          <w:color w:val="19262B"/>
          <w:sz w:val="27"/>
          <w:szCs w:val="27"/>
        </w:rPr>
        <w:t>Questions or Feedback</w:t>
      </w:r>
    </w:p>
    <w:p>
      <w:pPr>
        <w:pStyle w:val="Normal"/>
        <w:spacing w:lineRule="auto" w:line="276" w:before="0" w:after="180"/>
        <w:rPr/>
      </w:pPr>
      <w:r>
        <w:rPr>
          <w:rFonts w:eastAsia="Calibri" w:cs="Calibri" w:ascii="Calibri" w:hAnsi="Calibri"/>
          <w:color w:val="222222"/>
          <w:sz w:val="21"/>
          <w:szCs w:val="21"/>
        </w:rPr>
        <w:t>If anything in the report or spreadsheet is unclear, or you'd like a deeper look at a specific number, reach out — harold@newtree-capital.net or 707-502-2191. As a beta participant, your feedback also directly shapes what this service looks like going forward; we'll follow up separately to hear how it went.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 w:ascii="Calibri" w:hAnsi="Calibri"/>
        <w:color w:val="595959"/>
        <w:sz w:val="16"/>
        <w:szCs w:val="16"/>
      </w:rPr>
      <w:t xml:space="preserve">Page </w:t>
    </w:r>
    <w:r>
      <w:rPr>
        <w:rFonts w:eastAsia="Calibri" w:cs="Calibri" w:ascii="Calibri" w:hAnsi="Calibri"/>
        <w:color w:val="222222"/>
        <w:sz w:val="21"/>
        <w:szCs w:val="21"/>
      </w:rPr>
      <w:fldChar w:fldCharType="begin"/>
    </w:r>
    <w:r>
      <w:rPr>
        <w:rFonts w:eastAsia="Calibri" w:cs="Calibri" w:ascii="Calibri" w:hAnsi="Calibri"/>
        <w:color w:val="222222"/>
        <w:sz w:val="21"/>
        <w:szCs w:val="21"/>
      </w:rPr>
      <w:instrText xml:space="preserve"> PAGE </w:instrText>
    </w:r>
    <w:r>
      <w:rPr>
        <w:rFonts w:eastAsia="Calibri" w:cs="Calibri" w:ascii="Calibri" w:hAnsi="Calibri"/>
        <w:color w:val="222222"/>
        <w:sz w:val="21"/>
        <w:szCs w:val="21"/>
      </w:rPr>
      <w:fldChar w:fldCharType="separate"/>
    </w:r>
    <w:r>
      <w:rPr>
        <w:rFonts w:eastAsia="Calibri" w:cs="Calibri" w:ascii="Calibri" w:hAnsi="Calibri"/>
        <w:color w:val="222222"/>
        <w:sz w:val="21"/>
        <w:szCs w:val="21"/>
      </w:rPr>
      <w:t>4</w:t>
    </w:r>
    <w:r>
      <w:rPr>
        <w:rFonts w:eastAsia="Calibri" w:cs="Calibri" w:ascii="Calibri" w:hAnsi="Calibri"/>
        <w:color w:val="222222"/>
        <w:sz w:val="21"/>
        <w:szCs w:val="21"/>
      </w:rPr>
      <w:fldChar w:fldCharType="end"/>
    </w:r>
    <w:r>
      <w:rPr>
        <w:rFonts w:eastAsia="Calibri" w:cs="Calibri" w:ascii="Calibri" w:hAnsi="Calibri"/>
        <w:color w:val="595959"/>
        <w:sz w:val="16"/>
        <w:szCs w:val="16"/>
      </w:rPr>
      <w:t xml:space="preserve"> of </w:t>
    </w:r>
    <w:r>
      <w:rPr>
        <w:rFonts w:eastAsia="Calibri" w:cs="Calibri" w:ascii="Calibri" w:hAnsi="Calibri"/>
        <w:color w:val="222222"/>
        <w:sz w:val="21"/>
        <w:szCs w:val="21"/>
      </w:rPr>
      <w:fldChar w:fldCharType="begin"/>
    </w:r>
    <w:r>
      <w:rPr>
        <w:rFonts w:eastAsia="Calibri" w:cs="Calibri" w:ascii="Calibri" w:hAnsi="Calibri"/>
        <w:color w:val="222222"/>
        <w:sz w:val="21"/>
        <w:szCs w:val="21"/>
      </w:rPr>
      <w:instrText xml:space="preserve"> NUMPAGES </w:instrText>
    </w:r>
    <w:r>
      <w:rPr>
        <w:rFonts w:eastAsia="Calibri" w:cs="Calibri" w:ascii="Calibri" w:hAnsi="Calibri"/>
        <w:color w:val="222222"/>
        <w:sz w:val="21"/>
        <w:szCs w:val="21"/>
      </w:rPr>
      <w:fldChar w:fldCharType="separate"/>
    </w:r>
    <w:r>
      <w:rPr>
        <w:rFonts w:eastAsia="Calibri" w:cs="Calibri" w:ascii="Calibri" w:hAnsi="Calibri"/>
        <w:color w:val="222222"/>
        <w:sz w:val="21"/>
        <w:szCs w:val="21"/>
      </w:rPr>
      <w:t>4</w:t>
    </w:r>
    <w:r>
      <w:rPr>
        <w:rFonts w:eastAsia="Calibri" w:cs="Calibri" w:ascii="Calibri" w:hAnsi="Calibri"/>
        <w:color w:val="222222"/>
        <w:sz w:val="21"/>
        <w:szCs w:val="21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 w:ascii="Calibri" w:hAnsi="Calibri"/>
        <w:color w:val="595959"/>
        <w:sz w:val="16"/>
        <w:szCs w:val="16"/>
      </w:rPr>
      <w:t xml:space="preserve">Page </w:t>
    </w:r>
    <w:r>
      <w:rPr>
        <w:rFonts w:eastAsia="Calibri" w:cs="Calibri" w:ascii="Calibri" w:hAnsi="Calibri"/>
        <w:color w:val="222222"/>
        <w:sz w:val="21"/>
        <w:szCs w:val="21"/>
      </w:rPr>
      <w:fldChar w:fldCharType="begin"/>
    </w:r>
    <w:r>
      <w:rPr>
        <w:rFonts w:eastAsia="Calibri" w:cs="Calibri" w:ascii="Calibri" w:hAnsi="Calibri"/>
        <w:color w:val="222222"/>
        <w:sz w:val="21"/>
        <w:szCs w:val="21"/>
      </w:rPr>
      <w:instrText xml:space="preserve"> PAGE </w:instrText>
    </w:r>
    <w:r>
      <w:rPr>
        <w:rFonts w:eastAsia="Calibri" w:cs="Calibri" w:ascii="Calibri" w:hAnsi="Calibri"/>
        <w:color w:val="222222"/>
        <w:sz w:val="21"/>
        <w:szCs w:val="21"/>
      </w:rPr>
      <w:fldChar w:fldCharType="separate"/>
    </w:r>
    <w:r>
      <w:rPr>
        <w:rFonts w:eastAsia="Calibri" w:cs="Calibri" w:ascii="Calibri" w:hAnsi="Calibri"/>
        <w:color w:val="222222"/>
        <w:sz w:val="21"/>
        <w:szCs w:val="21"/>
      </w:rPr>
      <w:t>4</w:t>
    </w:r>
    <w:r>
      <w:rPr>
        <w:rFonts w:eastAsia="Calibri" w:cs="Calibri" w:ascii="Calibri" w:hAnsi="Calibri"/>
        <w:color w:val="222222"/>
        <w:sz w:val="21"/>
        <w:szCs w:val="21"/>
      </w:rPr>
      <w:fldChar w:fldCharType="end"/>
    </w:r>
    <w:r>
      <w:rPr>
        <w:rFonts w:eastAsia="Calibri" w:cs="Calibri" w:ascii="Calibri" w:hAnsi="Calibri"/>
        <w:color w:val="595959"/>
        <w:sz w:val="16"/>
        <w:szCs w:val="16"/>
      </w:rPr>
      <w:t xml:space="preserve"> of </w:t>
    </w:r>
    <w:r>
      <w:rPr>
        <w:rFonts w:eastAsia="Calibri" w:cs="Calibri" w:ascii="Calibri" w:hAnsi="Calibri"/>
        <w:color w:val="222222"/>
        <w:sz w:val="21"/>
        <w:szCs w:val="21"/>
      </w:rPr>
      <w:fldChar w:fldCharType="begin"/>
    </w:r>
    <w:r>
      <w:rPr>
        <w:rFonts w:eastAsia="Calibri" w:cs="Calibri" w:ascii="Calibri" w:hAnsi="Calibri"/>
        <w:color w:val="222222"/>
        <w:sz w:val="21"/>
        <w:szCs w:val="21"/>
      </w:rPr>
      <w:instrText xml:space="preserve"> NUMPAGES </w:instrText>
    </w:r>
    <w:r>
      <w:rPr>
        <w:rFonts w:eastAsia="Calibri" w:cs="Calibri" w:ascii="Calibri" w:hAnsi="Calibri"/>
        <w:color w:val="222222"/>
        <w:sz w:val="21"/>
        <w:szCs w:val="21"/>
      </w:rPr>
      <w:fldChar w:fldCharType="separate"/>
    </w:r>
    <w:r>
      <w:rPr>
        <w:rFonts w:eastAsia="Calibri" w:cs="Calibri" w:ascii="Calibri" w:hAnsi="Calibri"/>
        <w:color w:val="222222"/>
        <w:sz w:val="21"/>
        <w:szCs w:val="21"/>
      </w:rPr>
      <w:t>4</w:t>
    </w:r>
    <w:r>
      <w:rPr>
        <w:rFonts w:eastAsia="Calibri" w:cs="Calibri" w:ascii="Calibri" w:hAnsi="Calibri"/>
        <w:color w:val="222222"/>
        <w:sz w:val="21"/>
        <w:szCs w:val="21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20" w:hanging="34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  <Pages>2</Pages>
  <Words>814</Words>
  <Characters>4065</Characters>
  <CharactersWithSpaces>4850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2026-08-21T05:13:22Z</dcterms:created>
  <dc:creator>Un-named</dc:creator>
  <dc:description/>
  <dc:language>en-US</dc:language>
  <cp:lastModifiedBy>Un-named</cp:lastModifiedBy>
  <dcterms:modified xsi:type="dcterms:W3CDTF">2026-08-21T05:13:22Z</dcterms:modified>
  <cp:revision>1</cp:revision>
  <dc:subject/>
  <dc:title/>
</cp:coreProperties>
</file>