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drawing>
          <wp:inline distT="0" distB="0" distL="0" distR="0">
            <wp:extent cx="1238250" cy="990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Georgia" w:cs="Georgia" w:eastAsia="Georgia" w:hAnsi="Georgia"/>
          <w:i/>
          <w:iCs/>
          <w:color w:val="68521B"/>
          <w:sz w:val="22"/>
          <w:szCs w:val="22"/>
        </w:rPr>
        <w:t xml:space="preserve">[Property Address, City, State ZIP]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17"/>
          <w:szCs w:val="17"/>
        </w:rPr>
        <w:t xml:space="preserve">Prepared by Newtree Capital Resources LLC  ·  Prepared: [Month Day, Year]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Prepared For: [Client / Wholesaler Name]</w:t>
      </w:r>
    </w:p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Comps Support Document — evidentiary backup for the ARV comparable sales analysis in the accompanying report.</w:t>
      </w:r>
    </w:p>
    <w:p>
      <w:pPr>
        <w:pBdr>
          <w:bottom w:val="single" w:color="D8BF77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9262B"/>
          <w:sz w:val="27"/>
          <w:szCs w:val="27"/>
        </w:rPr>
        <w:t xml:space="preserve">ARV Comparable Sales — Support Data</w:t>
      </w:r>
    </w:p>
    <w:p>
      <w:pPr>
        <w:spacing w:after="170" w:line="26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This document backs the ARV figure cited in the accompanying report with the individual comparable sales that support it. Each comp listed here was individually verified using the transaction-pair method: a real, documented price jump between two sales of the same property, checked against buyer type, financing, and the listing's own description — not just a lead-service tag taken at face value.</w:t>
      </w:r>
    </w:p>
    <w:p>
      <w:pPr>
        <w:spacing w:after="220" w:line="268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Only comps tagged Confirmed Genuine or Moderate Confidence appear below. Comps that were excluded (e.g. same-week wholesale double-closes, unrenovated resales) or reclassified to a different valuation tier (e.g. rental/commercial) are documented separately in this deal's Internal Working Files log — that record is internal only and is not shared with the client.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shd w:fill="19262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900"/>
            <w:shd w:fill="19262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 Address</w:t>
            </w:r>
          </w:p>
        </w:tc>
        <w:tc>
          <w:tcPr>
            <w:tcW w:type="dxa" w:w="1900"/>
            <w:shd w:fill="19262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Sale History (Prior → Current)</w:t>
            </w:r>
          </w:p>
        </w:tc>
        <w:tc>
          <w:tcPr>
            <w:tcW w:type="dxa" w:w="900"/>
            <w:shd w:fill="19262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Buyer Type</w:t>
            </w:r>
          </w:p>
        </w:tc>
        <w:tc>
          <w:tcPr>
            <w:tcW w:type="dxa" w:w="1200"/>
            <w:shd w:fill="19262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Financing</w:t>
            </w:r>
          </w:p>
        </w:tc>
        <w:tc>
          <w:tcPr>
            <w:tcW w:type="dxa" w:w="700"/>
            <w:shd w:fill="19262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$/Sqft</w:t>
            </w:r>
          </w:p>
        </w:tc>
        <w:tc>
          <w:tcPr>
            <w:tcW w:type="dxa" w:w="1500"/>
            <w:shd w:fill="19262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Tier Assigned</w:t>
            </w:r>
          </w:p>
        </w:tc>
        <w:tc>
          <w:tcPr>
            <w:tcW w:type="dxa" w:w="2200"/>
            <w:shd w:fill="19262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Basis / Reasoning</w:t>
            </w:r>
          </w:p>
        </w:tc>
      </w:tr>
      <w:tr>
        <w:tc>
          <w:tcPr>
            <w:tcW w:type="dxa" w:w="500"/>
            <w:shd w:fill="E7F0E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shd w:fill="E7F0E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16120 Harvard Ave, Cleveland, OH 44128</w:t>
            </w:r>
          </w:p>
        </w:tc>
        <w:tc>
          <w:tcPr>
            <w:tcW w:type="dxa" w:w="1900"/>
            <w:shd w:fill="E7F0E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$30,000 / prior → $150,000 / current</w:t>
            </w:r>
          </w:p>
        </w:tc>
        <w:tc>
          <w:tcPr>
            <w:tcW w:type="dxa" w:w="900"/>
            <w:shd w:fill="E7F0E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Individual</w:t>
            </w:r>
          </w:p>
        </w:tc>
        <w:tc>
          <w:tcPr>
            <w:tcW w:type="dxa" w:w="1200"/>
            <w:shd w:fill="E7F0E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FHA</w:t>
            </w:r>
          </w:p>
        </w:tc>
        <w:tc>
          <w:tcPr>
            <w:tcW w:type="dxa" w:w="700"/>
            <w:shd w:fill="E7F0E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$137</w:t>
            </w:r>
          </w:p>
        </w:tc>
        <w:tc>
          <w:tcPr>
            <w:tcW w:type="dxa" w:w="1500"/>
            <w:shd w:fill="E7F0E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Confirmed Genuine</w:t>
            </w:r>
          </w:p>
        </w:tc>
        <w:tc>
          <w:tcPr>
            <w:tcW w:type="dxa" w:w="2200"/>
            <w:shd w:fill="E7F0E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EXAMPLE -- verified transaction pair on same property; individual buyer + FHA financing + listing described new roof, updated electrical, refinished hardwood.</w:t>
            </w:r>
          </w:p>
        </w:tc>
      </w:tr>
      <w:tr>
        <w:tc>
          <w:tcPr>
            <w:tcW w:type="dxa" w:w="500"/>
            <w:shd w:fill="FBF3D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2</w:t>
            </w:r>
          </w:p>
        </w:tc>
        <w:tc>
          <w:tcPr>
            <w:tcW w:type="dxa" w:w="1900"/>
            <w:shd w:fill="FBF3D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[Comp Street Address, City, State ZIP]</w:t>
            </w:r>
          </w:p>
        </w:tc>
        <w:tc>
          <w:tcPr>
            <w:tcW w:type="dxa" w:w="1900"/>
            <w:shd w:fill="FBF3D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[$XXX,XXX / MM-YYYY → $XXX,XXX / MM-YYYY]</w:t>
            </w:r>
          </w:p>
        </w:tc>
        <w:tc>
          <w:tcPr>
            <w:tcW w:type="dxa" w:w="900"/>
            <w:shd w:fill="FBF3D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[Individual / LLC / Trust]</w:t>
            </w:r>
          </w:p>
        </w:tc>
        <w:tc>
          <w:tcPr>
            <w:tcW w:type="dxa" w:w="1200"/>
            <w:shd w:fill="FBF3D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[FHA / Conventional / Cash]</w:t>
            </w:r>
          </w:p>
        </w:tc>
        <w:tc>
          <w:tcPr>
            <w:tcW w:type="dxa" w:w="700"/>
            <w:shd w:fill="FBF3D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[$XXX]</w:t>
            </w:r>
          </w:p>
        </w:tc>
        <w:tc>
          <w:tcPr>
            <w:tcW w:type="dxa" w:w="1500"/>
            <w:shd w:fill="FBF3D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[Confirmed Genuine / Moderate Confidence]</w:t>
            </w:r>
          </w:p>
        </w:tc>
        <w:tc>
          <w:tcPr>
            <w:tcW w:type="dxa" w:w="2200"/>
            <w:shd w:fill="FBF3D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[Why this comp supports the ARV -- renovation description, listing language, transaction-pair basis]</w:t>
            </w:r>
          </w:p>
        </w:tc>
      </w:tr>
      <w:tr>
        <w:tc>
          <w:tcPr>
            <w:tcW w:type="dxa" w:w="500"/>
            <w:shd w:fill="E7F0E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3</w:t>
            </w:r>
          </w:p>
        </w:tc>
        <w:tc>
          <w:tcPr>
            <w:tcW w:type="dxa" w:w="1900"/>
            <w:shd w:fill="E7F0E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[Comp Street Address, City, State ZIP]</w:t>
            </w:r>
          </w:p>
        </w:tc>
        <w:tc>
          <w:tcPr>
            <w:tcW w:type="dxa" w:w="1900"/>
            <w:shd w:fill="E7F0E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[$XXX,XXX / MM-YYYY → $XXX,XXX / MM-YYYY]</w:t>
            </w:r>
          </w:p>
        </w:tc>
        <w:tc>
          <w:tcPr>
            <w:tcW w:type="dxa" w:w="900"/>
            <w:shd w:fill="E7F0E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[Individual / LLC / Trust]</w:t>
            </w:r>
          </w:p>
        </w:tc>
        <w:tc>
          <w:tcPr>
            <w:tcW w:type="dxa" w:w="1200"/>
            <w:shd w:fill="E7F0E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[FHA / Conventional / Cash]</w:t>
            </w:r>
          </w:p>
        </w:tc>
        <w:tc>
          <w:tcPr>
            <w:tcW w:type="dxa" w:w="700"/>
            <w:shd w:fill="E7F0E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[$XXX]</w:t>
            </w:r>
          </w:p>
        </w:tc>
        <w:tc>
          <w:tcPr>
            <w:tcW w:type="dxa" w:w="1500"/>
            <w:shd w:fill="E7F0E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[Confirmed Genuine / Moderate Confidence]</w:t>
            </w:r>
          </w:p>
        </w:tc>
        <w:tc>
          <w:tcPr>
            <w:tcW w:type="dxa" w:w="2200"/>
            <w:shd w:fill="E7F0E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[Why this comp supports the ARV -- renovation description, listing language, transaction-pair basis]</w:t>
            </w:r>
          </w:p>
        </w:tc>
      </w:tr>
      <w:tr>
        <w:tc>
          <w:tcPr>
            <w:tcW w:type="dxa" w:w="500"/>
            <w:shd w:fill="FBF3D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shd w:fill="FBF3D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[Comp Street Address, City, State ZIP]</w:t>
            </w:r>
          </w:p>
        </w:tc>
        <w:tc>
          <w:tcPr>
            <w:tcW w:type="dxa" w:w="1900"/>
            <w:shd w:fill="FBF3D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[$XXX,XXX / MM-YYYY → $XXX,XXX / MM-YYYY]</w:t>
            </w:r>
          </w:p>
        </w:tc>
        <w:tc>
          <w:tcPr>
            <w:tcW w:type="dxa" w:w="900"/>
            <w:shd w:fill="FBF3D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[Individual / LLC / Trust]</w:t>
            </w:r>
          </w:p>
        </w:tc>
        <w:tc>
          <w:tcPr>
            <w:tcW w:type="dxa" w:w="1200"/>
            <w:shd w:fill="FBF3D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[FHA / Conventional / Cash]</w:t>
            </w:r>
          </w:p>
        </w:tc>
        <w:tc>
          <w:tcPr>
            <w:tcW w:type="dxa" w:w="700"/>
            <w:shd w:fill="FBF3D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[$XXX]</w:t>
            </w:r>
          </w:p>
        </w:tc>
        <w:tc>
          <w:tcPr>
            <w:tcW w:type="dxa" w:w="1500"/>
            <w:shd w:fill="FBF3D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[Confirmed Genuine / Moderate Confidence]</w:t>
            </w:r>
          </w:p>
        </w:tc>
        <w:tc>
          <w:tcPr>
            <w:tcW w:type="dxa" w:w="2200"/>
            <w:shd w:fill="FBF3D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22222"/>
                <w:sz w:val="16"/>
                <w:szCs w:val="16"/>
              </w:rPr>
              <w:t xml:space="preserve">[Why this comp supports the ARV -- renovation description, listing language, transaction-pair basis]</w:t>
            </w:r>
          </w:p>
        </w:tc>
      </w:tr>
    </w:tbl>
    <w:p>
      <w:pPr>
        <w:spacing w:after="60" w:before="220"/>
      </w:pPr>
    </w:p>
    <w:p>
      <w:pPr>
        <w:spacing w:after="170" w:line="268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Methodology reference: see the Property Data Sourcing Guide (Rule 1 — transaction-pair verification) for the full comp validation method this document applies.</w:t>
      </w:r>
    </w:p>
    <w:p>
      <w:pPr>
        <w:spacing w:after="0" w:line="268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Source: Newtree's comps and skip-trace platform. Pulled [Month Day, Year].</w:t>
      </w:r>
    </w:p>
    <w:sectPr>
      <w:headerReference w:type="default" r:id="rId7"/>
      <w:footerReference w:type="default" r:id="rId8"/>
      <w:pgSz w:w="12240" w:h="15840" w:orient="portrait"/>
      <w:pgMar w:top="1000" w:right="720" w:bottom="10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Page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of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3aa9a15b637523f01fbc0bf0a7130283577962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2026-08-23T19:16:15.772Z</dcterms:created>
  <dcterms:modified xsi:type="dcterms:W3CDTF">2026-08-23T19:16:15.847Z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