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start"/>
        <w:rPr/>
      </w:pPr>
      <w:r>
        <w:rPr/>
        <w:drawing>
          <wp:inline distT="0" distB="0" distL="0" distR="0">
            <wp:extent cx="2095500" cy="85725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95500" cy="857250"/>
                    </a:xfrm>
                    <a:prstGeom prst="rect">
                      <a:avLst/>
                    </a:prstGeom>
                    <a:noFill/>
                  </pic:spPr>
                </pic:pic>
              </a:graphicData>
            </a:graphic>
          </wp:inline>
        </w:drawing>
      </w:r>
    </w:p>
    <w:p>
      <w:pPr>
        <w:pStyle w:val="Normal"/>
        <w:spacing w:before="0" w:after="60"/>
        <w:rPr/>
      </w:pPr>
      <w:r>
        <w:rPr>
          <w:b/>
          <w:bCs/>
          <w:color w:val="1F3864"/>
          <w:sz w:val="40"/>
          <w:szCs w:val="40"/>
        </w:rPr>
        <w:t>Demographics &amp; Economics Module</w:t>
      </w:r>
    </w:p>
    <w:p>
      <w:pPr>
        <w:pStyle w:val="Normal"/>
        <w:spacing w:before="0" w:after="60"/>
        <w:rPr/>
      </w:pPr>
      <w:r>
        <w:rPr>
          <w:i/>
          <w:iCs/>
          <w:color w:val="B8860B"/>
          <w:sz w:val="26"/>
          <w:szCs w:val="26"/>
        </w:rPr>
        <w:t>Reference — What's Built, What's Planned</w:t>
      </w:r>
    </w:p>
    <w:p>
      <w:pPr>
        <w:pStyle w:val="Normal"/>
        <w:spacing w:before="0" w:after="400"/>
        <w:rPr/>
      </w:pPr>
      <w:r>
        <w:rPr>
          <w:color w:val="595959"/>
          <w:sz w:val="20"/>
          <w:szCs w:val="20"/>
        </w:rPr>
        <w:t>Newtree Capital Resources LLC — Internal Reference</w:t>
      </w:r>
    </w:p>
    <w:p>
      <w:pPr>
        <w:pStyle w:val="Heading1"/>
        <w:spacing w:before="320" w:after="160"/>
        <w:rPr/>
      </w:pPr>
      <w:r>
        <w:rPr/>
        <w:t>Purpose &amp; Important Framing</w:t>
      </w:r>
    </w:p>
    <w:p>
      <w:pPr>
        <w:pStyle w:val="Normal"/>
        <w:spacing w:before="0" w:after="160"/>
        <w:rPr/>
      </w:pPr>
      <w:r>
        <w:rPr/>
        <w:t>This document reconstructs and documents the Demographics &amp; Economics module of the property reconciliation pipeline (reconcile.py / fetch_demographics.py), recovered from a prior session that did not make it into this Claude Project. It's a key part of the report — the section that answers "what does this neighborhood actually look like" for a client evaluating a deal.</w:t>
      </w:r>
    </w:p>
    <w:p>
      <w:pPr>
        <w:pStyle w:val="Normal"/>
        <w:spacing w:before="0" w:after="160"/>
        <w:rPr/>
      </w:pPr>
      <w:r>
        <w:rPr>
          <w:i/>
          <w:iCs/>
          <w:color w:val="C00000"/>
        </w:rPr>
        <w:t>IMPORTANT: this session mapped out an ambitious expansion (metro/CBSA context, distance calculations, nearest-incorporated-city lookup, commercial centers, permit-office routing, historical trend pulls) in real detail — but the prior session's own summary is explicit that this expansion was "a full plan mapped out but not yet built." What's actually built and tested is a narrower, real, working module: county- and place-level population, income, renter %, population trend, and unemployment trend. This document is careful to separate the two, so nothing gets carried forward as "done" that wasn't actually built. See the status table below.</w:t>
      </w:r>
    </w:p>
    <w:p>
      <w:pPr>
        <w:pStyle w:val="Heading1"/>
        <w:spacing w:before="320" w:after="160"/>
        <w:rPr/>
      </w:pPr>
      <w:r>
        <w:rPr/>
        <w:t>Status At A Glance</w:t>
      </w:r>
    </w:p>
    <w:tbl>
      <w:tblPr>
        <w:tblW w:w="9400" w:type="dxa"/>
        <w:jc w:val="start"/>
        <w:tblInd w:w="0" w:type="dxa"/>
        <w:tblLayout w:type="fixed"/>
        <w:tblCellMar>
          <w:top w:w="80" w:type="dxa"/>
          <w:start w:w="100" w:type="dxa"/>
          <w:bottom w:w="80" w:type="dxa"/>
          <w:end w:w="100" w:type="dxa"/>
        </w:tblCellMar>
      </w:tblPr>
      <w:tblGrid>
        <w:gridCol w:w="4700"/>
        <w:gridCol w:w="4700"/>
      </w:tblGrid>
      <w:tr>
        <w:trPr>
          <w:tblHeader w:val="true"/>
        </w:trPr>
        <w:tc>
          <w:tcPr>
            <w:tcW w:w="47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Feature</w:t>
            </w:r>
          </w:p>
        </w:tc>
        <w:tc>
          <w:tcPr>
            <w:tcW w:w="47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Status</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Address geocoding (county/place/CDP identification)</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BUILT — tested live, no API key required</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Nearest-city name (incorporated place / CDP / mailing city / county subdivision fallback chain)</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BUILT — tested live, bug-fixed (see below)</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County &amp; place population, median household income, renter-occupied %</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BUILT — code complete, needs a live Census API key to confirm the ACS call end-to-end</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County population trend (multi-year)</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BUILT — code complete, needs a live Census API key to confirm</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County unemployment trend</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BUILT — tested live, no API key required</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CBSA (metro/micropolitan) name and population</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PLANNED — not built. Data is already present in the geocoder response; needs a new field read and an ACS call at CBSA level.</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Distance from property to metro area</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PLANNED — not built. Needs metro principal-city coordinates and a distance calculation (straight-line, per Harold's decision — drive-time deferred).</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Nearest INCORPORATED city (for unincorporated addresses, distinct from the CDP fallback already built)</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PLANNED — not built. Needs a Places-tool search, not just geocoder data.</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Historical trends for income/home value/rent (not just population)</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PLANNED — not built. Would reuse the existing ACS call pattern with a second (older) vintage.</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Commercial centers (Home Depot, Lowe's, Costco, Walmart, Sam's Club — nearest + distance)</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PLANNED — not built. Needs the Places tool, no new API key.</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Permit office routing (city if incorporated, county/parish if not)</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PLANNED — not built. Needs a curated lookup table keyed by FIPS code, live web search as fallback.</w:t>
            </w:r>
          </w:p>
        </w:tc>
      </w:tr>
    </w:tbl>
    <w:p>
      <w:pPr>
        <w:pStyle w:val="Normal"/>
        <w:spacing w:before="0" w:after="200"/>
        <w:rPr/>
      </w:pPr>
      <w:r>
        <w:rPr/>
      </w:r>
    </w:p>
    <w:p>
      <w:pPr>
        <w:pStyle w:val="Heading1"/>
        <w:spacing w:before="320" w:after="160"/>
        <w:rPr/>
      </w:pPr>
      <w:r>
        <w:rPr/>
        <w:t>What's Built — fetch_demographics.py</w:t>
      </w:r>
    </w:p>
    <w:p>
      <w:pPr>
        <w:pStyle w:val="Normal"/>
        <w:spacing w:before="0" w:after="160"/>
        <w:rPr/>
      </w:pPr>
      <w:r>
        <w:rPr/>
        <w:t>A standalone Python module, designed to be imported by reconcile.py as fetch_demographics(address) -&gt; dict, or run standalone for testing. The reconstructed, verified-working version accompanies this document as fetch_demographics.py.</w:t>
      </w:r>
    </w:p>
    <w:p>
      <w:pPr>
        <w:pStyle w:val="Heading2"/>
        <w:spacing w:before="240" w:after="120"/>
        <w:rPr/>
      </w:pPr>
      <w:r>
        <w:rPr/>
        <w:t>Data Sources</w:t>
      </w:r>
    </w:p>
    <w:tbl>
      <w:tblPr>
        <w:tblW w:w="9400" w:type="dxa"/>
        <w:jc w:val="start"/>
        <w:tblInd w:w="0" w:type="dxa"/>
        <w:tblLayout w:type="fixed"/>
        <w:tblCellMar>
          <w:top w:w="80" w:type="dxa"/>
          <w:start w:w="100" w:type="dxa"/>
          <w:bottom w:w="80" w:type="dxa"/>
          <w:end w:w="100" w:type="dxa"/>
        </w:tblCellMar>
      </w:tblPr>
      <w:tblGrid>
        <w:gridCol w:w="3133"/>
        <w:gridCol w:w="3133"/>
        <w:gridCol w:w="3134"/>
      </w:tblGrid>
      <w:tr>
        <w:trPr>
          <w:tblHeader w:val="true"/>
        </w:trPr>
        <w:tc>
          <w:tcPr>
            <w:tcW w:w="3133"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Source</w:t>
            </w:r>
          </w:p>
        </w:tc>
        <w:tc>
          <w:tcPr>
            <w:tcW w:w="3133"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Provides</w:t>
            </w:r>
          </w:p>
        </w:tc>
        <w:tc>
          <w:tcPr>
            <w:tcW w:w="3134"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API Key Required?</w:t>
            </w:r>
          </w:p>
        </w:tc>
      </w:tr>
      <w:tr>
        <w:trPr/>
        <w:tc>
          <w:tcPr>
            <w:tcW w:w="3133"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Census Geocoder (geocoding.geo.census.gov)</w:t>
            </w:r>
          </w:p>
        </w:tc>
        <w:tc>
          <w:tcPr>
            <w:tcW w:w="3133"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State/county/place/CDP FIPS codes from an address</w:t>
            </w:r>
          </w:p>
        </w:tc>
        <w:tc>
          <w:tcPr>
            <w:tcW w:w="3134"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No — separate service, unaffected by the ACS/PEP key mandate below</w:t>
            </w:r>
          </w:p>
        </w:tc>
      </w:tr>
      <w:tr>
        <w:trPr/>
        <w:tc>
          <w:tcPr>
            <w:tcW w:w="3133"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Census ACS 5-Year (2023 vintage)</w:t>
            </w:r>
          </w:p>
        </w:tc>
        <w:tc>
          <w:tcPr>
            <w:tcW w:w="3133"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Population, median household income, renter-occupied %</w:t>
            </w:r>
          </w:p>
        </w:tc>
        <w:tc>
          <w:tcPr>
            <w:tcW w:w="3134"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YES, MANDATORY as of May 12, 2026 — see note below</w:t>
            </w:r>
          </w:p>
        </w:tc>
      </w:tr>
      <w:tr>
        <w:trPr/>
        <w:tc>
          <w:tcPr>
            <w:tcW w:w="3133"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Census PEP (Population Estimates Program)</w:t>
            </w:r>
          </w:p>
        </w:tc>
        <w:tc>
          <w:tcPr>
            <w:tcW w:w="3133"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County-level population trend across multiple vintages</w:t>
            </w:r>
          </w:p>
        </w:tc>
        <w:tc>
          <w:tcPr>
            <w:tcW w:w="3134"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YES, MANDATORY as of May 12, 2026 — same key as ACS</w:t>
            </w:r>
          </w:p>
        </w:tc>
      </w:tr>
      <w:tr>
        <w:trPr/>
        <w:tc>
          <w:tcPr>
            <w:tcW w:w="3133"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BLS Local Area Unemployment Statistics</w:t>
            </w:r>
          </w:p>
        </w:tc>
        <w:tc>
          <w:tcPr>
            <w:tcW w:w="3133"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County-level unemployment rate, latest vs. year-ago</w:t>
            </w:r>
          </w:p>
        </w:tc>
        <w:tc>
          <w:tcPr>
            <w:tcW w:w="3134"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No (separate agency/policy; rate-limited to 25/day without a free key, 500/day with one)</w:t>
            </w:r>
          </w:p>
        </w:tc>
      </w:tr>
    </w:tbl>
    <w:p>
      <w:pPr>
        <w:pStyle w:val="Normal"/>
        <w:spacing w:before="0" w:after="200"/>
        <w:rPr/>
      </w:pPr>
      <w:r>
        <w:rPr/>
      </w:r>
    </w:p>
    <w:p>
      <w:pPr>
        <w:pStyle w:val="Normal"/>
        <w:spacing w:before="0" w:after="160"/>
        <w:rPr/>
      </w:pPr>
      <w:r>
        <w:rPr>
          <w:i/>
          <w:iCs/>
          <w:color w:val="C00000"/>
        </w:rPr>
        <w:t>UPDATED FINDING: the Census Bureau made API keys mandatory for every api.census.gov Data API call (ACS, PEP, and all other datasets on that domain) as of May 12, 2026 — this is a recent, real policy change, not a restatement of the original build notes. Before that date, up to 500 unkeyed queries per IP per day were allowed for free; that grace tier is gone. This means the key is now a hard requirement for the population/income/renter-%/population-trend pieces, not an optional nice-to-have — there is no unkeyed fallback for the ACS/PEP calls anymore. The Census Geocoder (a separate service, different domain) and BLS unemployment (a separate agency) are unaffected and still work without a key.</w:t>
      </w:r>
    </w:p>
    <w:p>
      <w:pPr>
        <w:pStyle w:val="Normal"/>
        <w:spacing w:before="0" w:after="120"/>
        <w:rPr/>
      </w:pPr>
      <w:r>
        <w:rPr>
          <w:b/>
          <w:bCs/>
        </w:rPr>
        <w:t xml:space="preserve">Census API key: </w:t>
      </w:r>
      <w:r>
        <w:rPr/>
        <w:t>the one outstanding blocker for the ACS/PEP pieces (population, income, renter %, population trend), and now a mandatory one rather than a rate-limit workaround. Sign up free, instant, no approval wait, at https://api.census.gov/data/key_signup.html — then set as the CENSUS_API_KEY environment variable. Geocoding and unemployment trend still work without it.</w:t>
      </w:r>
    </w:p>
    <w:p>
      <w:pPr>
        <w:pStyle w:val="Heading2"/>
        <w:spacing w:before="240" w:after="120"/>
        <w:rPr/>
      </w:pPr>
      <w:r>
        <w:rPr/>
        <w:t>ACS Variables Used</w:t>
      </w:r>
    </w:p>
    <w:tbl>
      <w:tblPr>
        <w:tblW w:w="9400" w:type="dxa"/>
        <w:jc w:val="start"/>
        <w:tblInd w:w="0" w:type="dxa"/>
        <w:tblLayout w:type="fixed"/>
        <w:tblCellMar>
          <w:top w:w="80" w:type="dxa"/>
          <w:start w:w="100" w:type="dxa"/>
          <w:bottom w:w="80" w:type="dxa"/>
          <w:end w:w="100" w:type="dxa"/>
        </w:tblCellMar>
      </w:tblPr>
      <w:tblGrid>
        <w:gridCol w:w="4700"/>
        <w:gridCol w:w="4700"/>
      </w:tblGrid>
      <w:tr>
        <w:trPr>
          <w:tblHeader w:val="true"/>
        </w:trPr>
        <w:tc>
          <w:tcPr>
            <w:tcW w:w="47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Code</w:t>
            </w:r>
          </w:p>
        </w:tc>
        <w:tc>
          <w:tcPr>
            <w:tcW w:w="47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Meaning</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B01003_001E</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Total population</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B19013_001E</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Median household income</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B25003_001E</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Total occupied housing units</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B25003_003E</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Renter-occupied housing units (used with B25003_001E to compute renter %)</w:t>
            </w:r>
          </w:p>
        </w:tc>
      </w:tr>
    </w:tbl>
    <w:p>
      <w:pPr>
        <w:pStyle w:val="Normal"/>
        <w:spacing w:before="0" w:after="200"/>
        <w:rPr/>
      </w:pPr>
      <w:r>
        <w:rPr/>
      </w:r>
    </w:p>
    <w:p>
      <w:pPr>
        <w:pStyle w:val="Normal"/>
        <w:rPr/>
      </w:pPr>
      <w:r>
        <w:rPr/>
      </w:r>
      <w:r>
        <w:br w:type="page"/>
      </w:r>
    </w:p>
    <w:p>
      <w:pPr>
        <w:pStyle w:val="Heading2"/>
        <w:spacing w:before="0" w:after="120"/>
        <w:rPr/>
      </w:pPr>
      <w:r>
        <w:rPr/>
        <w:t>A Real Bug That Was Found and Fixed — Worth Understanding, Not Just Trusting</w:t>
      </w:r>
    </w:p>
    <w:p>
      <w:pPr>
        <w:pStyle w:val="Normal"/>
        <w:spacing w:before="0" w:after="160"/>
        <w:rPr/>
      </w:pPr>
      <w:r>
        <w:rPr/>
        <w:t>The nearest-city logic originally had only one fallback for unincorporated addresses: the Census "county subdivision" name. Tested against 84 Inlet Dr, Slidell, LA, this returned "District 12" as the nearest city — a Louisiana police jury voting ward with zero public recognition value, useless in a client-facing brief.</w:t>
      </w:r>
    </w:p>
    <w:p>
      <w:pPr>
        <w:pStyle w:val="Normal"/>
        <w:spacing w:before="0" w:after="160"/>
        <w:rPr/>
      </w:pPr>
      <w:r>
        <w:rPr/>
        <w:t>Root cause: Louisiana (and some other states) organize unincorporated area subdivisions as voting districts, not recognizable place names. The fix adds a proper 4-tier fallback chain, checked in priority order:</w:t>
      </w:r>
    </w:p>
    <w:tbl>
      <w:tblPr>
        <w:tblW w:w="9400" w:type="dxa"/>
        <w:jc w:val="start"/>
        <w:tblInd w:w="0" w:type="dxa"/>
        <w:tblLayout w:type="fixed"/>
        <w:tblCellMar>
          <w:top w:w="80" w:type="dxa"/>
          <w:start w:w="100" w:type="dxa"/>
          <w:bottom w:w="80" w:type="dxa"/>
          <w:end w:w="100" w:type="dxa"/>
        </w:tblCellMar>
      </w:tblPr>
      <w:tblGrid>
        <w:gridCol w:w="2350"/>
        <w:gridCol w:w="2350"/>
        <w:gridCol w:w="2350"/>
        <w:gridCol w:w="2350"/>
      </w:tblGrid>
      <w:tr>
        <w:trPr>
          <w:tblHeader w:val="true"/>
        </w:trPr>
        <w:tc>
          <w:tcPr>
            <w:tcW w:w="235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Tier</w:t>
            </w:r>
          </w:p>
        </w:tc>
        <w:tc>
          <w:tcPr>
            <w:tcW w:w="235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Source</w:t>
            </w:r>
          </w:p>
        </w:tc>
        <w:tc>
          <w:tcPr>
            <w:tcW w:w="235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Example</w:t>
            </w:r>
          </w:p>
        </w:tc>
        <w:tc>
          <w:tcPr>
            <w:tcW w:w="235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Caveat shown</w:t>
            </w:r>
          </w:p>
        </w:tc>
      </w:tr>
      <w:tr>
        <w:trPr/>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1</w:t>
            </w:r>
          </w:p>
        </w:tc>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Incorporated place</w:t>
            </w:r>
          </w:p>
        </w:tc>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"New Orleans city"</w:t>
            </w:r>
          </w:p>
        </w:tc>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None — this is a real, legal city</w:t>
            </w:r>
          </w:p>
        </w:tc>
      </w:tr>
      <w:tr>
        <w:trPr/>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2</w:t>
            </w:r>
          </w:p>
        </w:tc>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Census Designated Place (CDP)</w:t>
            </w:r>
          </w:p>
        </w:tc>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"Eden Isle"</w:t>
            </w:r>
          </w:p>
        </w:tc>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Unincorporated Census-designated place, not a legal city</w:t>
            </w:r>
          </w:p>
        </w:tc>
      </w:tr>
      <w:tr>
        <w:trPr/>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3</w:t>
            </w:r>
          </w:p>
        </w:tc>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Mailing-address city (parsed from the input address string)</w:t>
            </w:r>
          </w:p>
        </w:tc>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"Slidell"</w:t>
            </w:r>
          </w:p>
        </w:tc>
        <w:tc>
          <w:tcPr>
            <w:tcW w:w="235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USPS postal designation, not a legal municipal boundary</w:t>
            </w:r>
          </w:p>
        </w:tc>
      </w:tr>
      <w:tr>
        <w:trPr/>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4 (last resort)</w:t>
            </w:r>
          </w:p>
        </w:tc>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County subdivision</w:t>
            </w:r>
          </w:p>
        </w:tc>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"District 12"</w:t>
            </w:r>
          </w:p>
        </w:tc>
        <w:tc>
          <w:tcPr>
            <w:tcW w:w="235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Administrative subdivision on file, not a legal city boundary</w:t>
            </w:r>
          </w:p>
        </w:tc>
      </w:tr>
    </w:tbl>
    <w:p>
      <w:pPr>
        <w:pStyle w:val="Normal"/>
        <w:spacing w:before="0" w:after="200"/>
        <w:rPr/>
      </w:pPr>
      <w:r>
        <w:rPr/>
      </w:r>
    </w:p>
    <w:p>
      <w:pPr>
        <w:pStyle w:val="Normal"/>
        <w:spacing w:before="0" w:after="160"/>
        <w:rPr/>
      </w:pPr>
      <w:r>
        <w:rPr/>
        <w:t>Retested live against 84 Inlet Dr after the fix: correctly returns "Eden Isle" with the appropriate caveat, instead of "District 12." This fix is included in the reconstructed fetch_demographics.py accompanying this document — confirmed working.</w:t>
      </w:r>
    </w:p>
    <w:p>
      <w:pPr>
        <w:pStyle w:val="Heading1"/>
        <w:spacing w:before="320" w:after="160"/>
        <w:rPr/>
      </w:pPr>
      <w:r>
        <w:rPr/>
        <w:t>What's Planned But Not Built — The Expansion Backlog</w:t>
      </w:r>
    </w:p>
    <w:p>
      <w:pPr>
        <w:pStyle w:val="Normal"/>
        <w:spacing w:before="0" w:after="160"/>
        <w:rPr/>
      </w:pPr>
      <w:r>
        <w:rPr/>
        <w:t>This is the detailed plan from the prior session, preserved here as an actual backlog rather than something already delivered. Each item includes the approach already agreed on, so building any of these later doesn't require re-deciding the design.</w:t>
      </w:r>
    </w:p>
    <w:p>
      <w:pPr>
        <w:pStyle w:val="Heading2"/>
        <w:spacing w:before="240" w:after="120"/>
        <w:rPr/>
      </w:pPr>
      <w:r>
        <w:rPr/>
        <w:t>1. Historical Trends (income, home value, rent, population, renter %)</w:t>
      </w:r>
    </w:p>
    <w:p>
      <w:pPr>
        <w:pStyle w:val="Normal"/>
        <w:spacing w:before="0" w:after="160"/>
        <w:rPr/>
      </w:pPr>
      <w:r>
        <w:rPr/>
        <w:t>Currently only population trend is pulled (via PEP). The plan: reuse the existing ACS call pattern but pull two vintages (e.g. ~2019 vs. latest) instead of one, for income/home value/rent/renter % as well as population. No new API or key needed — same Census key already in use.</w:t>
      </w:r>
    </w:p>
    <w:p>
      <w:pPr>
        <w:pStyle w:val="Heading2"/>
        <w:spacing w:before="240" w:after="120"/>
        <w:rPr/>
      </w:pPr>
      <w:r>
        <w:rPr/>
        <w:t>2. Metro Area Context (CBSA)</w:t>
      </w:r>
    </w:p>
    <w:p>
      <w:pPr>
        <w:pStyle w:val="Normal"/>
        <w:spacing w:before="0" w:after="160"/>
        <w:rPr/>
      </w:pPr>
      <w:r>
        <w:rPr/>
        <w:t>Census Core Based Statistical Area (CBSA) is the actual "metropolitan/micropolitan area" geography. The geocoder response already includes a Combined Statistical Area name (confirmed seen live on 84 Inlet Dr) that isn't currently being surfaced — this is a matter of reading an already-returned field, not a new API call. CBSA-level population would need one additional ACS call at the CBSA geography level.</w:t>
      </w:r>
    </w:p>
    <w:p>
      <w:pPr>
        <w:pStyle w:val="Heading2"/>
        <w:spacing w:before="240" w:after="120"/>
        <w:rPr/>
      </w:pPr>
      <w:r>
        <w:rPr/>
        <w:t>3. Distance to Metro Area</w:t>
      </w:r>
    </w:p>
    <w:p>
      <w:pPr>
        <w:pStyle w:val="Normal"/>
        <w:spacing w:before="0" w:after="160"/>
        <w:rPr/>
      </w:pPr>
      <w:r>
        <w:rPr/>
        <w:t>Requires the metro area's principal city coordinates (or boundary) and a distance calculation from the property's coordinates (already available from geocoding). Harold's decision: straight-line distance for now (fast, free, good enough for context) — drive-time distance deferred as a future add-on, since that would require a routing API call per property.</w:t>
      </w:r>
    </w:p>
    <w:p>
      <w:pPr>
        <w:pStyle w:val="Heading2"/>
        <w:spacing w:before="240" w:after="120"/>
        <w:rPr/>
      </w:pPr>
      <w:r>
        <w:rPr/>
        <w:t>4. Nearest Incorporated City (distinct from the CDP fallback already built)</w:t>
      </w:r>
    </w:p>
    <w:p>
      <w:pPr>
        <w:pStyle w:val="Normal"/>
        <w:spacing w:before="0" w:after="160"/>
        <w:rPr/>
      </w:pPr>
      <w:r>
        <w:rPr/>
        <w:t>The CDP fallback (Tier 2 above) solves "what do we call this place" for the brief's nearest-city field. It does NOT solve "what is the nearest actual incorporated city and how big is it" — the Census geocoder only reports what contains the address point, it doesn't do nearest-other-place searches. Plan: two-step lookup — Places tool to find the nearest incorporated city by name, then an ACS call for that city's population, same pattern as everything else.</w:t>
      </w:r>
    </w:p>
    <w:p>
      <w:pPr>
        <w:pStyle w:val="Heading2"/>
        <w:spacing w:before="240" w:after="120"/>
        <w:rPr/>
      </w:pPr>
      <w:r>
        <w:rPr/>
        <w:t>5. Commercial Centers</w:t>
      </w:r>
    </w:p>
    <w:p>
      <w:pPr>
        <w:pStyle w:val="Normal"/>
        <w:spacing w:before="0" w:after="160"/>
        <w:rPr/>
      </w:pPr>
      <w:r>
        <w:rPr/>
        <w:t>Home Depot, Lowe's, Costco, Walmart, Sam's Club — nearest of each, with distance. Uses the Places tool already available, no new API key needed. List should be confirmed/expanded when this actually gets built.</w:t>
      </w:r>
    </w:p>
    <w:p>
      <w:pPr>
        <w:pStyle w:val="Heading2"/>
        <w:spacing w:before="240" w:after="120"/>
        <w:rPr/>
      </w:pPr>
      <w:r>
        <w:rPr/>
        <w:t>6. Permit Office Routing</w:t>
      </w:r>
    </w:p>
    <w:p>
      <w:pPr>
        <w:pStyle w:val="Normal"/>
        <w:spacing w:before="0" w:after="160"/>
        <w:rPr/>
      </w:pPr>
      <w:r>
        <w:rPr/>
        <w:t>No nationwide standardized API exists for this. Plan: incorporated addresses route to the city building/permits department (using the place_name already resolved by the geocoder); unincorporated addresses route to the county/parish department (using county_name). This needs only two entry types per FIPS-keyed jurisdiction — one city office, one county office — not a per-city build-out.</w:t>
      </w:r>
    </w:p>
    <w:p>
      <w:pPr>
        <w:pStyle w:val="Normal"/>
        <w:spacing w:before="0" w:after="160"/>
        <w:rPr/>
      </w:pPr>
      <w:r>
        <w:rPr/>
        <w:t>Build order agreed: the 5 county/parish-level entries needed right now as the fixed backbone (Humboldt, Sonoma, Mendocino County CA; Orleans, St. Tammany Parish LA), with city-level entries added incrementally only when a deal actually lands in an incorporated city — not built exhaustively upfront. Live web search as the gap-filler for any jurisdiction not yet in the table, clearly flagged as unverified versus the curated entries.</w:t>
      </w:r>
    </w:p>
    <w:p>
      <w:pPr>
        <w:pStyle w:val="Normal"/>
        <w:rPr/>
      </w:pPr>
      <w:r>
        <w:rPr/>
      </w:r>
      <w:r>
        <w:br w:type="page"/>
      </w:r>
    </w:p>
    <w:p>
      <w:pPr>
        <w:pStyle w:val="Heading1"/>
        <w:spacing w:before="0" w:after="160"/>
        <w:rPr/>
      </w:pPr>
      <w:r>
        <w:rPr/>
        <w:t>How This Feeds the Brief</w:t>
      </w:r>
    </w:p>
    <w:p>
      <w:pPr>
        <w:pStyle w:val="Normal"/>
        <w:spacing w:before="0" w:after="160"/>
        <w:rPr/>
      </w:pPr>
      <w:r>
        <w:rPr/>
        <w:t>fetch_demographics.py's output is attached to the reconciled property JSON as the demographics_economics key, then rendered by generate_brief.js into the brief's "Demographics &amp; Economics" section — one of the standard sections in every brief, positioned after Strategy Recommendations and Observations, before the third-party AI insight and data-verification sections.</w:t>
      </w:r>
    </w:p>
    <w:p>
      <w:pPr>
        <w:pStyle w:val="Normal"/>
        <w:spacing w:before="0" w:after="160"/>
        <w:rPr/>
      </w:pPr>
      <w:r>
        <w:rPr/>
        <w:t>The renderer builds a label/value table covering: nearest city (with its tier-appropriate caveat if applicable), county population, county median household income, county renter-occupied %, city population and income (when the address is incorporated), county population trend, and county unemployment rate (latest and year-ago). If the ACS call fails (e.g. no API key set), the section still renders with a plain-language note that population/income/renter-% figures are unavailable for that run, rather than breaking the whole brief.</w:t>
      </w:r>
    </w:p>
    <w:p>
      <w:pPr>
        <w:pStyle w:val="Normal"/>
        <w:spacing w:before="0" w:after="160"/>
        <w:rPr/>
      </w:pPr>
      <w:r>
        <w:rPr/>
        <w:t>Source line shown at the bottom of every rendered section: "U.S. Census Bureau (ACS 5-Year Estimates, Population Estimates Program) and Bureau of Labor Statistics (Local Area Unemployment Statistics), county level unless noted."</w:t>
      </w:r>
    </w:p>
    <w:p>
      <w:pPr>
        <w:pStyle w:val="Heading1"/>
        <w:spacing w:before="320" w:after="160"/>
        <w:rPr/>
      </w:pPr>
      <w:r>
        <w:rPr/>
        <w:t>Next Steps</w:t>
      </w:r>
    </w:p>
    <w:tbl>
      <w:tblPr>
        <w:tblW w:w="9400" w:type="dxa"/>
        <w:jc w:val="start"/>
        <w:tblInd w:w="0" w:type="dxa"/>
        <w:tblLayout w:type="fixed"/>
        <w:tblCellMar>
          <w:top w:w="80" w:type="dxa"/>
          <w:start w:w="100" w:type="dxa"/>
          <w:bottom w:w="80" w:type="dxa"/>
          <w:end w:w="100" w:type="dxa"/>
        </w:tblCellMar>
      </w:tblPr>
      <w:tblGrid>
        <w:gridCol w:w="4700"/>
        <w:gridCol w:w="4700"/>
      </w:tblGrid>
      <w:tr>
        <w:trPr>
          <w:tblHeader w:val="true"/>
        </w:trPr>
        <w:tc>
          <w:tcPr>
            <w:tcW w:w="47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Action</w:t>
            </w:r>
          </w:p>
        </w:tc>
        <w:tc>
          <w:tcPr>
            <w:tcW w:w="4700" w:type="dxa"/>
            <w:tcBorders>
              <w:top w:val="single" w:sz="4" w:space="0" w:color="000000"/>
              <w:start w:val="single" w:sz="4" w:space="0" w:color="000000"/>
              <w:bottom w:val="single" w:sz="4" w:space="0" w:color="000000"/>
              <w:end w:val="single" w:sz="4" w:space="0" w:color="000000"/>
            </w:tcBorders>
            <w:shd w:fill="1F3864" w:val="clear"/>
          </w:tcPr>
          <w:p>
            <w:pPr>
              <w:pStyle w:val="Normal"/>
              <w:rPr/>
            </w:pPr>
            <w:r>
              <w:rPr>
                <w:b/>
                <w:bCs/>
                <w:color w:val="FFFFFF"/>
                <w:sz w:val="19"/>
                <w:szCs w:val="19"/>
              </w:rPr>
              <w:t>Blocker</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Get the Census API key and set CENSUS_API_KEY — now MANDATORY, not optional, per the May 2026 policy change</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None — free, instant signup, no approval wait</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Confirm ACS/PEP calls work live end-to-end once the key is set</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Depends on the key above</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Build item 2 (CBSA name/population) — likely the fastest of the planned items</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None — data partly already available</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Build item 3 (distance to metro)</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Needs item 2's CBSA principal-city coordinates first</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Build item 5 (commercial centers)</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None — Places tool already available</w:t>
            </w:r>
          </w:p>
        </w:tc>
      </w:tr>
      <w:tr>
        <w:trPr/>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Build item 6 (permit office table) for the 5 active counties/parishes</w:t>
            </w:r>
          </w:p>
        </w:tc>
        <w:tc>
          <w:tcPr>
            <w:tcW w:w="4700" w:type="dxa"/>
            <w:tcBorders>
              <w:top w:val="single" w:sz="4" w:space="0" w:color="000000"/>
              <w:start w:val="single" w:sz="4" w:space="0" w:color="000000"/>
              <w:bottom w:val="single" w:sz="4" w:space="0" w:color="000000"/>
              <w:end w:val="single" w:sz="4" w:space="0" w:color="000000"/>
            </w:tcBorders>
            <w:shd w:fill="F2F2F2" w:val="clear"/>
            <w:tcMar>
              <w:top w:w="60" w:type="dxa"/>
              <w:bottom w:w="60" w:type="dxa"/>
            </w:tcMar>
          </w:tcPr>
          <w:p>
            <w:pPr>
              <w:pStyle w:val="Normal"/>
              <w:rPr/>
            </w:pPr>
            <w:r>
              <w:rPr>
                <w:sz w:val="19"/>
                <w:szCs w:val="19"/>
              </w:rPr>
              <w:t>Manual one-time research per jurisdiction</w:t>
            </w:r>
          </w:p>
        </w:tc>
      </w:tr>
      <w:tr>
        <w:trPr/>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Build items 1 and 4</w:t>
            </w:r>
          </w:p>
        </w:tc>
        <w:tc>
          <w:tcPr>
            <w:tcW w:w="4700" w:type="dxa"/>
            <w:tcBorders>
              <w:top w:val="single" w:sz="4" w:space="0" w:color="000000"/>
              <w:start w:val="single" w:sz="4" w:space="0" w:color="000000"/>
              <w:bottom w:val="single" w:sz="4" w:space="0" w:color="000000"/>
              <w:end w:val="single" w:sz="4" w:space="0" w:color="000000"/>
            </w:tcBorders>
            <w:tcMar>
              <w:top w:w="60" w:type="dxa"/>
              <w:bottom w:w="60" w:type="dxa"/>
            </w:tcMar>
          </w:tcPr>
          <w:p>
            <w:pPr>
              <w:pStyle w:val="Normal"/>
              <w:rPr/>
            </w:pPr>
            <w:r>
              <w:rPr>
                <w:sz w:val="19"/>
                <w:szCs w:val="19"/>
              </w:rPr>
              <w:t>None — can be built any time, lower priority per original build order</w:t>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6"/>
        <w:szCs w:val="16"/>
      </w:rPr>
      <w:t xml:space="preserve">Page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595959"/>
        <w:sz w:val="16"/>
        <w:szCs w:val="16"/>
      </w:rPr>
      <w:t>Demographics &amp; Economics Module — Reference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i/>
        <w:iCs/>
        <w:color w:val="595959"/>
        <w:sz w:val="16"/>
        <w:szCs w:val="16"/>
      </w:rPr>
      <w:t>Demographics &amp; Economics Module — Reference</w:t>
    </w:r>
  </w:p>
</w:hdr>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3</Pages>
  <Words>1657</Words>
  <Characters>9661</Characters>
  <CharactersWithSpaces>11240</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2026-08-21T17:03:40Z</dcterms:created>
  <dc:creator>Un-named</dc:creator>
  <dc:description/>
  <dc:language>en-US</dc:language>
  <cp:lastModifiedBy>Un-named</cp:lastModifiedBy>
  <dcterms:modified xsi:type="dcterms:W3CDTF">2026-08-21T17:03:40Z</dcterms:modified>
  <cp:revision>1</cp:revision>
  <dc:subject/>
  <dc:title/>
</cp:coreProperties>
</file>