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61925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9262B"/>
          <w:sz w:val="32"/>
          <w:szCs w:val="32"/>
        </w:rPr>
        <w:t xml:space="preserve">KNOW YOUR NUMBERS BEFORE YOU MAKE THE OFFER</w:t>
      </w:r>
    </w:p>
    <w:p>
      <w:pPr>
        <w:spacing w:after="320"/>
        <w:jc w:val="center"/>
      </w:pPr>
      <w:r>
        <w:rPr>
          <w:rFonts w:ascii="Georgia" w:cs="Georgia" w:eastAsia="Georgia" w:hAnsi="Georgia"/>
          <w:i/>
          <w:iCs/>
          <w:color w:val="68521B"/>
          <w:sz w:val="22"/>
          <w:szCs w:val="22"/>
        </w:rPr>
        <w:t xml:space="preserve">A free, fully-sourced deal analysis — limited to our first 50–100 clients</w:t>
      </w:r>
    </w:p>
    <w:p>
      <w:pPr>
        <w:spacing w:after="110" w:line="25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fix-and-flip or rental deal lives or dies on the numbers behind it — the real after-repair value, the real rehab cost, the real margin between what you pay and what you can sell for. Most of the time, those numbers come from a gut check, a quick Zillow estimate, or a single agent's opinion.</w:t>
      </w:r>
    </w:p>
    <w:p>
      <w:pPr>
        <w:spacing w:after="110" w:line="25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 built something different: a deal analysis grounded in verified public records, cross-checked comparable sales, and a validation process built to catch bad data before it costs you money — not just an estimate, but a sourced, defensible one.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What You Get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b/>
          <w:bCs/>
          <w:color w:val="68521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written report on one property of your choosing — acquisition price check, after-repair value, rehab estimate, and a clear bottom line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b/>
          <w:bCs/>
          <w:color w:val="68521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 editable financial model you keep — adjust the rehab budget, hold period, or sale price yourself and watch your return recalculate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b/>
          <w:bCs/>
          <w:color w:val="68521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figure sourced and dated — county assessor records, verified comparable sales, cross-checked against multiple data sources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Why It's Different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b/>
          <w:bCs/>
          <w:color w:val="68521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 separate comparable sales into distinct tiers — as-is condition, retail renovation, and investor/rental exits — instead of blending them into one misleading average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b/>
          <w:bCs/>
          <w:color w:val="68521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 verify that a “renovated” comp was actually renovated, not just resold, before it ever influences your number</w:t>
      </w:r>
    </w:p>
    <w:p>
      <w:pPr>
        <w:spacing w:after="70"/>
        <w:ind w:left="260" w:hanging="260"/>
      </w:pPr>
      <w:r>
        <w:rPr>
          <w:rFonts w:ascii="Calibri" w:cs="Calibri" w:eastAsia="Calibri" w:hAnsi="Calibri"/>
          <w:b/>
          <w:bCs/>
          <w:color w:val="68521B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 check public tax and ownership records directly — not just third-party estimates that can run years out of date</w:t>
      </w:r>
    </w:p>
    <w:p>
      <w:pPr>
        <w:pBdr>
          <w:top w:val="single" w:color="D8BF77" w:sz="8" w:space="8"/>
          <w:bottom w:val="single" w:color="D8BF77" w:sz="8" w:space="8"/>
        </w:pBdr>
        <w:shd w:fill="F5F3EE" w:val="clear"/>
        <w:spacing w:after="0" w:before="160"/>
      </w:pPr>
      <w:r>
        <w:rPr>
          <w:sz w:val="4"/>
          <w:szCs w:val="4"/>
        </w:rPr>
        <w:t xml:space="preserve">  </w:t>
      </w:r>
    </w:p>
    <w:p>
      <w:pPr>
        <w:shd w:fill="F5F3EE" w:val="clear"/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9262B"/>
          <w:sz w:val="24"/>
          <w:szCs w:val="24"/>
        </w:rPr>
        <w:t xml:space="preserve">The Beta Offer</w:t>
      </w:r>
    </w:p>
    <w:p>
      <w:pPr>
        <w:shd w:fill="F5F3EE" w:val="clear"/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We're opening a limited number of free consultations — one property, full report and model, no cost — in exchange for your honest feedback afterward. Your input helps us set fair pricing before this becomes a paid service.</w:t>
      </w:r>
    </w:p>
    <w:p>
      <w:pPr>
        <w:shd w:fill="F5F3EE" w:val="clear"/>
        <w:spacing w:after="140"/>
        <w:jc w:val="center"/>
      </w:pPr>
      <w:r>
        <w:rPr>
          <w:rFonts w:ascii="Calibri" w:cs="Calibri" w:eastAsia="Calibri" w:hAnsi="Calibri"/>
          <w:b/>
          <w:bCs/>
          <w:i/>
          <w:iCs/>
          <w:color w:val="68521B"/>
          <w:sz w:val="20"/>
          <w:szCs w:val="20"/>
        </w:rPr>
        <w:t xml:space="preserve">Only 50–100 spots available.</w:t>
      </w:r>
    </w:p>
    <w:p>
      <w:pPr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19262B"/>
          <w:sz w:val="22"/>
          <w:szCs w:val="22"/>
        </w:rPr>
        <w:t xml:space="preserve">HOW TO APPLY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Complete the short application — we'll follow up with a brief call to confirm your spot.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68521B"/>
          <w:sz w:val="22"/>
          <w:szCs w:val="22"/>
        </w:rPr>
        <w:t xml:space="preserve">[Contact / application link]</w:t>
      </w:r>
    </w:p>
    <w:sectPr>
      <w:footerReference w:type="default" r:id="rId7"/>
      <w:pgSz w:w="12240" w:h="15840" w:orient="portrait"/>
      <w:pgMar w:top="620" w:right="1260" w:bottom="62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Newtree Capital Resources LLC</w:t>
    </w:r>
    <w:r>
      <w:rPr>
        <w:rFonts w:ascii="Calibri" w:cs="Calibri" w:eastAsia="Calibri" w:hAnsi="Calibri"/>
        <w:i/>
        <w:iCs/>
        <w:color w:val="68521B"/>
        <w:sz w:val="16"/>
        <w:szCs w:val="16"/>
      </w:rPr>
      <w:t xml:space="preserve">   ·   Limited beta — apply today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3aa9a15b637523f01fbc0bf0a7130283577962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2026-08-21T00:32:41.104Z</dcterms:created>
  <dcterms:modified xsi:type="dcterms:W3CDTF">2026-08-21T00:32:41.104Z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