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00" w:after="0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857500" cy="22860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500" w:after="0"/>
        <w:jc w:val="center"/>
        <w:rPr/>
      </w:pPr>
      <w:r>
        <w:rPr>
          <w:rFonts w:eastAsia="Georgia" w:cs="Georgia" w:ascii="Georgia" w:hAnsi="Georgia"/>
          <w:b/>
          <w:bCs/>
          <w:color w:val="19262B"/>
          <w:sz w:val="42"/>
          <w:szCs w:val="42"/>
        </w:rPr>
        <w:t>YOUR DEAL ANALYSIS</w:t>
      </w:r>
    </w:p>
    <w:p>
      <w:pPr>
        <w:pStyle w:val="Normal"/>
        <w:spacing w:before="120" w:after="0"/>
        <w:jc w:val="center"/>
        <w:rPr/>
      </w:pPr>
      <w:r>
        <w:rPr>
          <w:rFonts w:eastAsia="Georgia" w:cs="Georgia" w:ascii="Georgia" w:hAnsi="Georgia"/>
          <w:i/>
          <w:iCs/>
          <w:color w:val="68521B"/>
          <w:sz w:val="26"/>
          <w:szCs w:val="26"/>
        </w:rPr>
        <w:t>A Guide to Your Report and Model</w:t>
      </w:r>
    </w:p>
    <w:p>
      <w:pPr>
        <w:pStyle w:val="Normal"/>
        <w:spacing w:before="700" w:after="0"/>
        <w:jc w:val="center"/>
        <w:rPr/>
      </w:pP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Newtree Capital Resources LLC</w:t>
      </w:r>
    </w:p>
    <w:p>
      <w:pPr>
        <w:pStyle w:val="Normal"/>
        <w:spacing w:before="0" w:after="0"/>
        <w:rPr/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pBdr>
          <w:bottom w:val="single" w:sz="6" w:space="4" w:color="D8BF77"/>
        </w:pBdr>
        <w:spacing w:before="420" w:after="200"/>
        <w:rPr/>
      </w:pPr>
      <w:r>
        <w:rPr>
          <w:rFonts w:eastAsia="Calibri" w:cs="Calibri" w:ascii="Calibri" w:hAnsi="Calibri"/>
          <w:b/>
          <w:bCs/>
          <w:color w:val="19262B"/>
          <w:sz w:val="27"/>
          <w:szCs w:val="27"/>
        </w:rPr>
        <w:t>Welcome</w:t>
      </w:r>
    </w:p>
    <w:p>
      <w:pPr>
        <w:pStyle w:val="Normal"/>
        <w:spacing w:lineRule="auto" w:line="276" w:before="0" w:after="18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You've received two things: a written report and an editable spreadsheet, both covering the same property. This guide explains how to read the report, how to safely explore the spreadsheet yourself, and what a few key terms mean — no real estate or finance background assumed.</w:t>
      </w:r>
    </w:p>
    <w:p>
      <w:pPr>
        <w:pStyle w:val="Heading1"/>
        <w:pBdr>
          <w:bottom w:val="single" w:sz="6" w:space="4" w:color="D8BF77"/>
        </w:pBdr>
        <w:spacing w:before="420" w:after="200"/>
        <w:rPr/>
      </w:pPr>
      <w:r>
        <w:rPr>
          <w:rFonts w:eastAsia="Calibri" w:cs="Calibri" w:ascii="Calibri" w:hAnsi="Calibri"/>
          <w:b/>
          <w:bCs/>
          <w:color w:val="19262B"/>
          <w:sz w:val="27"/>
          <w:szCs w:val="27"/>
        </w:rPr>
        <w:t>What You Received</w:t>
      </w:r>
    </w:p>
    <w:p>
      <w:pPr>
        <w:pStyle w:val="Heading2"/>
        <w:spacing w:before="280" w:after="130"/>
        <w:rPr/>
      </w:pPr>
      <w:r>
        <w:rPr>
          <w:rFonts w:eastAsia="Calibri" w:cs="Calibri" w:ascii="Calibri" w:hAnsi="Calibri"/>
          <w:b/>
          <w:bCs/>
          <w:color w:val="68521B"/>
          <w:sz w:val="21"/>
          <w:szCs w:val="21"/>
        </w:rPr>
        <w:t>The Report</w:t>
      </w:r>
    </w:p>
    <w:p>
      <w:pPr>
        <w:pStyle w:val="Normal"/>
        <w:spacing w:lineRule="auto" w:line="276" w:before="0" w:after="18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A narrative writeup of the deal: what the property would cost to acquire and renovate, what it's likely worth once finished, and what that spread means for your return. Every number in it is sourced — pulled from public county records and verified comparable sales, not just an estimate.</w:t>
      </w:r>
    </w:p>
    <w:p>
      <w:pPr>
        <w:pStyle w:val="Heading2"/>
        <w:spacing w:before="280" w:after="130"/>
        <w:rPr/>
      </w:pPr>
      <w:r>
        <w:rPr>
          <w:rFonts w:eastAsia="Calibri" w:cs="Calibri" w:ascii="Calibri" w:hAnsi="Calibri"/>
          <w:b/>
          <w:bCs/>
          <w:color w:val="68521B"/>
          <w:sz w:val="21"/>
          <w:szCs w:val="21"/>
        </w:rPr>
        <w:t>The Spreadsheet</w:t>
      </w:r>
    </w:p>
    <w:p>
      <w:pPr>
        <w:pStyle w:val="Normal"/>
        <w:spacing w:lineRule="auto" w:line="276" w:before="0" w:after="18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The full financial model behind the report. Unlike the report, this is yours to explore: change the rehab budget, the hold period, or the target sale price, and every calculation — profit, margin, return — updates automatically.</w:t>
      </w:r>
    </w:p>
    <w:p>
      <w:pPr>
        <w:pStyle w:val="Normal"/>
        <w:shd w:val="clear" w:fill="F5F3EE"/>
        <w:spacing w:before="100" w:after="220"/>
        <w:ind w:start="220" w:end="220"/>
        <w:rPr/>
      </w:pPr>
      <w:r>
        <w:rPr>
          <w:rFonts w:eastAsia="Calibri" w:cs="Calibri" w:ascii="Calibri" w:hAnsi="Calibri"/>
          <w:i/>
          <w:iCs/>
          <w:color w:val="595959"/>
          <w:sz w:val="19"/>
          <w:szCs w:val="19"/>
        </w:rPr>
        <w:t>Think of the report as the answer, and the spreadsheet as the calculator that produced it — one you now get to run yourself.</w:t>
      </w:r>
    </w:p>
    <w:p>
      <w:pPr>
        <w:pStyle w:val="Heading1"/>
        <w:pBdr>
          <w:bottom w:val="single" w:sz="6" w:space="4" w:color="D8BF77"/>
        </w:pBdr>
        <w:spacing w:before="420" w:after="200"/>
        <w:rPr/>
      </w:pPr>
      <w:r>
        <w:rPr>
          <w:rFonts w:eastAsia="Calibri" w:cs="Calibri" w:ascii="Calibri" w:hAnsi="Calibri"/>
          <w:b/>
          <w:bCs/>
          <w:color w:val="19262B"/>
          <w:sz w:val="27"/>
          <w:szCs w:val="27"/>
        </w:rPr>
        <w:t>Which Level Did You Receive?</w:t>
      </w:r>
    </w:p>
    <w:p>
      <w:pPr>
        <w:pStyle w:val="Normal"/>
        <w:spacing w:lineRule="auto" w:line="276" w:before="0" w:after="18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This analysis comes in two levels, and it's worth knowing which one you have:</w:t>
      </w:r>
    </w:p>
    <w:p>
      <w:pPr>
        <w:pStyle w:val="ListParagraph"/>
        <w:numPr>
          <w:ilvl w:val="0"/>
          <w:numId w:val="4"/>
        </w:numPr>
        <w:spacing w:lineRule="auto" w:line="271"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Quick Screen (Pre-Diligence) — a fast read on whether a property is worth pursuing, before a lender term sheet or a contractor bid exists. No financing costs, no itemized rehab — a screening tool, not a final underwriting.</w:t>
      </w:r>
    </w:p>
    <w:p>
      <w:pPr>
        <w:pStyle w:val="ListParagraph"/>
        <w:numPr>
          <w:ilvl w:val="0"/>
          <w:numId w:val="1"/>
        </w:numPr>
        <w:spacing w:lineRule="auto" w:line="271"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Full Model — the full build-out, once real financing terms and a contractor's itemized bid are in hand: month-by-month cash flow, full closing costs, and (for partnership deals) the complete profit split.</w:t>
      </w:r>
    </w:p>
    <w:p>
      <w:pPr>
        <w:pStyle w:val="Normal"/>
        <w:spacing w:lineRule="auto" w:line="276" w:before="0" w:after="18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If you received a Quick Screen, look for the “What a Full Model Adds” section in your report — it lays out concretely what the next level includes. Ask if you'd like to move forward with one.</w:t>
      </w:r>
    </w:p>
    <w:p>
      <w:pPr>
        <w:pStyle w:val="Heading1"/>
        <w:pBdr>
          <w:bottom w:val="single" w:sz="6" w:space="4" w:color="D8BF77"/>
        </w:pBdr>
        <w:spacing w:before="420" w:after="200"/>
        <w:rPr/>
      </w:pPr>
      <w:r>
        <w:rPr>
          <w:rFonts w:eastAsia="Calibri" w:cs="Calibri" w:ascii="Calibri" w:hAnsi="Calibri"/>
          <w:b/>
          <w:bCs/>
          <w:color w:val="19262B"/>
          <w:sz w:val="27"/>
          <w:szCs w:val="27"/>
        </w:rPr>
        <w:t>How to Use the Spreadsheet Safely</w:t>
      </w:r>
    </w:p>
    <w:p>
      <w:pPr>
        <w:pStyle w:val="ListParagraph"/>
        <w:numPr>
          <w:ilvl w:val="0"/>
          <w:numId w:val="5"/>
        </w:numPr>
        <w:spacing w:lineRule="auto" w:line="271"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Look for yellow-highlighted cells with blue text — these are the only cells meant to be edited. Everything else is a formula that calculates automatically from those inputs.</w:t>
      </w:r>
    </w:p>
    <w:p>
      <w:pPr>
        <w:pStyle w:val="ListParagraph"/>
        <w:numPr>
          <w:ilvl w:val="0"/>
          <w:numId w:val="2"/>
        </w:numPr>
        <w:spacing w:lineRule="auto" w:line="271"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Change one input at a time and watch what moves. For example, raising the rehab estimate will lower your projected profit — that's the model working correctly, not an error.</w:t>
      </w:r>
    </w:p>
    <w:p>
      <w:pPr>
        <w:pStyle w:val="ListParagraph"/>
        <w:numPr>
          <w:ilvl w:val="0"/>
          <w:numId w:val="2"/>
        </w:numPr>
        <w:spacing w:lineRule="auto" w:line="271"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If a number turns red, shows an error, or the sheet looks broken, undo your last change (Ctrl+Z / Cmd+Z) rather than trying to fix a formula directly.</w:t>
      </w:r>
    </w:p>
    <w:p>
      <w:pPr>
        <w:pStyle w:val="ListParagraph"/>
        <w:numPr>
          <w:ilvl w:val="0"/>
          <w:numId w:val="2"/>
        </w:numPr>
        <w:spacing w:lineRule="auto" w:line="271"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Keep a copy of the original file before experimenting heavily, so you always have a clean version to return to.</w:t>
      </w:r>
    </w:p>
    <w:p>
      <w:pPr>
        <w:pStyle w:val="Normal"/>
        <w:pBdr>
          <w:left w:val="single" w:sz="18" w:space="8" w:color="68521B"/>
        </w:pBdr>
        <w:spacing w:before="100" w:after="220"/>
        <w:ind w:start="220" w:end="220"/>
        <w:rPr/>
      </w:pPr>
      <w:r>
        <w:rPr>
          <w:rFonts w:eastAsia="Calibri" w:cs="Calibri" w:ascii="Calibri" w:hAnsi="Calibri"/>
          <w:b/>
          <w:bCs/>
          <w:color w:val="68521B"/>
          <w:sz w:val="19"/>
          <w:szCs w:val="19"/>
        </w:rPr>
        <w:t>Don't edit any cell with black or green text, or any cell inside a table that isn't yellow-highlighted — these contain the formulas that make the model work, and overwriting one will break calculations elsewhere in the sheet.</w:t>
      </w:r>
    </w:p>
    <w:p>
      <w:pPr>
        <w:pStyle w:val="Heading1"/>
        <w:pBdr>
          <w:bottom w:val="single" w:sz="6" w:space="4" w:color="D8BF77"/>
        </w:pBdr>
        <w:spacing w:before="420" w:after="200"/>
        <w:rPr/>
      </w:pPr>
      <w:r>
        <w:rPr>
          <w:rFonts w:eastAsia="Calibri" w:cs="Calibri" w:ascii="Calibri" w:hAnsi="Calibri"/>
          <w:b/>
          <w:bCs/>
          <w:color w:val="19262B"/>
          <w:sz w:val="27"/>
          <w:szCs w:val="27"/>
        </w:rPr>
        <w:t>A Few Terms Worth Knowing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600"/>
        <w:gridCol w:w="6760"/>
      </w:tblGrid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AE2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9262B"/>
                <w:sz w:val="19"/>
                <w:szCs w:val="19"/>
              </w:rPr>
              <w:t>ARV</w:t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After-Repair Value — what the property is expected to sell for once renovation is complete.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AE2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9262B"/>
                <w:sz w:val="19"/>
                <w:szCs w:val="19"/>
              </w:rPr>
              <w:t>As-Is Value</w:t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What the property is worth today, in its current condition, before any work is done.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AE2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9262B"/>
                <w:sz w:val="19"/>
                <w:szCs w:val="19"/>
              </w:rPr>
              <w:t>Rehab Estimate</w:t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The projected cost of renovation. Category-level (rough) at an early stage, itemized (from an actual contractor bid) once the deal is further along.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AE2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9262B"/>
                <w:sz w:val="19"/>
                <w:szCs w:val="19"/>
              </w:rPr>
              <w:t>MAO</w:t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Maximum Allowable Offer — a common rule-of-thumb ceiling on purchase price, based on ARV and rehab cost.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AE2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9262B"/>
                <w:sz w:val="19"/>
                <w:szCs w:val="19"/>
              </w:rPr>
              <w:t>Spread</w:t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The gap between what you'd pay and what the numbers support paying — positive means there's room; negative means the asking price may be above what the data supports.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AE2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9262B"/>
                <w:sz w:val="19"/>
                <w:szCs w:val="19"/>
              </w:rPr>
              <w:t>Holding Costs</w:t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Ongoing costs during the renovation and sale period — property tax, insurance, utilities — that reduce total profit even though they're not part of the purchase price.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AE2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9262B"/>
                <w:sz w:val="19"/>
                <w:szCs w:val="19"/>
              </w:rPr>
              <w:t>Comps</w:t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“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Comparable sales” — recent sales of similar nearby properties, used to estimate value.</w:t>
            </w:r>
          </w:p>
        </w:tc>
      </w:tr>
    </w:tbl>
    <w:p>
      <w:pPr>
        <w:pStyle w:val="Heading1"/>
        <w:pBdr>
          <w:bottom w:val="single" w:sz="6" w:space="4" w:color="D8BF77"/>
        </w:pBdr>
        <w:spacing w:before="420" w:after="200"/>
        <w:rPr/>
      </w:pPr>
      <w:r>
        <w:rPr>
          <w:rFonts w:eastAsia="Calibri" w:cs="Calibri" w:ascii="Calibri" w:hAnsi="Calibri"/>
          <w:b/>
          <w:bCs/>
          <w:color w:val="19262B"/>
          <w:sz w:val="27"/>
          <w:szCs w:val="27"/>
        </w:rPr>
        <w:t>Reading Your Results</w:t>
      </w:r>
    </w:p>
    <w:p>
      <w:pPr>
        <w:pStyle w:val="Normal"/>
        <w:spacing w:lineRule="auto" w:line="276" w:before="0" w:after="18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Your report includes a bottom-line verdict — in plain terms, whether the numbers support pursuing this deal, and why. Any figure flagged as an estimate or not yet confirmed is called out explicitly rather than presented as certain; if you're missing a piece of information the model needs (an actual contractor bid, a finalized loan term), that gap is noted rather than quietly assumed away.</w:t>
      </w:r>
    </w:p>
    <w:p>
      <w:pPr>
        <w:pStyle w:val="Normal"/>
        <w:shd w:val="clear" w:fill="F5F3EE"/>
        <w:spacing w:before="100" w:after="220"/>
        <w:ind w:start="220" w:end="220"/>
        <w:rPr/>
      </w:pPr>
      <w:r>
        <w:rPr>
          <w:rFonts w:eastAsia="Calibri" w:cs="Calibri" w:ascii="Calibri" w:hAnsi="Calibri"/>
          <w:i/>
          <w:iCs/>
          <w:color w:val="595959"/>
          <w:sz w:val="19"/>
          <w:szCs w:val="19"/>
        </w:rPr>
        <w:t>Every sourced figure in your report is dated and cited — so if a number looks off, you can trace exactly where it came from and when it was pulled.</w:t>
      </w:r>
    </w:p>
    <w:p>
      <w:pPr>
        <w:pStyle w:val="Heading1"/>
        <w:pBdr>
          <w:bottom w:val="single" w:sz="6" w:space="4" w:color="D8BF77"/>
        </w:pBdr>
        <w:spacing w:before="420" w:after="200"/>
        <w:rPr/>
      </w:pPr>
      <w:r>
        <w:rPr>
          <w:rFonts w:eastAsia="Calibri" w:cs="Calibri" w:ascii="Calibri" w:hAnsi="Calibri"/>
          <w:b/>
          <w:bCs/>
          <w:color w:val="19262B"/>
          <w:sz w:val="27"/>
          <w:szCs w:val="27"/>
        </w:rPr>
        <w:t>A Note on Accuracy</w:t>
      </w:r>
    </w:p>
    <w:p>
      <w:pPr>
        <w:pStyle w:val="Normal"/>
        <w:spacing w:lineRule="auto" w:line="276" w:before="0" w:after="18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This analysis reflects the best available data at the time it was prepared — public records, market comparables, and the assumptions you provided. It is not a guarantee of resale value, rehab cost, or investment outcome, and market conditions can change. Treat it as a rigorous starting point for your own decision, not a substitute for your own due diligence, appraisal, or professional advice.</w:t>
      </w:r>
    </w:p>
    <w:p>
      <w:pPr>
        <w:pStyle w:val="Heading1"/>
        <w:pBdr>
          <w:bottom w:val="single" w:sz="6" w:space="4" w:color="D8BF77"/>
        </w:pBdr>
        <w:spacing w:before="420" w:after="200"/>
        <w:rPr/>
      </w:pPr>
      <w:r>
        <w:rPr>
          <w:rFonts w:eastAsia="Calibri" w:cs="Calibri" w:ascii="Calibri" w:hAnsi="Calibri"/>
          <w:b/>
          <w:bCs/>
          <w:color w:val="19262B"/>
          <w:sz w:val="27"/>
          <w:szCs w:val="27"/>
        </w:rPr>
        <w:t>Questions or Feedback</w:t>
      </w:r>
    </w:p>
    <w:p>
      <w:pPr>
        <w:pStyle w:val="Normal"/>
        <w:spacing w:lineRule="auto" w:line="276" w:before="0" w:after="18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If anything in the report or spreadsheet is unclear, or you'd like a deeper look at a specific number, reach out — [contact info]. As a beta participant, your feedback also directly shapes what this service looks like going forward; we'll follow up separately to hear how it went.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95959"/>
        <w:sz w:val="16"/>
        <w:szCs w:val="16"/>
      </w:rPr>
      <w:t xml:space="preserve">Page </w:t>
    </w:r>
    <w:r>
      <w:rPr>
        <w:rFonts w:eastAsia="Calibri" w:cs="Calibri" w:ascii="Calibri" w:hAnsi="Calibri"/>
        <w:color w:val="222222"/>
        <w:sz w:val="21"/>
        <w:szCs w:val="21"/>
      </w:rPr>
      <w:fldChar w:fldCharType="begin"/>
    </w:r>
    <w:r>
      <w:rPr>
        <w:rFonts w:eastAsia="Calibri" w:cs="Calibri" w:ascii="Calibri" w:hAnsi="Calibri"/>
        <w:color w:val="222222"/>
        <w:sz w:val="21"/>
        <w:szCs w:val="21"/>
      </w:rPr>
      <w:instrText xml:space="preserve"> PAGE </w:instrText>
    </w:r>
    <w:r>
      <w:rPr>
        <w:rFonts w:eastAsia="Calibri" w:cs="Calibri" w:ascii="Calibri" w:hAnsi="Calibri"/>
        <w:color w:val="222222"/>
        <w:sz w:val="21"/>
        <w:szCs w:val="21"/>
      </w:rPr>
      <w:fldChar w:fldCharType="separate"/>
    </w:r>
    <w:r>
      <w:rPr>
        <w:rFonts w:eastAsia="Calibri" w:cs="Calibri" w:ascii="Calibri" w:hAnsi="Calibri"/>
        <w:color w:val="222222"/>
        <w:sz w:val="21"/>
        <w:szCs w:val="21"/>
      </w:rPr>
      <w:t>4</w:t>
    </w:r>
    <w:r>
      <w:rPr>
        <w:rFonts w:eastAsia="Calibri" w:cs="Calibri" w:ascii="Calibri" w:hAnsi="Calibri"/>
        <w:color w:val="222222"/>
        <w:sz w:val="21"/>
        <w:szCs w:val="21"/>
      </w:rPr>
      <w:fldChar w:fldCharType="end"/>
    </w:r>
    <w:r>
      <w:rPr>
        <w:rFonts w:eastAsia="Calibri" w:cs="Calibri" w:ascii="Calibri" w:hAnsi="Calibri"/>
        <w:color w:val="595959"/>
        <w:sz w:val="16"/>
        <w:szCs w:val="16"/>
      </w:rPr>
      <w:t xml:space="preserve"> of </w:t>
    </w:r>
    <w:r>
      <w:rPr>
        <w:rFonts w:eastAsia="Calibri" w:cs="Calibri" w:ascii="Calibri" w:hAnsi="Calibri"/>
        <w:color w:val="222222"/>
        <w:sz w:val="21"/>
        <w:szCs w:val="21"/>
      </w:rPr>
      <w:fldChar w:fldCharType="begin"/>
    </w:r>
    <w:r>
      <w:rPr>
        <w:rFonts w:eastAsia="Calibri" w:cs="Calibri" w:ascii="Calibri" w:hAnsi="Calibri"/>
        <w:color w:val="222222"/>
        <w:sz w:val="21"/>
        <w:szCs w:val="21"/>
      </w:rPr>
      <w:instrText xml:space="preserve"> NUMPAGES </w:instrText>
    </w:r>
    <w:r>
      <w:rPr>
        <w:rFonts w:eastAsia="Calibri" w:cs="Calibri" w:ascii="Calibri" w:hAnsi="Calibri"/>
        <w:color w:val="222222"/>
        <w:sz w:val="21"/>
        <w:szCs w:val="21"/>
      </w:rPr>
      <w:fldChar w:fldCharType="separate"/>
    </w:r>
    <w:r>
      <w:rPr>
        <w:rFonts w:eastAsia="Calibri" w:cs="Calibri" w:ascii="Calibri" w:hAnsi="Calibri"/>
        <w:color w:val="222222"/>
        <w:sz w:val="21"/>
        <w:szCs w:val="21"/>
      </w:rPr>
      <w:t>4</w:t>
    </w:r>
    <w:r>
      <w:rPr>
        <w:rFonts w:eastAsia="Calibri" w:cs="Calibri" w:ascii="Calibri" w:hAnsi="Calibri"/>
        <w:color w:val="222222"/>
        <w:sz w:val="21"/>
        <w:szCs w:val="21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95959"/>
        <w:sz w:val="16"/>
        <w:szCs w:val="16"/>
      </w:rPr>
      <w:t xml:space="preserve">Page </w:t>
    </w:r>
    <w:r>
      <w:rPr>
        <w:rFonts w:eastAsia="Calibri" w:cs="Calibri" w:ascii="Calibri" w:hAnsi="Calibri"/>
        <w:color w:val="222222"/>
        <w:sz w:val="21"/>
        <w:szCs w:val="21"/>
      </w:rPr>
      <w:fldChar w:fldCharType="begin"/>
    </w:r>
    <w:r>
      <w:rPr>
        <w:rFonts w:eastAsia="Calibri" w:cs="Calibri" w:ascii="Calibri" w:hAnsi="Calibri"/>
        <w:color w:val="222222"/>
        <w:sz w:val="21"/>
        <w:szCs w:val="21"/>
      </w:rPr>
      <w:instrText xml:space="preserve"> PAGE </w:instrText>
    </w:r>
    <w:r>
      <w:rPr>
        <w:rFonts w:eastAsia="Calibri" w:cs="Calibri" w:ascii="Calibri" w:hAnsi="Calibri"/>
        <w:color w:val="222222"/>
        <w:sz w:val="21"/>
        <w:szCs w:val="21"/>
      </w:rPr>
      <w:fldChar w:fldCharType="separate"/>
    </w:r>
    <w:r>
      <w:rPr>
        <w:rFonts w:eastAsia="Calibri" w:cs="Calibri" w:ascii="Calibri" w:hAnsi="Calibri"/>
        <w:color w:val="222222"/>
        <w:sz w:val="21"/>
        <w:szCs w:val="21"/>
      </w:rPr>
      <w:t>4</w:t>
    </w:r>
    <w:r>
      <w:rPr>
        <w:rFonts w:eastAsia="Calibri" w:cs="Calibri" w:ascii="Calibri" w:hAnsi="Calibri"/>
        <w:color w:val="222222"/>
        <w:sz w:val="21"/>
        <w:szCs w:val="21"/>
      </w:rPr>
      <w:fldChar w:fldCharType="end"/>
    </w:r>
    <w:r>
      <w:rPr>
        <w:rFonts w:eastAsia="Calibri" w:cs="Calibri" w:ascii="Calibri" w:hAnsi="Calibri"/>
        <w:color w:val="595959"/>
        <w:sz w:val="16"/>
        <w:szCs w:val="16"/>
      </w:rPr>
      <w:t xml:space="preserve"> of </w:t>
    </w:r>
    <w:r>
      <w:rPr>
        <w:rFonts w:eastAsia="Calibri" w:cs="Calibri" w:ascii="Calibri" w:hAnsi="Calibri"/>
        <w:color w:val="222222"/>
        <w:sz w:val="21"/>
        <w:szCs w:val="21"/>
      </w:rPr>
      <w:fldChar w:fldCharType="begin"/>
    </w:r>
    <w:r>
      <w:rPr>
        <w:rFonts w:eastAsia="Calibri" w:cs="Calibri" w:ascii="Calibri" w:hAnsi="Calibri"/>
        <w:color w:val="222222"/>
        <w:sz w:val="21"/>
        <w:szCs w:val="21"/>
      </w:rPr>
      <w:instrText xml:space="preserve"> NUMPAGES </w:instrText>
    </w:r>
    <w:r>
      <w:rPr>
        <w:rFonts w:eastAsia="Calibri" w:cs="Calibri" w:ascii="Calibri" w:hAnsi="Calibri"/>
        <w:color w:val="222222"/>
        <w:sz w:val="21"/>
        <w:szCs w:val="21"/>
      </w:rPr>
      <w:fldChar w:fldCharType="separate"/>
    </w:r>
    <w:r>
      <w:rPr>
        <w:rFonts w:eastAsia="Calibri" w:cs="Calibri" w:ascii="Calibri" w:hAnsi="Calibri"/>
        <w:color w:val="222222"/>
        <w:sz w:val="21"/>
        <w:szCs w:val="21"/>
      </w:rPr>
      <w:t>4</w:t>
    </w:r>
    <w:r>
      <w:rPr>
        <w:rFonts w:eastAsia="Calibri" w:cs="Calibri" w:ascii="Calibri" w:hAnsi="Calibri"/>
        <w:color w:val="222222"/>
        <w:sz w:val="21"/>
        <w:szCs w:val="21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20" w:hanging="34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2</Pages>
  <Words>814</Words>
  <Characters>4065</Characters>
  <CharactersWithSpaces>4850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2026-08-21T05:13:22Z</dcterms:created>
  <dc:creator>Un-named</dc:creator>
  <dc:description/>
  <dc:language>en-US</dc:language>
  <cp:lastModifiedBy>Un-named</cp:lastModifiedBy>
  <dcterms:modified xsi:type="dcterms:W3CDTF">2026-08-21T05:13:22Z</dcterms:modified>
  <cp:revision>1</cp:revision>
  <dc:subject/>
  <dc:title/>
</cp:coreProperties>
</file>