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0" w:after="0"/>
        <w:rPr/>
      </w:pPr>
      <w:r>
        <w:rPr/>
      </w:r>
    </w:p>
    <w:p>
      <w:pPr>
        <w:pStyle w:val="Normal"/>
        <w:jc w:val="center"/>
        <w:rPr/>
      </w:pPr>
      <w:r>
        <w:rPr/>
        <w:drawing>
          <wp:inline distT="0" distB="0" distL="0" distR="0">
            <wp:extent cx="3238500" cy="2590800"/>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3238500" cy="2590800"/>
                    </a:xfrm>
                    <a:prstGeom prst="rect">
                      <a:avLst/>
                    </a:prstGeom>
                    <a:noFill/>
                  </pic:spPr>
                </pic:pic>
              </a:graphicData>
            </a:graphic>
          </wp:inline>
        </w:drawing>
      </w:r>
    </w:p>
    <w:p>
      <w:pPr>
        <w:pStyle w:val="Normal"/>
        <w:spacing w:before="600" w:after="0"/>
        <w:jc w:val="center"/>
        <w:rPr/>
      </w:pPr>
      <w:r>
        <w:rPr>
          <w:rFonts w:eastAsia="Georgia" w:cs="Georgia" w:ascii="Georgia" w:hAnsi="Georgia"/>
          <w:b/>
          <w:bCs/>
          <w:color w:val="19262B"/>
          <w:sz w:val="44"/>
          <w:szCs w:val="44"/>
        </w:rPr>
        <w:t>FIX &amp; FLIP DEAL ANALYSIS</w:t>
      </w:r>
    </w:p>
    <w:p>
      <w:pPr>
        <w:pStyle w:val="Normal"/>
        <w:spacing w:before="120" w:after="0"/>
        <w:jc w:val="center"/>
        <w:rPr/>
      </w:pPr>
      <w:r>
        <w:rPr>
          <w:rFonts w:eastAsia="Georgia" w:cs="Georgia" w:ascii="Georgia" w:hAnsi="Georgia"/>
          <w:i/>
          <w:iCs/>
          <w:color w:val="68521B"/>
          <w:sz w:val="30"/>
          <w:szCs w:val="30"/>
        </w:rPr>
        <w:t>Product &amp; Methodology Overview</w:t>
      </w:r>
    </w:p>
    <w:p>
      <w:pPr>
        <w:pStyle w:val="Normal"/>
        <w:spacing w:before="800" w:after="0"/>
        <w:jc w:val="center"/>
        <w:rPr/>
      </w:pPr>
      <w:r>
        <w:rPr>
          <w:rFonts w:eastAsia="Calibri" w:cs="Calibri" w:ascii="Calibri" w:hAnsi="Calibri"/>
          <w:b/>
          <w:bCs/>
          <w:color w:val="444444"/>
          <w:sz w:val="22"/>
          <w:szCs w:val="22"/>
        </w:rPr>
        <w:t>Internal Reference for Associates</w:t>
      </w:r>
    </w:p>
    <w:p>
      <w:pPr>
        <w:pStyle w:val="Normal"/>
        <w:spacing w:before="120" w:after="0"/>
        <w:jc w:val="center"/>
        <w:rPr/>
      </w:pPr>
      <w:r>
        <w:rPr>
          <w:rFonts w:eastAsia="Calibri" w:cs="Calibri" w:ascii="Calibri" w:hAnsi="Calibri"/>
          <w:color w:val="444444"/>
          <w:sz w:val="22"/>
          <w:szCs w:val="22"/>
        </w:rPr>
        <w:t>Newtree Capital Resources LLC</w:t>
      </w:r>
    </w:p>
    <w:p>
      <w:pPr>
        <w:pStyle w:val="Normal"/>
        <w:spacing w:before="2400" w:after="0"/>
        <w:jc w:val="center"/>
        <w:rPr/>
      </w:pPr>
      <w:r>
        <w:rPr>
          <w:rFonts w:eastAsia="Calibri" w:cs="Calibri" w:ascii="Calibri" w:hAnsi="Calibri"/>
          <w:i/>
          <w:iCs/>
          <w:color w:val="595959"/>
          <w:sz w:val="18"/>
          <w:szCs w:val="18"/>
        </w:rPr>
        <w:t>Not for external distribution</w:t>
      </w:r>
    </w:p>
    <w:p>
      <w:pPr>
        <w:pStyle w:val="Normal"/>
        <w:spacing w:before="0" w:after="0"/>
        <w:rPr/>
        <w:sectPr>
          <w:type w:val="nextPage"/>
          <w:pgSz w:w="12240" w:h="15840"/>
          <w:pgMar w:left="1440" w:right="1440" w:gutter="0" w:header="0" w:top="1440" w:footer="0" w:bottom="1440"/>
          <w:pgNumType w:fmt="decimal"/>
          <w:formProt w:val="false"/>
          <w:textDirection w:val="lrTb"/>
          <w:docGrid w:type="default" w:linePitch="360" w:charSpace="0"/>
        </w:sectPr>
      </w:pPr>
      <w:r>
        <w:rPr/>
      </w:r>
      <w:r>
        <w:br w:type="page"/>
      </w:r>
    </w:p>
    <w:p>
      <w:pPr>
        <w:pStyle w:val="Heading1"/>
        <w:pBdr>
          <w:bottom w:val="single" w:sz="6" w:space="4" w:color="D8BF77"/>
        </w:pBdr>
        <w:spacing w:before="480" w:after="240"/>
        <w:rPr/>
      </w:pPr>
      <w:r>
        <w:rPr>
          <w:rFonts w:eastAsia="Calibri" w:cs="Calibri" w:ascii="Calibri" w:hAnsi="Calibri"/>
          <w:b/>
          <w:bCs/>
          <w:color w:val="19262B"/>
          <w:sz w:val="30"/>
          <w:szCs w:val="30"/>
        </w:rPr>
        <w:t>Purpose of This Document</w:t>
      </w:r>
    </w:p>
    <w:p>
      <w:pPr>
        <w:pStyle w:val="Normal"/>
        <w:spacing w:lineRule="auto" w:line="276" w:before="0" w:after="200"/>
        <w:rPr/>
      </w:pPr>
      <w:r>
        <w:rPr>
          <w:rFonts w:eastAsia="Calibri" w:cs="Calibri" w:ascii="Calibri" w:hAnsi="Calibri"/>
          <w:color w:val="222222"/>
          <w:sz w:val="21"/>
          <w:szCs w:val="21"/>
        </w:rPr>
        <w:t>This document explains what Newtree's fix &amp; flip deal-analysis product actually is, why it's built the way it is, and how its pieces fit together — the business context and reasoning behind the templates, not the step-by-step mechanics of operating them. For click-by-click instructions, see the companion Staff User Guide.</w:t>
      </w:r>
    </w:p>
    <w:p>
      <w:pPr>
        <w:pStyle w:val="Normal"/>
        <w:spacing w:lineRule="auto" w:line="276" w:before="0" w:after="200"/>
        <w:rPr/>
      </w:pPr>
      <w:r>
        <w:rPr>
          <w:rFonts w:eastAsia="Calibri" w:cs="Calibri" w:ascii="Calibri" w:hAnsi="Calibri"/>
          <w:color w:val="222222"/>
          <w:sz w:val="21"/>
          <w:szCs w:val="21"/>
        </w:rPr>
        <w:t>Read this first if you're new to the team. It assumes college-level general background but no prior real estate or lending experience — every domain term is explained the first time it's used.</w:t>
      </w:r>
    </w:p>
    <w:p>
      <w:pPr>
        <w:pStyle w:val="Heading1"/>
        <w:pBdr>
          <w:bottom w:val="single" w:sz="6" w:space="4" w:color="D8BF77"/>
        </w:pBdr>
        <w:spacing w:before="480" w:after="240"/>
        <w:rPr/>
      </w:pPr>
      <w:r>
        <w:rPr>
          <w:rFonts w:eastAsia="Calibri" w:cs="Calibri" w:ascii="Calibri" w:hAnsi="Calibri"/>
          <w:b/>
          <w:bCs/>
          <w:color w:val="19262B"/>
          <w:sz w:val="30"/>
          <w:szCs w:val="30"/>
        </w:rPr>
        <w:t>The Business, in Brief</w:t>
      </w:r>
    </w:p>
    <w:p>
      <w:pPr>
        <w:pStyle w:val="Normal"/>
        <w:spacing w:lineRule="auto" w:line="276" w:before="0" w:after="200"/>
        <w:rPr/>
      </w:pPr>
      <w:r>
        <w:rPr>
          <w:rFonts w:eastAsia="Calibri" w:cs="Calibri" w:ascii="Calibri" w:hAnsi="Calibri"/>
          <w:color w:val="222222"/>
          <w:sz w:val="21"/>
          <w:szCs w:val="21"/>
        </w:rPr>
        <w:t>Newtree Capital Resources LLC underwrites and executes fix-and-flip real estate deals — buying distressed or undervalued properties, renovating them, and selling at a profit — primarily through a joint venture (JV) structure with Run Global Services LLC as capital/operating partner. Deals are financed through a mix of traditional hard-money lenders (Newtree works with over 30 lender relationships, not one fixed lender), contingency/additional-capital provisions within the JV itself, and, increasingly, seller financing (the seller carries a second mortgage rather than being paid in full at closing).</w:t>
      </w:r>
    </w:p>
    <w:p>
      <w:pPr>
        <w:pStyle w:val="Normal"/>
        <w:spacing w:lineRule="auto" w:line="276" w:before="0" w:after="200"/>
        <w:rPr/>
      </w:pPr>
      <w:r>
        <w:rPr>
          <w:rFonts w:eastAsia="Calibri" w:cs="Calibri" w:ascii="Calibri" w:hAnsi="Calibri"/>
          <w:color w:val="222222"/>
          <w:sz w:val="21"/>
          <w:szCs w:val="21"/>
        </w:rPr>
        <w:t>Today, one person (Harold) runs the entire pipeline: sourcing property data, building the financial model, writing the analysis, and delivering it — whether that's an internal JV deal or, increasingly, a paid consultation for an outside investor. As the business grows, associates will take over pieces of this pipeline — research, report preparation, and eventually marketing — which is exactly why this documentation exists: so the reasoning behind each step survives beyond one person's head.</w:t>
      </w:r>
    </w:p>
    <w:p>
      <w:pPr>
        <w:pStyle w:val="Heading2"/>
        <w:spacing w:before="360" w:after="160"/>
        <w:rPr/>
      </w:pPr>
      <w:r>
        <w:rPr>
          <w:rFonts w:eastAsia="Calibri" w:cs="Calibri" w:ascii="Calibri" w:hAnsi="Calibri"/>
          <w:b/>
          <w:bCs/>
          <w:color w:val="19262B"/>
          <w:sz w:val="24"/>
          <w:szCs w:val="24"/>
        </w:rPr>
        <w:t>The Product: What's Actually Being Sold</w:t>
      </w:r>
    </w:p>
    <w:p>
      <w:pPr>
        <w:pStyle w:val="Normal"/>
        <w:spacing w:lineRule="auto" w:line="276" w:before="0" w:after="200"/>
        <w:rPr/>
      </w:pPr>
      <w:r>
        <w:rPr>
          <w:rFonts w:eastAsia="Calibri" w:cs="Calibri" w:ascii="Calibri" w:hAnsi="Calibri"/>
          <w:color w:val="222222"/>
          <w:sz w:val="21"/>
          <w:szCs w:val="21"/>
        </w:rPr>
        <w:t>Two distinct offers, aimed at two different points in the client relationship:</w:t>
      </w:r>
    </w:p>
    <w:p>
      <w:pPr>
        <w:pStyle w:val="ListParagraph"/>
        <w:numPr>
          <w:ilvl w:val="0"/>
          <w:numId w:val="3"/>
        </w:numPr>
        <w:spacing w:lineRule="auto" w:line="271" w:before="0" w:after="100"/>
        <w:rPr/>
      </w:pPr>
      <w:r>
        <w:rPr>
          <w:rFonts w:eastAsia="Calibri" w:cs="Calibri" w:ascii="Calibri" w:hAnsi="Calibri"/>
          <w:color w:val="222222"/>
          <w:sz w:val="21"/>
          <w:szCs w:val="21"/>
        </w:rPr>
        <w:t>First-time clients: a paid consultation that produces a full deal analysis — a written report plus an editable financial model — for one specific property. The consultation itself is the product; the deliverable is what earns the return business.</w:t>
      </w:r>
    </w:p>
    <w:p>
      <w:pPr>
        <w:pStyle w:val="ListParagraph"/>
        <w:numPr>
          <w:ilvl w:val="0"/>
          <w:numId w:val="1"/>
        </w:numPr>
        <w:spacing w:lineRule="auto" w:line="271" w:before="0" w:after="100"/>
        <w:rPr/>
      </w:pPr>
      <w:r>
        <w:rPr>
          <w:rFonts w:eastAsia="Calibri" w:cs="Calibri" w:ascii="Calibri" w:hAnsi="Calibri"/>
          <w:color w:val="222222"/>
          <w:sz w:val="21"/>
          <w:szCs w:val="21"/>
        </w:rPr>
        <w:t>Return clients: often just the report and the model, without a full consultation, once trust is established and they know how to use the tool themselves.</w:t>
      </w:r>
    </w:p>
    <w:p>
      <w:pPr>
        <w:pStyle w:val="Normal"/>
        <w:spacing w:lineRule="auto" w:line="276" w:before="0" w:after="200"/>
        <w:rPr/>
      </w:pPr>
      <w:r>
        <w:rPr>
          <w:rFonts w:eastAsia="Calibri" w:cs="Calibri" w:ascii="Calibri" w:hAnsi="Calibri"/>
          <w:color w:val="222222"/>
          <w:sz w:val="21"/>
          <w:szCs w:val="21"/>
        </w:rPr>
        <w:t>Every client leaves with two things: a report (the narrative writeup — modeled on the internal 84 Inlet Dr analysis, but de-branded and stripped of any Newtree-internal JV economics) and a spreadsheet (the underlying financial model, unlocked, so the client can adjust assumptions — rehab budget, hold period, ARV — and watch the model recalculate). This dual deliverable is a deliberate design choice: a static PDF report answers today's question; an editable model lets the client keep asking new ones.</w:t>
      </w:r>
    </w:p>
    <w:p>
      <w:pPr>
        <w:pStyle w:val="Heading1"/>
        <w:pBdr>
          <w:bottom w:val="single" w:sz="6" w:space="4" w:color="D8BF77"/>
        </w:pBdr>
        <w:spacing w:before="480" w:after="240"/>
        <w:rPr/>
      </w:pPr>
      <w:r>
        <w:rPr>
          <w:rFonts w:eastAsia="Calibri" w:cs="Calibri" w:ascii="Calibri" w:hAnsi="Calibri"/>
          <w:b/>
          <w:bCs/>
          <w:color w:val="19262B"/>
          <w:sz w:val="30"/>
          <w:szCs w:val="30"/>
        </w:rPr>
        <w:t>The Template Family</w:t>
      </w:r>
    </w:p>
    <w:p>
      <w:pPr>
        <w:pStyle w:val="Normal"/>
        <w:spacing w:lineRule="auto" w:line="276" w:before="0" w:after="200"/>
        <w:rPr/>
      </w:pPr>
      <w:r>
        <w:rPr>
          <w:rFonts w:eastAsia="Calibri" w:cs="Calibri" w:ascii="Calibri" w:hAnsi="Calibri"/>
          <w:color w:val="222222"/>
          <w:sz w:val="21"/>
          <w:szCs w:val="21"/>
        </w:rPr>
        <w:t>Four templates exist today, each answering a different stage of the same question — “is this deal worth pursuing, and on what terms” — at increasing levels of commitment and available information.</w:t>
      </w:r>
    </w:p>
    <w:p>
      <w:pPr>
        <w:pStyle w:val="Heading2"/>
        <w:spacing w:before="360" w:after="160"/>
        <w:rPr/>
      </w:pPr>
      <w:r>
        <w:rPr>
          <w:rFonts w:eastAsia="Calibri" w:cs="Calibri" w:ascii="Calibri" w:hAnsi="Calibri"/>
          <w:b/>
          <w:bCs/>
          <w:color w:val="19262B"/>
          <w:sz w:val="24"/>
          <w:szCs w:val="24"/>
        </w:rPr>
        <w:t>1. Quick Screen (Pre-Diligence)</w:t>
      </w:r>
    </w:p>
    <w:p>
      <w:pPr>
        <w:pStyle w:val="Normal"/>
        <w:spacing w:lineRule="auto" w:line="276" w:before="0" w:after="200"/>
        <w:rPr/>
      </w:pPr>
      <w:r>
        <w:rPr>
          <w:rFonts w:eastAsia="Calibri" w:cs="Calibri" w:ascii="Calibri" w:hAnsi="Calibri"/>
          <w:color w:val="222222"/>
          <w:sz w:val="21"/>
          <w:szCs w:val="21"/>
        </w:rPr>
        <w:t>Used before a lender term sheet exists and before a contractor has bid the rehab. Answers one question fast: is this worth spending real time on? No loan terms, no itemized rehab, no partner waterfall — just a 70% Rule maximum-offer calculation, a rough profit estimate, and a verdict. Every input is tagged with where it came from (county assessor, SendFuse, Dealio.pro) so the screen can be trusted or challenged later. This is the wholesaler tier — for a wholesaler, this level of analysis is the entire product, used to both evaluate and market a contract, since they never hire a contractor or a lender themselves.</w:t>
      </w:r>
    </w:p>
    <w:p>
      <w:pPr>
        <w:pStyle w:val="Heading2"/>
        <w:spacing w:before="360" w:after="160"/>
        <w:rPr/>
      </w:pPr>
      <w:r>
        <w:rPr>
          <w:rFonts w:eastAsia="Calibri" w:cs="Calibri" w:ascii="Calibri" w:hAnsi="Calibri"/>
          <w:b/>
          <w:bCs/>
          <w:color w:val="19262B"/>
          <w:sz w:val="24"/>
          <w:szCs w:val="24"/>
        </w:rPr>
        <w:t>2. Borrower Version</w:t>
      </w:r>
    </w:p>
    <w:p>
      <w:pPr>
        <w:pStyle w:val="Normal"/>
        <w:spacing w:lineRule="auto" w:line="276" w:before="0" w:after="200"/>
        <w:rPr/>
      </w:pPr>
      <w:r>
        <w:rPr>
          <w:rFonts w:eastAsia="Calibri" w:cs="Calibri" w:ascii="Calibri" w:hAnsi="Calibri"/>
          <w:color w:val="222222"/>
          <w:sz w:val="21"/>
          <w:szCs w:val="21"/>
        </w:rPr>
        <w:t>For a single buyer/investor with no partner profit-split. Full deal economics — purchase, itemized rehab, financing, holding costs, monthly cash-flow timing, disposition — but the profit belongs entirely to one party. Along with the JV Partner variants below, this is a Full Model — the investor tier, built once a term sheet and a real contractor bid exist. This is also the default template for the client-facing consultation product: most outside clients are solo investors, not JV structures.</w:t>
      </w:r>
    </w:p>
    <w:p>
      <w:pPr>
        <w:pStyle w:val="Heading2"/>
        <w:spacing w:before="360" w:after="160"/>
        <w:rPr/>
      </w:pPr>
      <w:r>
        <w:rPr>
          <w:rFonts w:eastAsia="Calibri" w:cs="Calibri" w:ascii="Calibri" w:hAnsi="Calibri"/>
          <w:b/>
          <w:bCs/>
          <w:color w:val="19262B"/>
          <w:sz w:val="24"/>
          <w:szCs w:val="24"/>
        </w:rPr>
        <w:t>3. JV Partner Version — three variants</w:t>
      </w:r>
    </w:p>
    <w:p>
      <w:pPr>
        <w:pStyle w:val="Normal"/>
        <w:spacing w:lineRule="auto" w:line="276" w:before="0" w:after="200"/>
        <w:rPr/>
      </w:pPr>
      <w:r>
        <w:rPr>
          <w:rFonts w:eastAsia="Calibri" w:cs="Calibri" w:ascii="Calibri" w:hAnsi="Calibri"/>
          <w:color w:val="222222"/>
          <w:sz w:val="21"/>
          <w:szCs w:val="21"/>
        </w:rPr>
        <w:t>Everything in the Borrower version, plus a capped, priority-ordered profit waterfall splitting proceeds between a capital/guaranteeing partner (“Party A”) and an operating/fallback partner (“Party B”). Three variants, used according to what the actual deal needs:</w:t>
      </w:r>
    </w:p>
    <w:p>
      <w:pPr>
        <w:pStyle w:val="ListParagraph"/>
        <w:numPr>
          <w:ilvl w:val="0"/>
          <w:numId w:val="1"/>
        </w:numPr>
        <w:spacing w:lineRule="auto" w:line="271" w:before="0" w:after="100"/>
        <w:rPr/>
      </w:pPr>
      <w:r>
        <w:rPr>
          <w:rFonts w:eastAsia="Calibri" w:cs="Calibri" w:ascii="Calibri" w:hAnsi="Calibri"/>
          <w:color w:val="222222"/>
          <w:sz w:val="21"/>
          <w:szCs w:val="21"/>
        </w:rPr>
        <w:t>Base JV Partner — the core waterfall: lien payoffs, preferred return, management fee, residual split.</w:t>
      </w:r>
    </w:p>
    <w:p>
      <w:pPr>
        <w:pStyle w:val="ListParagraph"/>
        <w:numPr>
          <w:ilvl w:val="0"/>
          <w:numId w:val="1"/>
        </w:numPr>
        <w:spacing w:lineRule="auto" w:line="271" w:before="0" w:after="100"/>
        <w:rPr/>
      </w:pPr>
      <w:r>
        <w:rPr>
          <w:rFonts w:eastAsia="Calibri" w:cs="Calibri" w:ascii="Calibri" w:hAnsi="Calibri"/>
          <w:color w:val="222222"/>
          <w:sz w:val="21"/>
          <w:szCs w:val="21"/>
        </w:rPr>
        <w:t>JV Partner + Contingency/Additional Capital — adds a fallback-funding mechanism (Party B covers a funding gap if Party A comes up short) and a mechanism for logging extra capital Party A contributes beyond the initial requirement.</w:t>
      </w:r>
    </w:p>
    <w:p>
      <w:pPr>
        <w:pStyle w:val="ListParagraph"/>
        <w:numPr>
          <w:ilvl w:val="0"/>
          <w:numId w:val="1"/>
        </w:numPr>
        <w:spacing w:lineRule="auto" w:line="271" w:before="0" w:after="100"/>
        <w:rPr/>
      </w:pPr>
      <w:r>
        <w:rPr>
          <w:rFonts w:eastAsia="Calibri" w:cs="Calibri" w:ascii="Calibri" w:hAnsi="Calibri"/>
          <w:color w:val="222222"/>
          <w:sz w:val="21"/>
          <w:szCs w:val="21"/>
        </w:rPr>
        <w:t>JV Partner + Seller Financing — adds a second-mortgage structure where the seller carries part of the purchase price, with its own waterfall step and equity-requirement math distinct from a traditional lender lien.</w:t>
      </w:r>
    </w:p>
    <w:p>
      <w:pPr>
        <w:pStyle w:val="Normal"/>
        <w:shd w:val="clear" w:fill="F2F2F2"/>
        <w:spacing w:before="120" w:after="200"/>
        <w:ind w:start="200" w:end="200"/>
        <w:rPr/>
      </w:pPr>
      <w:r>
        <w:rPr>
          <w:rFonts w:eastAsia="Calibri" w:cs="Calibri" w:ascii="Calibri" w:hAnsi="Calibri"/>
          <w:i/>
          <w:iCs/>
          <w:color w:val="595959"/>
          <w:sz w:val="19"/>
          <w:szCs w:val="19"/>
        </w:rPr>
        <w:t>Why a capped waterfall matters: a naive model just sums up what each party is contractually owed — which works fine at a good sale price, but silently produces negative distributions at a bad one. Every distribution step in these templates is capped at cash actually remaining, computed in strict priority order, so nothing ever goes negative and the total distributed always exactly equals the cash available. This is tested at a below-ARV sale price before any model is delivered.</w:t>
      </w:r>
    </w:p>
    <w:p>
      <w:pPr>
        <w:pStyle w:val="Heading2"/>
        <w:spacing w:before="360" w:after="160"/>
        <w:rPr/>
      </w:pPr>
      <w:r>
        <w:rPr>
          <w:rFonts w:eastAsia="Calibri" w:cs="Calibri" w:ascii="Calibri" w:hAnsi="Calibri"/>
          <w:b/>
          <w:bCs/>
          <w:color w:val="19262B"/>
          <w:sz w:val="24"/>
          <w:szCs w:val="24"/>
        </w:rPr>
        <w:t>How a Deal Moves Through the Family</w:t>
      </w:r>
    </w:p>
    <w:p>
      <w:pPr>
        <w:pStyle w:val="Normal"/>
        <w:spacing w:lineRule="auto" w:line="276" w:before="0" w:after="200"/>
        <w:rPr/>
      </w:pPr>
      <w:r>
        <w:rPr>
          <w:rFonts w:eastAsia="Calibri" w:cs="Calibri" w:ascii="Calibri" w:hAnsi="Calibri"/>
          <w:color w:val="222222"/>
          <w:sz w:val="21"/>
          <w:szCs w:val="21"/>
        </w:rPr>
        <w:t>Quick Screen (Pre-Diligence) → Borrower or JV Partner (whichever variant fits) → final client-facing report. A deal that clears the Quick Screen graduates to a Full Model once a term sheet and a real contractor bid exist. Sourced data — comps, tax figures, ARV — carries forward rather than being re-pulled from scratch at each stage.</w:t>
      </w:r>
    </w:p>
    <w:p>
      <w:pPr>
        <w:pStyle w:val="Heading1"/>
        <w:pBdr>
          <w:bottom w:val="single" w:sz="6" w:space="4" w:color="D8BF77"/>
        </w:pBdr>
        <w:spacing w:before="480" w:after="240"/>
        <w:rPr/>
      </w:pPr>
      <w:r>
        <w:rPr>
          <w:rFonts w:eastAsia="Calibri" w:cs="Calibri" w:ascii="Calibri" w:hAnsi="Calibri"/>
          <w:b/>
          <w:bCs/>
          <w:color w:val="19262B"/>
          <w:sz w:val="30"/>
          <w:szCs w:val="30"/>
        </w:rPr>
        <w:t>Two Client-Facing Tiers, Two Different Buyers</w:t>
      </w:r>
    </w:p>
    <w:p>
      <w:pPr>
        <w:pStyle w:val="Normal"/>
        <w:spacing w:lineRule="auto" w:line="276" w:before="0" w:after="200"/>
        <w:rPr/>
      </w:pPr>
      <w:r>
        <w:rPr>
          <w:rFonts w:eastAsia="Calibri" w:cs="Calibri" w:ascii="Calibri" w:hAnsi="Calibri"/>
          <w:color w:val="222222"/>
          <w:sz w:val="21"/>
          <w:szCs w:val="21"/>
        </w:rPr>
        <w:t>These aren't just staging steps toward one deliverable — in practice, Quick Screen and Full Model are two separate products, often sold to two different people on the same property:</w:t>
      </w:r>
    </w:p>
    <w:tbl>
      <w:tblPr>
        <w:tblW w:w="9360" w:type="dxa"/>
        <w:jc w:val="start"/>
        <w:tblInd w:w="0" w:type="dxa"/>
        <w:tblLayout w:type="fixed"/>
        <w:tblCellMar>
          <w:top w:w="80" w:type="dxa"/>
          <w:start w:w="120" w:type="dxa"/>
          <w:bottom w:w="80" w:type="dxa"/>
          <w:end w:w="120" w:type="dxa"/>
        </w:tblCellMar>
      </w:tblPr>
      <w:tblGrid>
        <w:gridCol w:w="1799"/>
        <w:gridCol w:w="3801"/>
        <w:gridCol w:w="3760"/>
      </w:tblGrid>
      <w:tr>
        <w:trPr>
          <w:tblHeader w:val="true"/>
        </w:trPr>
        <w:tc>
          <w:tcPr>
            <w:tcW w:w="1799" w:type="dxa"/>
            <w:tcBorders>
              <w:top w:val="single" w:sz="4" w:space="0" w:color="000000"/>
              <w:start w:val="single" w:sz="4" w:space="0" w:color="000000"/>
              <w:bottom w:val="single" w:sz="4" w:space="0" w:color="000000"/>
              <w:end w:val="single" w:sz="4" w:space="0" w:color="000000"/>
            </w:tcBorders>
            <w:shd w:fill="19262B" w:val="clear"/>
            <w:vAlign w:val="center"/>
          </w:tcPr>
          <w:p>
            <w:pPr>
              <w:pStyle w:val="Normal"/>
              <w:rPr/>
            </w:pPr>
            <w:r>
              <w:rPr/>
            </w:r>
          </w:p>
        </w:tc>
        <w:tc>
          <w:tcPr>
            <w:tcW w:w="3801" w:type="dxa"/>
            <w:tcBorders>
              <w:top w:val="single" w:sz="4" w:space="0" w:color="000000"/>
              <w:start w:val="single" w:sz="4" w:space="0" w:color="000000"/>
              <w:bottom w:val="single" w:sz="4" w:space="0" w:color="000000"/>
              <w:end w:val="single" w:sz="4" w:space="0" w:color="000000"/>
            </w:tcBorders>
            <w:shd w:fill="19262B" w:val="clear"/>
            <w:vAlign w:val="center"/>
          </w:tcPr>
          <w:p>
            <w:pPr>
              <w:pStyle w:val="Normal"/>
              <w:rPr/>
            </w:pPr>
            <w:r>
              <w:rPr>
                <w:rFonts w:eastAsia="Calibri" w:cs="Calibri" w:ascii="Calibri" w:hAnsi="Calibri"/>
                <w:b/>
                <w:bCs/>
                <w:color w:val="FFFFFF"/>
                <w:sz w:val="19"/>
                <w:szCs w:val="19"/>
              </w:rPr>
              <w:t>Quick Screen (Pre-Diligence)</w:t>
            </w:r>
          </w:p>
        </w:tc>
        <w:tc>
          <w:tcPr>
            <w:tcW w:w="3760" w:type="dxa"/>
            <w:tcBorders>
              <w:top w:val="single" w:sz="4" w:space="0" w:color="000000"/>
              <w:start w:val="single" w:sz="4" w:space="0" w:color="000000"/>
              <w:bottom w:val="single" w:sz="4" w:space="0" w:color="000000"/>
              <w:end w:val="single" w:sz="4" w:space="0" w:color="000000"/>
            </w:tcBorders>
            <w:shd w:fill="19262B" w:val="clear"/>
            <w:vAlign w:val="center"/>
          </w:tcPr>
          <w:p>
            <w:pPr>
              <w:pStyle w:val="Normal"/>
              <w:rPr/>
            </w:pPr>
            <w:r>
              <w:rPr>
                <w:rFonts w:eastAsia="Calibri" w:cs="Calibri" w:ascii="Calibri" w:hAnsi="Calibri"/>
                <w:b/>
                <w:bCs/>
                <w:color w:val="FFFFFF"/>
                <w:sz w:val="19"/>
                <w:szCs w:val="19"/>
              </w:rPr>
              <w:t>Full Model</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Who pays</w:t>
            </w:r>
          </w:p>
        </w:tc>
        <w:tc>
          <w:tcPr>
            <w:tcW w:w="38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The wholesaler, evaluating or marketing a contract</w:t>
            </w:r>
          </w:p>
        </w:tc>
        <w:tc>
          <w:tcPr>
            <w:tcW w:w="376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The investor, once they control the deal</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Trigger</w:t>
            </w:r>
          </w:p>
        </w:tc>
        <w:tc>
          <w:tcPr>
            <w:tcW w:w="38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No term sheet, no contractor bid</w:t>
            </w:r>
          </w:p>
        </w:tc>
        <w:tc>
          <w:tcPr>
            <w:tcW w:w="376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Term sheet + itemized rehab bid exist</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Typical use</w:t>
            </w:r>
          </w:p>
        </w:tc>
        <w:tc>
          <w:tcPr>
            <w:tcW w:w="38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Decide whether to pursue; hand to prospective buyers as sourced, credible marketing collateral</w:t>
            </w:r>
          </w:p>
        </w:tc>
        <w:tc>
          <w:tcPr>
            <w:tcW w:w="376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Full underwriting on a deal the client has already committed to</w:t>
            </w:r>
          </w:p>
        </w:tc>
      </w:tr>
    </w:tbl>
    <w:p>
      <w:pPr>
        <w:pStyle w:val="Normal"/>
        <w:spacing w:before="200" w:after="0"/>
        <w:rPr/>
      </w:pPr>
      <w:r>
        <w:rPr/>
      </w:r>
    </w:p>
    <w:p>
      <w:pPr>
        <w:pStyle w:val="Normal"/>
        <w:spacing w:lineRule="auto" w:line="276" w:before="0" w:after="200"/>
        <w:rPr/>
      </w:pPr>
      <w:r>
        <w:rPr>
          <w:rFonts w:eastAsia="Calibri" w:cs="Calibri" w:ascii="Calibri" w:hAnsi="Calibri"/>
          <w:color w:val="222222"/>
          <w:sz w:val="21"/>
          <w:szCs w:val="21"/>
        </w:rPr>
        <w:t>A wholesaler and the investor who eventually buys from them can each receive their own document — the wholesaler's Quick Screen built from their contract price with the original seller, the investor's Full Model built from their own purchase price from the wholesaler (which includes the wholesaler's markup). Each report is scoped to the party it's prepared for and uses only that party's own numbers — an investor's Full Model has no reason to reference the wholesaler's underlying acquisition cost, since it isn't part of that investor's deal math. This also resolves the double-close question the same way: nothing needs to be hidden, because each document simply never contains the other party's economics in the first place.</w:t>
      </w:r>
    </w:p>
    <w:p>
      <w:pPr>
        <w:pStyle w:val="Heading2"/>
        <w:spacing w:before="360" w:after="160"/>
        <w:rPr/>
      </w:pPr>
      <w:r>
        <w:rPr>
          <w:rFonts w:eastAsia="Calibri" w:cs="Calibri" w:ascii="Calibri" w:hAnsi="Calibri"/>
          <w:b/>
          <w:bCs/>
          <w:color w:val="19262B"/>
          <w:sz w:val="24"/>
          <w:szCs w:val="24"/>
        </w:rPr>
        <w:t>“</w:t>
      </w:r>
      <w:r>
        <w:rPr>
          <w:rFonts w:eastAsia="Calibri" w:cs="Calibri" w:ascii="Calibri" w:hAnsi="Calibri"/>
          <w:b/>
          <w:bCs/>
          <w:color w:val="19262B"/>
          <w:sz w:val="24"/>
          <w:szCs w:val="24"/>
        </w:rPr>
        <w:t>Prepared For”</w:t>
      </w:r>
    </w:p>
    <w:p>
      <w:pPr>
        <w:pStyle w:val="Normal"/>
        <w:spacing w:lineRule="auto" w:line="276" w:before="0" w:after="200"/>
        <w:rPr/>
      </w:pPr>
      <w:r>
        <w:rPr>
          <w:rFonts w:eastAsia="Calibri" w:cs="Calibri" w:ascii="Calibri" w:hAnsi="Calibri"/>
          <w:color w:val="222222"/>
          <w:sz w:val="21"/>
          <w:szCs w:val="21"/>
        </w:rPr>
        <w:t>Every deliverable — Quick Screen or Full Model — carries a Prepared For line naming who commissioned it. This matters most when a wholesaler uses a Quick Screen as marketing collateral to a prospective investor: the sourcing and methodology are the credibility anchor, not a claim of independence Newtree doesn't actually have in that transaction. Disclose the relationship; let the rigor of the data speak for itself.</w:t>
      </w:r>
    </w:p>
    <w:p>
      <w:pPr>
        <w:pStyle w:val="Normal"/>
        <w:shd w:val="clear" w:fill="F2F2F2"/>
        <w:spacing w:before="120" w:after="200"/>
        <w:ind w:start="200" w:end="200"/>
        <w:rPr/>
      </w:pPr>
      <w:r>
        <w:rPr>
          <w:rFonts w:eastAsia="Calibri" w:cs="Calibri" w:ascii="Calibri" w:hAnsi="Calibri"/>
          <w:i/>
          <w:iCs/>
          <w:color w:val="595959"/>
          <w:sz w:val="19"/>
          <w:szCs w:val="19"/>
        </w:rPr>
        <w:t>Whether a wholesaler is legally required to disclose an assignment spread varies significantly by state and is an actively shifting area of legislation — not a settled question. Get specific state-by-state guidance from a real estate attorney before this becomes standard policy; until then, the report-scoping approach above is the working default, not a substitute for that legal review.</w:t>
      </w:r>
    </w:p>
    <w:p>
      <w:pPr>
        <w:pStyle w:val="Heading1"/>
        <w:pBdr>
          <w:bottom w:val="single" w:sz="6" w:space="4" w:color="D8BF77"/>
        </w:pBdr>
        <w:spacing w:before="480" w:after="240"/>
        <w:rPr/>
      </w:pPr>
      <w:r>
        <w:rPr>
          <w:rFonts w:eastAsia="Calibri" w:cs="Calibri" w:ascii="Calibri" w:hAnsi="Calibri"/>
          <w:b/>
          <w:bCs/>
          <w:color w:val="19262B"/>
          <w:sz w:val="30"/>
          <w:szCs w:val="30"/>
        </w:rPr>
        <w:t>The Comp Validation Methodology</w:t>
      </w:r>
    </w:p>
    <w:p>
      <w:pPr>
        <w:pStyle w:val="Normal"/>
        <w:spacing w:lineRule="auto" w:line="276" w:before="0" w:after="200"/>
        <w:rPr/>
      </w:pPr>
      <w:r>
        <w:rPr>
          <w:rFonts w:eastAsia="Calibri" w:cs="Calibri" w:ascii="Calibri" w:hAnsi="Calibri"/>
          <w:color w:val="222222"/>
          <w:sz w:val="21"/>
          <w:szCs w:val="21"/>
        </w:rPr>
        <w:t>Comparable sales (“comps”) drive both the acquisition-price check and the ARV (after-repair value) estimate, but not all comps answer the same question. A single blended average across every recent sale in the area systematically distorts both numbers — mixing distressed sales, fully renovated retail sales, and rental-investor sales into one misleading figure. The methodology splits comps into four tiers, each with its own job:</w:t>
      </w:r>
    </w:p>
    <w:tbl>
      <w:tblPr>
        <w:tblW w:w="9760" w:type="dxa"/>
        <w:jc w:val="start"/>
        <w:tblInd w:w="0" w:type="dxa"/>
        <w:tblLayout w:type="fixed"/>
        <w:tblCellMar>
          <w:top w:w="80" w:type="dxa"/>
          <w:start w:w="120" w:type="dxa"/>
          <w:bottom w:w="80" w:type="dxa"/>
          <w:end w:w="120" w:type="dxa"/>
        </w:tblCellMar>
      </w:tblPr>
      <w:tblGrid>
        <w:gridCol w:w="2600"/>
        <w:gridCol w:w="4199"/>
        <w:gridCol w:w="2961"/>
      </w:tblGrid>
      <w:tr>
        <w:trPr>
          <w:tblHeader w:val="true"/>
        </w:trPr>
        <w:tc>
          <w:tcPr>
            <w:tcW w:w="2600" w:type="dxa"/>
            <w:tcBorders>
              <w:top w:val="single" w:sz="4" w:space="0" w:color="000000"/>
              <w:start w:val="single" w:sz="4" w:space="0" w:color="000000"/>
              <w:bottom w:val="single" w:sz="4" w:space="0" w:color="000000"/>
              <w:end w:val="single" w:sz="4" w:space="0" w:color="000000"/>
            </w:tcBorders>
            <w:shd w:fill="19262B" w:val="clear"/>
            <w:vAlign w:val="center"/>
          </w:tcPr>
          <w:p>
            <w:pPr>
              <w:pStyle w:val="Normal"/>
              <w:rPr/>
            </w:pPr>
            <w:r>
              <w:rPr>
                <w:rFonts w:eastAsia="Calibri" w:cs="Calibri" w:ascii="Calibri" w:hAnsi="Calibri"/>
                <w:b/>
                <w:bCs/>
                <w:color w:val="FFFFFF"/>
                <w:sz w:val="19"/>
                <w:szCs w:val="19"/>
              </w:rPr>
              <w:t>Tier</w:t>
            </w:r>
          </w:p>
        </w:tc>
        <w:tc>
          <w:tcPr>
            <w:tcW w:w="4199" w:type="dxa"/>
            <w:tcBorders>
              <w:top w:val="single" w:sz="4" w:space="0" w:color="000000"/>
              <w:start w:val="single" w:sz="4" w:space="0" w:color="000000"/>
              <w:bottom w:val="single" w:sz="4" w:space="0" w:color="000000"/>
              <w:end w:val="single" w:sz="4" w:space="0" w:color="000000"/>
            </w:tcBorders>
            <w:shd w:fill="19262B" w:val="clear"/>
            <w:vAlign w:val="center"/>
          </w:tcPr>
          <w:p>
            <w:pPr>
              <w:pStyle w:val="Normal"/>
              <w:rPr/>
            </w:pPr>
            <w:r>
              <w:rPr>
                <w:rFonts w:eastAsia="Calibri" w:cs="Calibri" w:ascii="Calibri" w:hAnsi="Calibri"/>
                <w:b/>
                <w:bCs/>
                <w:color w:val="FFFFFF"/>
                <w:sz w:val="19"/>
                <w:szCs w:val="19"/>
              </w:rPr>
              <w:t>Answers</w:t>
            </w:r>
          </w:p>
        </w:tc>
        <w:tc>
          <w:tcPr>
            <w:tcW w:w="2961" w:type="dxa"/>
            <w:tcBorders>
              <w:top w:val="single" w:sz="4" w:space="0" w:color="000000"/>
              <w:start w:val="single" w:sz="4" w:space="0" w:color="000000"/>
              <w:bottom w:val="single" w:sz="4" w:space="0" w:color="000000"/>
              <w:end w:val="single" w:sz="4" w:space="0" w:color="000000"/>
            </w:tcBorders>
            <w:shd w:fill="19262B" w:val="clear"/>
            <w:vAlign w:val="center"/>
          </w:tcPr>
          <w:p>
            <w:pPr>
              <w:pStyle w:val="Normal"/>
              <w:rPr/>
            </w:pPr>
            <w:r>
              <w:rPr>
                <w:rFonts w:eastAsia="Calibri" w:cs="Calibri" w:ascii="Calibri" w:hAnsi="Calibri"/>
                <w:b/>
                <w:bCs/>
                <w:color w:val="FFFFFF"/>
                <w:sz w:val="19"/>
                <w:szCs w:val="19"/>
              </w:rPr>
              <w:t>How it's identified</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As-is / current-condition</w:t>
            </w:r>
          </w:p>
        </w:tc>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Is the asking price fair for the property today, before any work? (Under/over market)</w:t>
            </w:r>
          </w:p>
        </w:tc>
        <w:tc>
          <w:tcPr>
            <w:tcW w:w="296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Non-flipped comps — no renovation evidence</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Renovated-retail (owner-occupant exit)</w:t>
            </w:r>
          </w:p>
        </w:tc>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True ARV for a flip-to-retail exit</w:t>
            </w:r>
          </w:p>
        </w:tc>
        <w:tc>
          <w:tcPr>
            <w:tcW w:w="296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Individual buyer, financed (FHA/conventional), MLS description confirms real renovation work</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Renovated-turnkey-rental (investor/commercial exit)</w:t>
            </w:r>
          </w:p>
        </w:tc>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Value for a flip-to-landlord exit — priced on rental yield, not retail comps</w:t>
            </w:r>
          </w:p>
        </w:tc>
        <w:tc>
          <w:tcPr>
            <w:tcW w:w="296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LLC buyer, cash, listing language emphasizes tenant-occupancy or turnkey rental</w:t>
            </w:r>
          </w:p>
        </w:tc>
      </w:tr>
      <w:tr>
        <w:trPr/>
        <w:tc>
          <w:tcPr>
            <w:tcW w:w="260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Deferred maintenance / component age</w:t>
            </w:r>
          </w:p>
        </w:tc>
        <w:tc>
          <w:tcPr>
            <w:tcW w:w="41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Rehab-risk signal — not a price at all, a separate axis</w:t>
            </w:r>
          </w:p>
        </w:tc>
        <w:tc>
          <w:tcPr>
            <w:tcW w:w="296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Years since last documented update, from a confirmed renovation, an assessed-value jump, or MLS history</w:t>
            </w:r>
          </w:p>
        </w:tc>
      </w:tr>
    </w:tbl>
    <w:p>
      <w:pPr>
        <w:pStyle w:val="Normal"/>
        <w:spacing w:before="200" w:after="0"/>
        <w:rPr/>
      </w:pPr>
      <w:r>
        <w:rPr/>
      </w:r>
    </w:p>
    <w:p>
      <w:pPr>
        <w:pStyle w:val="Normal"/>
        <w:spacing w:lineRule="auto" w:line="276" w:before="0" w:after="200"/>
        <w:rPr/>
      </w:pPr>
      <w:r>
        <w:rPr>
          <w:rFonts w:eastAsia="Calibri" w:cs="Calibri" w:ascii="Calibri" w:hAnsi="Calibri"/>
          <w:color w:val="222222"/>
          <w:sz w:val="21"/>
          <w:szCs w:val="21"/>
        </w:rPr>
        <w:t>A property tagged as previously “flipped” isn't automatically a retail-ARV comp — the tag can reflect a stale, years-old renovation, a rental-portfolio sale, or even a same-week wholesale double-close with zero time for any work to have happened. The reliable signal is a confirmed transaction pair: two sales of the same property with a real price jump between them, cross-checked against buyer type (individual vs. LLC), financing type, and the actual listing description. This is manual, comp-by-comp work — not something a tag or an algorithm can be trusted to do alone.</w:t>
      </w:r>
    </w:p>
    <w:p>
      <w:pPr>
        <w:pStyle w:val="Heading1"/>
        <w:pBdr>
          <w:bottom w:val="single" w:sz="6" w:space="4" w:color="D8BF77"/>
        </w:pBdr>
        <w:spacing w:before="480" w:after="240"/>
        <w:rPr/>
      </w:pPr>
      <w:r>
        <w:rPr>
          <w:rFonts w:eastAsia="Calibri" w:cs="Calibri" w:ascii="Calibri" w:hAnsi="Calibri"/>
          <w:b/>
          <w:bCs/>
          <w:color w:val="19262B"/>
          <w:sz w:val="30"/>
          <w:szCs w:val="30"/>
        </w:rPr>
        <w:t>Data Sourcing &amp; the Trust Hierarchy</w:t>
      </w:r>
    </w:p>
    <w:p>
      <w:pPr>
        <w:pStyle w:val="Normal"/>
        <w:spacing w:lineRule="auto" w:line="276" w:before="0" w:after="200"/>
        <w:rPr/>
      </w:pPr>
      <w:r>
        <w:rPr>
          <w:rFonts w:eastAsia="Calibri" w:cs="Calibri" w:ascii="Calibri" w:hAnsi="Calibri"/>
          <w:color w:val="222222"/>
          <w:sz w:val="21"/>
          <w:szCs w:val="21"/>
        </w:rPr>
        <w:t>Property data comes from three primary sources, ranked by reliability when they conflict:</w:t>
      </w:r>
    </w:p>
    <w:tbl>
      <w:tblPr>
        <w:tblW w:w="9760" w:type="dxa"/>
        <w:jc w:val="start"/>
        <w:tblInd w:w="0" w:type="dxa"/>
        <w:tblLayout w:type="fixed"/>
        <w:tblCellMar>
          <w:top w:w="80" w:type="dxa"/>
          <w:start w:w="120" w:type="dxa"/>
          <w:bottom w:w="80" w:type="dxa"/>
          <w:end w:w="120" w:type="dxa"/>
        </w:tblCellMar>
      </w:tblPr>
      <w:tblGrid>
        <w:gridCol w:w="1799"/>
        <w:gridCol w:w="3401"/>
        <w:gridCol w:w="4560"/>
      </w:tblGrid>
      <w:tr>
        <w:trPr>
          <w:tblHeader w:val="true"/>
        </w:trPr>
        <w:tc>
          <w:tcPr>
            <w:tcW w:w="1799" w:type="dxa"/>
            <w:tcBorders>
              <w:top w:val="single" w:sz="4" w:space="0" w:color="000000"/>
              <w:start w:val="single" w:sz="4" w:space="0" w:color="000000"/>
              <w:bottom w:val="single" w:sz="4" w:space="0" w:color="000000"/>
              <w:end w:val="single" w:sz="4" w:space="0" w:color="000000"/>
            </w:tcBorders>
            <w:shd w:fill="19262B" w:val="clear"/>
            <w:vAlign w:val="center"/>
          </w:tcPr>
          <w:p>
            <w:pPr>
              <w:pStyle w:val="Normal"/>
              <w:rPr/>
            </w:pPr>
            <w:r>
              <w:rPr>
                <w:rFonts w:eastAsia="Calibri" w:cs="Calibri" w:ascii="Calibri" w:hAnsi="Calibri"/>
                <w:b/>
                <w:bCs/>
                <w:color w:val="FFFFFF"/>
                <w:sz w:val="19"/>
                <w:szCs w:val="19"/>
              </w:rPr>
              <w:t>Priority</w:t>
            </w:r>
          </w:p>
        </w:tc>
        <w:tc>
          <w:tcPr>
            <w:tcW w:w="3401" w:type="dxa"/>
            <w:tcBorders>
              <w:top w:val="single" w:sz="4" w:space="0" w:color="000000"/>
              <w:start w:val="single" w:sz="4" w:space="0" w:color="000000"/>
              <w:bottom w:val="single" w:sz="4" w:space="0" w:color="000000"/>
              <w:end w:val="single" w:sz="4" w:space="0" w:color="000000"/>
            </w:tcBorders>
            <w:shd w:fill="19262B" w:val="clear"/>
            <w:vAlign w:val="center"/>
          </w:tcPr>
          <w:p>
            <w:pPr>
              <w:pStyle w:val="Normal"/>
              <w:rPr/>
            </w:pPr>
            <w:r>
              <w:rPr>
                <w:rFonts w:eastAsia="Calibri" w:cs="Calibri" w:ascii="Calibri" w:hAnsi="Calibri"/>
                <w:b/>
                <w:bCs/>
                <w:color w:val="FFFFFF"/>
                <w:sz w:val="19"/>
                <w:szCs w:val="19"/>
              </w:rPr>
              <w:t>Source</w:t>
            </w:r>
          </w:p>
        </w:tc>
        <w:tc>
          <w:tcPr>
            <w:tcW w:w="4560" w:type="dxa"/>
            <w:tcBorders>
              <w:top w:val="single" w:sz="4" w:space="0" w:color="000000"/>
              <w:start w:val="single" w:sz="4" w:space="0" w:color="000000"/>
              <w:bottom w:val="single" w:sz="4" w:space="0" w:color="000000"/>
              <w:end w:val="single" w:sz="4" w:space="0" w:color="000000"/>
            </w:tcBorders>
            <w:shd w:fill="19262B" w:val="clear"/>
            <w:vAlign w:val="center"/>
          </w:tcPr>
          <w:p>
            <w:pPr>
              <w:pStyle w:val="Normal"/>
              <w:rPr/>
            </w:pPr>
            <w:r>
              <w:rPr>
                <w:rFonts w:eastAsia="Calibri" w:cs="Calibri" w:ascii="Calibri" w:hAnsi="Calibri"/>
                <w:b/>
                <w:bCs/>
                <w:color w:val="FFFFFF"/>
                <w:sz w:val="19"/>
                <w:szCs w:val="19"/>
              </w:rPr>
              <w:t>Produces</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1 (highest)</w:t>
            </w:r>
          </w:p>
        </w:tc>
        <w:tc>
          <w:tcPr>
            <w:tcW w:w="34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County Assessor (public record)</w:t>
            </w:r>
          </w:p>
        </w:tc>
        <w:tc>
          <w:tcPr>
            <w:tcW w:w="456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Ownership, tax assessment, legal description — manually verified, authoritative</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2</w:t>
            </w:r>
          </w:p>
        </w:tc>
        <w:tc>
          <w:tcPr>
            <w:tcW w:w="34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MLS listing data</w:t>
            </w:r>
          </w:p>
        </w:tc>
        <w:tc>
          <w:tcPr>
            <w:tcW w:w="456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Listing price, description, sale status</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3</w:t>
            </w:r>
          </w:p>
        </w:tc>
        <w:tc>
          <w:tcPr>
            <w:tcW w:w="34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Dealio.pro / LeadPipes</w:t>
            </w:r>
          </w:p>
        </w:tc>
        <w:tc>
          <w:tcPr>
            <w:tcW w:w="456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Comps report, skip-trace leads, AI insight (informational only)</w:t>
            </w:r>
          </w:p>
        </w:tc>
      </w:tr>
      <w:tr>
        <w:trPr/>
        <w:tc>
          <w:tcPr>
            <w:tcW w:w="1799"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4 (lowest)</w:t>
            </w:r>
          </w:p>
        </w:tc>
        <w:tc>
          <w:tcPr>
            <w:tcW w:w="3401"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SendFuse</w:t>
            </w:r>
          </w:p>
        </w:tc>
        <w:tc>
          <w:tcPr>
            <w:tcW w:w="4560" w:type="dxa"/>
            <w:tcBorders>
              <w:top w:val="single" w:sz="4" w:space="0" w:color="000000"/>
              <w:start w:val="single" w:sz="4" w:space="0" w:color="000000"/>
              <w:bottom w:val="single" w:sz="4" w:space="0" w:color="000000"/>
              <w:end w:val="single" w:sz="4" w:space="0" w:color="000000"/>
            </w:tcBorders>
            <w:vAlign w:val="center"/>
          </w:tcPr>
          <w:p>
            <w:pPr>
              <w:pStyle w:val="Normal"/>
              <w:rPr/>
            </w:pPr>
            <w:r>
              <w:rPr>
                <w:rFonts w:eastAsia="Calibri" w:cs="Calibri" w:ascii="Calibri" w:hAnsi="Calibri"/>
                <w:b w:val="false"/>
                <w:bCs w:val="false"/>
                <w:color w:val="222222"/>
                <w:sz w:val="19"/>
                <w:szCs w:val="19"/>
              </w:rPr>
              <w:t>Quick property profile, debt stack — has a known bug mislabeling a prior owner's loan as current</w:t>
            </w:r>
          </w:p>
        </w:tc>
      </w:tr>
    </w:tbl>
    <w:p>
      <w:pPr>
        <w:pStyle w:val="Normal"/>
        <w:spacing w:before="200" w:after="0"/>
        <w:rPr/>
      </w:pPr>
      <w:r>
        <w:rPr/>
      </w:r>
    </w:p>
    <w:p>
      <w:pPr>
        <w:pStyle w:val="Normal"/>
        <w:spacing w:lineRule="auto" w:line="276" w:before="0" w:after="200"/>
        <w:rPr/>
      </w:pPr>
      <w:r>
        <w:rPr>
          <w:rFonts w:eastAsia="Calibri" w:cs="Calibri" w:ascii="Calibri" w:hAnsi="Calibri"/>
          <w:color w:val="222222"/>
          <w:sz w:val="21"/>
          <w:szCs w:val="21"/>
        </w:rPr>
        <w:t>This hierarchy isn't academic — it caught a real, ~3-year-stale owner name on a live deal (Dealio showed the prior owner; the county record showed the actual current owner, reached via a $0 internal portfolio transfer Dealio never picked up). County and SendFuse/Dealio.pro data are pulled live through a connected browser session, since none of these platforms expose a public API; every pulled figure is logged with its source, a pull date, and a report reference on a Source Log tab so any number in a deliverable can be traced back to where it came from.</w:t>
      </w:r>
    </w:p>
    <w:p>
      <w:pPr>
        <w:pStyle w:val="Heading1"/>
        <w:pBdr>
          <w:bottom w:val="single" w:sz="6" w:space="4" w:color="D8BF77"/>
        </w:pBdr>
        <w:spacing w:before="480" w:after="240"/>
        <w:rPr/>
      </w:pPr>
      <w:r>
        <w:rPr>
          <w:rFonts w:eastAsia="Calibri" w:cs="Calibri" w:ascii="Calibri" w:hAnsi="Calibri"/>
          <w:b/>
          <w:bCs/>
          <w:color w:val="19262B"/>
          <w:sz w:val="30"/>
          <w:szCs w:val="30"/>
        </w:rPr>
        <w:t>Quality Standards Before Anything Ships</w:t>
      </w:r>
    </w:p>
    <w:p>
      <w:pPr>
        <w:pStyle w:val="ListParagraph"/>
        <w:numPr>
          <w:ilvl w:val="0"/>
          <w:numId w:val="1"/>
        </w:numPr>
        <w:spacing w:lineRule="auto" w:line="271" w:before="0" w:after="100"/>
        <w:rPr/>
      </w:pPr>
      <w:r>
        <w:rPr>
          <w:rFonts w:eastAsia="Calibri" w:cs="Calibri" w:ascii="Calibri" w:hAnsi="Calibri"/>
          <w:color w:val="222222"/>
          <w:sz w:val="21"/>
          <w:szCs w:val="21"/>
        </w:rPr>
        <w:t>Every placeholder and example figure replaced with the client's actual deal terms.</w:t>
      </w:r>
    </w:p>
    <w:p>
      <w:pPr>
        <w:pStyle w:val="ListParagraph"/>
        <w:numPr>
          <w:ilvl w:val="0"/>
          <w:numId w:val="1"/>
        </w:numPr>
        <w:spacing w:lineRule="auto" w:line="271" w:before="0" w:after="100"/>
        <w:rPr/>
      </w:pPr>
      <w:r>
        <w:rPr>
          <w:rFonts w:eastAsia="Calibri" w:cs="Calibri" w:ascii="Calibri" w:hAnsi="Calibri"/>
          <w:color w:val="222222"/>
          <w:sz w:val="21"/>
          <w:szCs w:val="21"/>
        </w:rPr>
        <w:t>Rehab budget is the real itemized contractor bid (Full Model) or a clearly-flagged category-level estimate (Quick Screen) — never presented as more certain than it is.</w:t>
      </w:r>
    </w:p>
    <w:p>
      <w:pPr>
        <w:pStyle w:val="ListParagraph"/>
        <w:numPr>
          <w:ilvl w:val="0"/>
          <w:numId w:val="1"/>
        </w:numPr>
        <w:spacing w:lineRule="auto" w:line="271" w:before="0" w:after="100"/>
        <w:rPr/>
      </w:pPr>
      <w:r>
        <w:rPr>
          <w:rFonts w:eastAsia="Calibri" w:cs="Calibri" w:ascii="Calibri" w:hAnsi="Calibri"/>
          <w:color w:val="222222"/>
          <w:sz w:val="21"/>
          <w:szCs w:val="21"/>
        </w:rPr>
        <w:t>Waterfall step order matches the actual JV/operating agreement, re-ordered if it doesn't (JV templates only).</w:t>
      </w:r>
    </w:p>
    <w:p>
      <w:pPr>
        <w:pStyle w:val="ListParagraph"/>
        <w:numPr>
          <w:ilvl w:val="0"/>
          <w:numId w:val="1"/>
        </w:numPr>
        <w:spacing w:lineRule="auto" w:line="271" w:before="0" w:after="100"/>
        <w:rPr/>
      </w:pPr>
      <w:r>
        <w:rPr>
          <w:rFonts w:eastAsia="Calibri" w:cs="Calibri" w:ascii="Calibri" w:hAnsi="Calibri"/>
          <w:color w:val="222222"/>
          <w:sz w:val="21"/>
          <w:szCs w:val="21"/>
        </w:rPr>
        <w:t>Model tested at a below-ARV sale price — the QA check row must stay at $0.00 and no distribution may go negative.</w:t>
      </w:r>
    </w:p>
    <w:p>
      <w:pPr>
        <w:pStyle w:val="ListParagraph"/>
        <w:numPr>
          <w:ilvl w:val="0"/>
          <w:numId w:val="1"/>
        </w:numPr>
        <w:spacing w:lineRule="auto" w:line="271" w:before="0" w:after="100"/>
        <w:rPr/>
      </w:pPr>
      <w:r>
        <w:rPr>
          <w:rFonts w:eastAsia="Calibri" w:cs="Calibri" w:ascii="Calibri" w:hAnsi="Calibri"/>
          <w:color w:val="222222"/>
          <w:sz w:val="21"/>
          <w:szCs w:val="21"/>
        </w:rPr>
        <w:t>Headline profit and ROI figures cross-checked against the model's own totals — they must reconcile exactly.</w:t>
      </w:r>
    </w:p>
    <w:p>
      <w:pPr>
        <w:pStyle w:val="ListParagraph"/>
        <w:numPr>
          <w:ilvl w:val="0"/>
          <w:numId w:val="1"/>
        </w:numPr>
        <w:spacing w:lineRule="auto" w:line="271" w:before="0" w:after="100"/>
        <w:rPr/>
      </w:pPr>
      <w:r>
        <w:rPr>
          <w:rFonts w:eastAsia="Calibri" w:cs="Calibri" w:ascii="Calibri" w:hAnsi="Calibri"/>
          <w:color w:val="222222"/>
          <w:sz w:val="21"/>
          <w:szCs w:val="21"/>
        </w:rPr>
        <w:t>Every sourced figure carries a Source / Date / Reference citation.</w:t>
      </w:r>
    </w:p>
    <w:p>
      <w:pPr>
        <w:pStyle w:val="Heading1"/>
        <w:pBdr>
          <w:bottom w:val="single" w:sz="6" w:space="4" w:color="D8BF77"/>
        </w:pBdr>
        <w:spacing w:before="480" w:after="240"/>
        <w:rPr/>
      </w:pPr>
      <w:r>
        <w:rPr>
          <w:rFonts w:eastAsia="Calibri" w:cs="Calibri" w:ascii="Calibri" w:hAnsi="Calibri"/>
          <w:b/>
          <w:bCs/>
          <w:color w:val="19262B"/>
          <w:sz w:val="30"/>
          <w:szCs w:val="30"/>
        </w:rPr>
        <w:t>Where This Is Headed</w:t>
      </w:r>
    </w:p>
    <w:p>
      <w:pPr>
        <w:pStyle w:val="Normal"/>
        <w:spacing w:lineRule="auto" w:line="276" w:before="0" w:after="200"/>
        <w:rPr/>
      </w:pPr>
      <w:r>
        <w:rPr>
          <w:rFonts w:eastAsia="Calibri" w:cs="Calibri" w:ascii="Calibri" w:hAnsi="Calibri"/>
          <w:color w:val="222222"/>
          <w:sz w:val="21"/>
          <w:szCs w:val="21"/>
        </w:rPr>
        <w:t>The client-facing analyst service is being built as a deliberately separate, de-branded track — standardized intake checklists, engagement-letter language, and report templates that never expose Newtree's internal JV terms or partner economics. Pricing is expected to differ meaningfully between the two tiers — a wholesaler's Quick Screen is a lighter lift than an investor's Full Model — and should be set (or beta-tested) separately rather than as one bundled offer. As volume grows, expect research (property data pulls), report preparation, and eventually marketing to become associate-led functions, with Harold focused on the consultation relationship itself and the deals with the most complexity. County-by-county data mapping (currently Cuyahoga, Orleans, and St. Tammany) is expected to expand significantly as the client base grows nationally.</w:t>
      </w:r>
    </w:p>
    <w:sectPr>
      <w:headerReference w:type="even" r:id="rId3"/>
      <w:headerReference w:type="default" r:id="rId4"/>
      <w:headerReference w:type="first" r:id="rId5"/>
      <w:footerReference w:type="even" r:id="rId6"/>
      <w:footerReference w:type="default" r:id="rId7"/>
      <w:footerReference w:type="first" r:id="rId8"/>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 w:name="Georgia">
    <w:charset w:val="00" w:characterSet="windows-1252"/>
    <w:family w:val="roman"/>
    <w:pitch w:val="variable"/>
  </w:font>
  <w:font w:name="Calibri">
    <w:charset w:val="00" w:characterSet="windows-1252"/>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595959"/>
        <w:sz w:val="16"/>
        <w:szCs w:val="16"/>
      </w:rPr>
      <w:t xml:space="preserve">Page </w:t>
    </w:r>
    <w:r>
      <w:rPr>
        <w:rFonts w:eastAsia="Calibri" w:cs="Calibri" w:ascii="Calibri" w:hAnsi="Calibri"/>
        <w:color w:val="222222"/>
        <w:sz w:val="21"/>
        <w:szCs w:val="21"/>
      </w:rPr>
      <w:fldChar w:fldCharType="begin"/>
    </w:r>
    <w:r>
      <w:rPr>
        <w:rFonts w:eastAsia="Calibri" w:cs="Calibri" w:ascii="Calibri" w:hAnsi="Calibri"/>
        <w:color w:val="222222"/>
        <w:sz w:val="21"/>
        <w:szCs w:val="21"/>
      </w:rPr>
      <w:instrText xml:space="preserve"> PAGE </w:instrText>
    </w:r>
    <w:r>
      <w:rPr>
        <w:rFonts w:eastAsia="Calibri" w:cs="Calibri" w:ascii="Calibri" w:hAnsi="Calibri"/>
        <w:color w:val="222222"/>
        <w:sz w:val="21"/>
        <w:szCs w:val="21"/>
      </w:rPr>
      <w:fldChar w:fldCharType="separate"/>
    </w:r>
    <w:r>
      <w:rPr>
        <w:rFonts w:eastAsia="Calibri" w:cs="Calibri" w:ascii="Calibri" w:hAnsi="Calibri"/>
        <w:color w:val="222222"/>
        <w:sz w:val="21"/>
        <w:szCs w:val="21"/>
      </w:rPr>
      <w:t>6</w:t>
    </w:r>
    <w:r>
      <w:rPr>
        <w:rFonts w:eastAsia="Calibri" w:cs="Calibri" w:ascii="Calibri" w:hAnsi="Calibri"/>
        <w:color w:val="222222"/>
        <w:sz w:val="21"/>
        <w:szCs w:val="21"/>
      </w:rPr>
      <w:fldChar w:fldCharType="end"/>
    </w:r>
    <w:r>
      <w:rPr>
        <w:rFonts w:eastAsia="Calibri" w:cs="Calibri" w:ascii="Calibri" w:hAnsi="Calibri"/>
        <w:color w:val="595959"/>
        <w:sz w:val="16"/>
        <w:szCs w:val="16"/>
      </w:rPr>
      <w:t xml:space="preserve"> of </w:t>
    </w:r>
    <w:r>
      <w:rPr>
        <w:rFonts w:eastAsia="Calibri" w:cs="Calibri" w:ascii="Calibri" w:hAnsi="Calibri"/>
        <w:color w:val="222222"/>
        <w:sz w:val="21"/>
        <w:szCs w:val="21"/>
      </w:rPr>
      <w:fldChar w:fldCharType="begin"/>
    </w:r>
    <w:r>
      <w:rPr>
        <w:rFonts w:eastAsia="Calibri" w:cs="Calibri" w:ascii="Calibri" w:hAnsi="Calibri"/>
        <w:color w:val="222222"/>
        <w:sz w:val="21"/>
        <w:szCs w:val="21"/>
      </w:rPr>
      <w:instrText xml:space="preserve"> NUMPAGES </w:instrText>
    </w:r>
    <w:r>
      <w:rPr>
        <w:rFonts w:eastAsia="Calibri" w:cs="Calibri" w:ascii="Calibri" w:hAnsi="Calibri"/>
        <w:color w:val="222222"/>
        <w:sz w:val="21"/>
        <w:szCs w:val="21"/>
      </w:rPr>
      <w:fldChar w:fldCharType="separate"/>
    </w:r>
    <w:r>
      <w:rPr>
        <w:rFonts w:eastAsia="Calibri" w:cs="Calibri" w:ascii="Calibri" w:hAnsi="Calibri"/>
        <w:color w:val="222222"/>
        <w:sz w:val="21"/>
        <w:szCs w:val="21"/>
      </w:rPr>
      <w:t>6</w:t>
    </w:r>
    <w:r>
      <w:rPr>
        <w:rFonts w:eastAsia="Calibri" w:cs="Calibri" w:ascii="Calibri" w:hAnsi="Calibri"/>
        <w:color w:val="222222"/>
        <w:sz w:val="21"/>
        <w:szCs w:val="21"/>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ascii="Calibri" w:hAnsi="Calibri"/>
        <w:color w:val="595959"/>
        <w:sz w:val="16"/>
        <w:szCs w:val="16"/>
      </w:rPr>
      <w:t xml:space="preserve">Page </w:t>
    </w:r>
    <w:r>
      <w:rPr>
        <w:rFonts w:eastAsia="Calibri" w:cs="Calibri" w:ascii="Calibri" w:hAnsi="Calibri"/>
        <w:color w:val="222222"/>
        <w:sz w:val="21"/>
        <w:szCs w:val="21"/>
      </w:rPr>
      <w:fldChar w:fldCharType="begin"/>
    </w:r>
    <w:r>
      <w:rPr>
        <w:rFonts w:eastAsia="Calibri" w:cs="Calibri" w:ascii="Calibri" w:hAnsi="Calibri"/>
        <w:color w:val="222222"/>
        <w:sz w:val="21"/>
        <w:szCs w:val="21"/>
      </w:rPr>
      <w:instrText xml:space="preserve"> PAGE </w:instrText>
    </w:r>
    <w:r>
      <w:rPr>
        <w:rFonts w:eastAsia="Calibri" w:cs="Calibri" w:ascii="Calibri" w:hAnsi="Calibri"/>
        <w:color w:val="222222"/>
        <w:sz w:val="21"/>
        <w:szCs w:val="21"/>
      </w:rPr>
      <w:fldChar w:fldCharType="separate"/>
    </w:r>
    <w:r>
      <w:rPr>
        <w:rFonts w:eastAsia="Calibri" w:cs="Calibri" w:ascii="Calibri" w:hAnsi="Calibri"/>
        <w:color w:val="222222"/>
        <w:sz w:val="21"/>
        <w:szCs w:val="21"/>
      </w:rPr>
      <w:t>6</w:t>
    </w:r>
    <w:r>
      <w:rPr>
        <w:rFonts w:eastAsia="Calibri" w:cs="Calibri" w:ascii="Calibri" w:hAnsi="Calibri"/>
        <w:color w:val="222222"/>
        <w:sz w:val="21"/>
        <w:szCs w:val="21"/>
      </w:rPr>
      <w:fldChar w:fldCharType="end"/>
    </w:r>
    <w:r>
      <w:rPr>
        <w:rFonts w:eastAsia="Calibri" w:cs="Calibri" w:ascii="Calibri" w:hAnsi="Calibri"/>
        <w:color w:val="595959"/>
        <w:sz w:val="16"/>
        <w:szCs w:val="16"/>
      </w:rPr>
      <w:t xml:space="preserve"> of </w:t>
    </w:r>
    <w:r>
      <w:rPr>
        <w:rFonts w:eastAsia="Calibri" w:cs="Calibri" w:ascii="Calibri" w:hAnsi="Calibri"/>
        <w:color w:val="222222"/>
        <w:sz w:val="21"/>
        <w:szCs w:val="21"/>
      </w:rPr>
      <w:fldChar w:fldCharType="begin"/>
    </w:r>
    <w:r>
      <w:rPr>
        <w:rFonts w:eastAsia="Calibri" w:cs="Calibri" w:ascii="Calibri" w:hAnsi="Calibri"/>
        <w:color w:val="222222"/>
        <w:sz w:val="21"/>
        <w:szCs w:val="21"/>
      </w:rPr>
      <w:instrText xml:space="preserve"> NUMPAGES </w:instrText>
    </w:r>
    <w:r>
      <w:rPr>
        <w:rFonts w:eastAsia="Calibri" w:cs="Calibri" w:ascii="Calibri" w:hAnsi="Calibri"/>
        <w:color w:val="222222"/>
        <w:sz w:val="21"/>
        <w:szCs w:val="21"/>
      </w:rPr>
      <w:fldChar w:fldCharType="separate"/>
    </w:r>
    <w:r>
      <w:rPr>
        <w:rFonts w:eastAsia="Calibri" w:cs="Calibri" w:ascii="Calibri" w:hAnsi="Calibri"/>
        <w:color w:val="222222"/>
        <w:sz w:val="21"/>
        <w:szCs w:val="21"/>
      </w:rPr>
      <w:t>6</w:t>
    </w:r>
    <w:r>
      <w:rPr>
        <w:rFonts w:eastAsia="Calibri" w:cs="Calibri" w:ascii="Calibri" w:hAnsi="Calibri"/>
        <w:color w:val="222222"/>
        <w:sz w:val="21"/>
        <w:szCs w:val="21"/>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jc w:val="end"/>
      <w:rPr/>
    </w:pPr>
    <w:r>
      <w:rPr>
        <w:rFonts w:eastAsia="Calibri" w:cs="Calibri" w:ascii="Calibri" w:hAnsi="Calibri"/>
        <w:i/>
        <w:iCs/>
        <w:color w:val="595959"/>
        <w:sz w:val="16"/>
        <w:szCs w:val="16"/>
      </w:rPr>
      <w:t>Newtree Capital Resources LLC — Internal Reference</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4" w:space="4" w:color="CCCCCC"/>
      </w:pBdr>
      <w:jc w:val="end"/>
      <w:rPr/>
    </w:pPr>
    <w:r>
      <w:rPr>
        <w:rFonts w:eastAsia="Calibri" w:cs="Calibri" w:ascii="Calibri" w:hAnsi="Calibri"/>
        <w:i/>
        <w:iCs/>
        <w:color w:val="595959"/>
        <w:sz w:val="16"/>
        <w:szCs w:val="16"/>
      </w:rPr>
      <w:t>Newtree Capital Resources LLC — Internal Reference</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360" w:hanging="260"/>
      </w:pPr>
      <w:rPr>
        <w:rFonts w:ascii="Symbol" w:hAnsi="Symbol" w:cs="Symbol" w:hint="default"/>
      </w:rPr>
    </w:lvl>
    <w:lvl w:ilvl="1">
      <w:start w:val="1"/>
      <w:numFmt w:val="bullet"/>
      <w:lvlText w:val="◦"/>
      <w:lvlJc w:val="start"/>
      <w:pPr>
        <w:tabs>
          <w:tab w:val="num" w:pos="0"/>
        </w:tabs>
        <w:ind w:start="720" w:hanging="2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8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Lucida Sans"/>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NSimSun" w:cs="Lucida Sans"/>
      <w:b/>
      <w:bCs/>
      <w:color w:val="auto"/>
      <w:kern w:val="0"/>
      <w:sz w:val="20"/>
      <w:szCs w:val="20"/>
      <w:lang w:val="en-US" w:eastAsia="zh-CN" w:bidi="hi-IN"/>
    </w:rPr>
  </w:style>
  <w:style w:type="paragraph" w:styleId="ListParagraph">
    <w:name w:val="List Paragraph"/>
    <w:qFormat/>
    <w:pPr>
      <w:widowControl/>
      <w:bidi w:val="0"/>
      <w:spacing w:before="0" w:after="0"/>
      <w:jc w:val="start"/>
    </w:pPr>
    <w:rPr>
      <w:rFonts w:ascii="Times New Roman" w:hAnsi="Times New Roman" w:eastAsia="NSimSun" w:cs="Lucida Sans"/>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LibreOffice/26.2.5.2$Windows_X86_64 LibreOffice_project/cd7284b4cbbfeb507e630c1aac019f4157393acb</Application>
  <AppVersion>15.0000</AppVersion>
  <Pages>2</Pages>
  <Words>1917</Words>
  <Characters>10693</Characters>
  <CharactersWithSpaces>12553</CharactersWithSpaces>
  <Paragraphs>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2026-08-21T05:07:33Z</dcterms:created>
  <dc:creator>Un-named</dc:creator>
  <dc:description/>
  <dc:language>en-US</dc:language>
  <cp:lastModifiedBy>Un-named</cp:lastModifiedBy>
  <dcterms:modified xsi:type="dcterms:W3CDTF">2026-08-21T05:07:33Z</dcterms:modified>
  <cp:revision>1</cp:revision>
  <dc:subject/>
  <dc:title/>
</cp:coreProperties>
</file>