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0" w:after="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857500" cy="2286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500" w:after="0"/>
        <w:jc w:val="center"/>
        <w:rPr/>
      </w:pPr>
      <w:r>
        <w:rPr>
          <w:rFonts w:eastAsia="Georgia" w:cs="Georgia" w:ascii="Georgia" w:hAnsi="Georgia"/>
          <w:b/>
          <w:bCs/>
          <w:color w:val="19262B"/>
          <w:sz w:val="42"/>
          <w:szCs w:val="42"/>
        </w:rPr>
        <w:t>STAFF USER GUIDE</w:t>
      </w:r>
    </w:p>
    <w:p>
      <w:pPr>
        <w:pStyle w:val="Normal"/>
        <w:spacing w:before="120" w:after="0"/>
        <w:jc w:val="center"/>
        <w:rPr/>
      </w:pPr>
      <w:r>
        <w:rPr>
          <w:rFonts w:eastAsia="Georgia" w:cs="Georgia" w:ascii="Georgia" w:hAnsi="Georgia"/>
          <w:i/>
          <w:iCs/>
          <w:color w:val="68521B"/>
          <w:sz w:val="26"/>
          <w:szCs w:val="26"/>
        </w:rPr>
        <w:t>Operating the Fix &amp; Flip Deal Analysis Templates</w:t>
      </w:r>
    </w:p>
    <w:p>
      <w:pPr>
        <w:pStyle w:val="Normal"/>
        <w:spacing w:before="700" w:after="0"/>
        <w:jc w:val="center"/>
        <w:rPr/>
      </w:pP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Newtree Capital Resources LLC — Internal Reference</w:t>
      </w:r>
    </w:p>
    <w:p>
      <w:pPr>
        <w:pStyle w:val="Normal"/>
        <w:spacing w:before="2200" w:after="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7"/>
          <w:szCs w:val="17"/>
        </w:rPr>
        <w:t>Companion to: Product &amp; Methodology Overview, Property Data Sourcing Guide</w:t>
      </w:r>
    </w:p>
    <w:p>
      <w:pPr>
        <w:pStyle w:val="Normal"/>
        <w:spacing w:before="0" w:after="0"/>
        <w:rPr/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pBdr>
          <w:bottom w:val="single" w:sz="6" w:space="4" w:color="D8BF77"/>
        </w:pBdr>
        <w:spacing w:before="440" w:after="220"/>
        <w:rPr/>
      </w:pPr>
      <w:r>
        <w:rPr>
          <w:rFonts w:eastAsia="Calibri" w:cs="Calibri" w:ascii="Calibri" w:hAnsi="Calibri"/>
          <w:b/>
          <w:bCs/>
          <w:color w:val="19262B"/>
          <w:sz w:val="28"/>
          <w:szCs w:val="28"/>
        </w:rPr>
        <w:t>Before You Start</w:t>
      </w:r>
    </w:p>
    <w:p>
      <w:pPr>
        <w:pStyle w:val="Normal"/>
        <w:spacing w:lineRule="auto" w:line="271" w:before="0" w:after="18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This guide is the how-to. For why the process is built this way, read the Product &amp; Methodology Overview first — it explains the reasoning behind the comp tiers, the waterfall capping, and the sourcing trust hierarchy that this guide assumes you already understand.</w:t>
      </w:r>
    </w:p>
    <w:p>
      <w:pPr>
        <w:pStyle w:val="Normal"/>
        <w:spacing w:lineRule="auto" w:line="271" w:before="0" w:after="18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Every deal moves through the same basic pipeline: pull data → screen the deal → build the full model (if it clears the screen) → QA it → deliver report + spreadsheet. This guide walks each stage in order.</w:t>
      </w:r>
    </w:p>
    <w:p>
      <w:pPr>
        <w:pStyle w:val="Heading1"/>
        <w:pBdr>
          <w:bottom w:val="single" w:sz="6" w:space="4" w:color="D8BF77"/>
        </w:pBdr>
        <w:spacing w:before="440" w:after="220"/>
        <w:rPr/>
      </w:pPr>
      <w:r>
        <w:rPr>
          <w:rFonts w:eastAsia="Calibri" w:cs="Calibri" w:ascii="Calibri" w:hAnsi="Calibri"/>
          <w:b/>
          <w:bCs/>
          <w:color w:val="19262B"/>
          <w:sz w:val="28"/>
          <w:szCs w:val="28"/>
        </w:rPr>
        <w:t>Stage 1 — Pulling Property Data</w:t>
      </w:r>
    </w:p>
    <w:p>
      <w:pPr>
        <w:pStyle w:val="Normal"/>
        <w:spacing w:lineRule="auto" w:line="271" w:before="0" w:after="18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Three sources, in order of trust: County Assessor (highest), MLS listing data, then Dealio.pro, then SendFuse (lowest). Full click-by-click workflows for each platform are in the Property Data Sourcing Guide — this section is the summary.</w:t>
      </w:r>
    </w:p>
    <w:p>
      <w:pPr>
        <w:pStyle w:val="Heading3"/>
        <w:spacing w:before="220" w:after="110"/>
        <w:rPr/>
      </w:pPr>
      <w:r>
        <w:rPr>
          <w:rFonts w:eastAsia="Calibri" w:cs="Calibri" w:ascii="Calibri" w:hAnsi="Calibri"/>
          <w:b/>
          <w:bCs/>
          <w:color w:val="68521B"/>
          <w:sz w:val="20"/>
          <w:szCs w:val="20"/>
        </w:rPr>
        <w:t>County Assessor</w:t>
      </w:r>
    </w:p>
    <w:p>
      <w:pPr>
        <w:pStyle w:val="ListParagraph"/>
        <w:numPr>
          <w:ilvl w:val="0"/>
          <w:numId w:val="4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Public, no login. Search by Address (not Owner or Parcel) on most county sites.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Pull: current owner, transfer history, assessed/market value history, and the current tax bill (1st/2nd half detail, not just the annual total).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Address format matters — counties often use their own abbreviation conventions (e.g. “142 St” not “142nd St”). If a search fails, try the county's format before assuming the record doesn't exist.</w:t>
      </w:r>
    </w:p>
    <w:p>
      <w:pPr>
        <w:pStyle w:val="Heading3"/>
        <w:spacing w:before="220" w:after="110"/>
        <w:rPr/>
      </w:pPr>
      <w:r>
        <w:rPr>
          <w:rFonts w:eastAsia="Calibri" w:cs="Calibri" w:ascii="Calibri" w:hAnsi="Calibri"/>
          <w:b/>
          <w:bCs/>
          <w:color w:val="68521B"/>
          <w:sz w:val="20"/>
          <w:szCs w:val="20"/>
        </w:rPr>
        <w:t>Dealio.pro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Requires login — Claude cannot log in on your behalf. Have the session open before starting.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Pulls: comps report, skip-trace/owner contact info, and (via the Comps page) the full comp table with sale price, $/sqft, and lead-type tags including “Flipped.”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The search field is React-controlled — a plain click-and-type sometimes fails to register. If that happens, it needs to be set programmatically rather than typed normally.</w:t>
      </w:r>
    </w:p>
    <w:p>
      <w:pPr>
        <w:pStyle w:val="Heading3"/>
        <w:spacing w:before="220" w:after="110"/>
        <w:rPr/>
      </w:pPr>
      <w:r>
        <w:rPr>
          <w:rFonts w:eastAsia="Calibri" w:cs="Calibri" w:ascii="Calibri" w:hAnsi="Calibri"/>
          <w:b/>
          <w:bCs/>
          <w:color w:val="68521B"/>
          <w:sz w:val="20"/>
          <w:szCs w:val="20"/>
        </w:rPr>
        <w:t>SendFuse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Lowest-trust source — useful for a quick property profile and debt stack, but has a known bug mislabeling a prior owner's loan as the current mortgage. Always cross-check ownership claims against the county record.</w:t>
      </w:r>
    </w:p>
    <w:p>
      <w:pPr>
        <w:pStyle w:val="Normal"/>
        <w:shd w:val="clear" w:fill="F2F2F2"/>
        <w:spacing w:before="100" w:after="200"/>
        <w:ind w:start="200" w:end="20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Log every pull — source, report type, date, and file reference — on the Source Log tab as you go, not after the fact. This is what lets a client trace any number in their report back to where it came from.</w:t>
      </w:r>
    </w:p>
    <w:p>
      <w:pPr>
        <w:pStyle w:val="Heading1"/>
        <w:pBdr>
          <w:bottom w:val="single" w:sz="6" w:space="4" w:color="D8BF77"/>
        </w:pBdr>
        <w:spacing w:before="440" w:after="220"/>
        <w:rPr/>
      </w:pPr>
      <w:r>
        <w:rPr>
          <w:rFonts w:eastAsia="Calibri" w:cs="Calibri" w:ascii="Calibri" w:hAnsi="Calibri"/>
          <w:b/>
          <w:bCs/>
          <w:color w:val="19262B"/>
          <w:sz w:val="28"/>
          <w:szCs w:val="28"/>
        </w:rPr>
        <w:t>Stage 2 — The Comp Validation Workflow</w:t>
      </w:r>
    </w:p>
    <w:p>
      <w:pPr>
        <w:pStyle w:val="Normal"/>
        <w:spacing w:lineRule="auto" w:line="271" w:before="0" w:after="18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Don't average all comps together. Split them into tiers before any number gets used: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3401"/>
        <w:gridCol w:w="3560"/>
      </w:tblGrid>
      <w:tr>
        <w:trPr>
          <w:tblHeader w:val="true"/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262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262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Use for</w:t>
            </w:r>
          </w:p>
        </w:tc>
        <w:tc>
          <w:tcPr>
            <w:tcW w:w="3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262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How to identify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As-is / distressed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Is the asking price fair right now?</w:t>
            </w:r>
          </w:p>
        </w:tc>
        <w:tc>
          <w:tcPr>
            <w:tcW w:w="3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No “Flipped” tag, no confirmed renovation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Renovated-retail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True ARV (flip-to-retail exit)</w:t>
            </w:r>
          </w:p>
        </w:tc>
        <w:tc>
          <w:tcPr>
            <w:tcW w:w="3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Individual buyer + financed (FHA/conventional) + listing describes real renovation work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Renovated-rental/commercial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Value for a flip-to-landlord exit (different from retail ARV)</w:t>
            </w:r>
          </w:p>
        </w:tc>
        <w:tc>
          <w:tcPr>
            <w:tcW w:w="3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LLC buyer + cash + listing emphasizes tenant-occupancy/turnkey rental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20" w:after="110"/>
        <w:rPr/>
      </w:pPr>
      <w:r>
        <w:rPr>
          <w:rFonts w:eastAsia="Calibri" w:cs="Calibri" w:ascii="Calibri" w:hAnsi="Calibri"/>
          <w:b/>
          <w:bCs/>
          <w:color w:val="68521B"/>
          <w:sz w:val="20"/>
          <w:szCs w:val="20"/>
        </w:rPr>
        <w:t>Validating a “Flipped”-tagged comp</w:t>
      </w:r>
    </w:p>
    <w:p>
      <w:pPr>
        <w:pStyle w:val="ListParagraph"/>
        <w:numPr>
          <w:ilvl w:val="0"/>
          <w:numId w:val="5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Open the comp's individual Transactions tab — look for two sales of the same property with a real price jump between them. A single sale, however tagged, isn't evidence of anything by itself.</w:t>
      </w:r>
    </w:p>
    <w:p>
      <w:pPr>
        <w:pStyle w:val="ListParagraph"/>
        <w:numPr>
          <w:ilvl w:val="0"/>
          <w:numId w:val="2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Check the dates. If the two sales are days apart, it's a wholesale double-close, not a renovation — exclude it entirely.</w:t>
      </w:r>
    </w:p>
    <w:p>
      <w:pPr>
        <w:pStyle w:val="ListParagraph"/>
        <w:numPr>
          <w:ilvl w:val="0"/>
          <w:numId w:val="2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Check the buyer on the later sale: an individual, financed (FHA/conventional), is a strong retail signal. An LLC, cash, is not automatically disqualifying — but check the listing language next.</w:t>
      </w:r>
    </w:p>
    <w:p>
      <w:pPr>
        <w:pStyle w:val="ListParagraph"/>
        <w:numPr>
          <w:ilvl w:val="0"/>
          <w:numId w:val="2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Read the actual MLS description. “Brand new roof, updated kitchen, move-in ready” is retail-tier evidence. “Turnkey, tenant-occupied, cash-flowing” is rental-tier — real work, different valuation basis, track it separately rather than discarding it.</w:t>
      </w:r>
    </w:p>
    <w:p>
      <w:pPr>
        <w:pStyle w:val="ListParagraph"/>
        <w:numPr>
          <w:ilvl w:val="0"/>
          <w:numId w:val="2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If a sorted list of “Flipped” comps by $/sqft shows a natural gap (e.g. two low outliers, then a cluster), the low ones are very likely the flipper's acquisition price, not their resale — exclude them.</w:t>
      </w:r>
    </w:p>
    <w:p>
      <w:pPr>
        <w:pStyle w:val="Normal"/>
        <w:pBdr>
          <w:left w:val="single" w:sz="18" w:space="8" w:color="68521B"/>
        </w:pBdr>
        <w:spacing w:before="100" w:after="200"/>
        <w:ind w:start="200" w:end="200"/>
        <w:rPr/>
      </w:pPr>
      <w:r>
        <w:rPr>
          <w:rFonts w:eastAsia="Calibri" w:cs="Calibri" w:ascii="Calibri" w:hAnsi="Calibri"/>
          <w:b/>
          <w:bCs/>
          <w:color w:val="68521B"/>
          <w:sz w:val="19"/>
          <w:szCs w:val="19"/>
        </w:rPr>
        <w:t>A confirmed renovation and a genuine ARV comp are not the same thing. Rental-exit renovations use cheaper, rent-ready materials — they're real data, but for a different tier, not noise to discard.</w:t>
      </w:r>
    </w:p>
    <w:p>
      <w:pPr>
        <w:pStyle w:val="Heading1"/>
        <w:pBdr>
          <w:bottom w:val="single" w:sz="6" w:space="4" w:color="D8BF77"/>
        </w:pBdr>
        <w:spacing w:before="440" w:after="220"/>
        <w:rPr/>
      </w:pPr>
      <w:r>
        <w:rPr>
          <w:rFonts w:eastAsia="Calibri" w:cs="Calibri" w:ascii="Calibri" w:hAnsi="Calibri"/>
          <w:b/>
          <w:bCs/>
          <w:color w:val="19262B"/>
          <w:sz w:val="28"/>
          <w:szCs w:val="28"/>
        </w:rPr>
        <w:t>Stage 3 — Choosing and Building the Model</w:t>
      </w:r>
    </w:p>
    <w:p>
      <w:pPr>
        <w:pStyle w:val="Heading3"/>
        <w:spacing w:before="220" w:after="110"/>
        <w:rPr/>
      </w:pPr>
      <w:r>
        <w:rPr>
          <w:rFonts w:eastAsia="Calibri" w:cs="Calibri" w:ascii="Calibri" w:hAnsi="Calibri"/>
          <w:b/>
          <w:bCs/>
          <w:color w:val="68521B"/>
          <w:sz w:val="20"/>
          <w:szCs w:val="20"/>
        </w:rPr>
        <w:t>Which template?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559"/>
        <w:gridCol w:w="3801"/>
      </w:tblGrid>
      <w:tr>
        <w:trPr>
          <w:tblHeader w:val="true"/>
          <w:cantSplit/>
        </w:trPr>
        <w:tc>
          <w:tcPr>
            <w:tcW w:w="5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262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262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Template</w:t>
            </w:r>
          </w:p>
        </w:tc>
      </w:tr>
      <w:tr>
        <w:trPr>
          <w:cantSplit/>
        </w:trPr>
        <w:tc>
          <w:tcPr>
            <w:tcW w:w="5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No term sheet, no contractor bid yet — deciding whether to dig further (wholesaler tier)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Quick Screen (Pre-Diligence)</w:t>
            </w:r>
          </w:p>
        </w:tc>
      </w:tr>
      <w:tr>
        <w:trPr>
          <w:cantSplit/>
        </w:trPr>
        <w:tc>
          <w:tcPr>
            <w:tcW w:w="5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Single buyer, no partner split — investor tier, Full Model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Borrower Version</w:t>
            </w:r>
          </w:p>
        </w:tc>
      </w:tr>
      <w:tr>
        <w:trPr>
          <w:cantSplit/>
        </w:trPr>
        <w:tc>
          <w:tcPr>
            <w:tcW w:w="5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JV structure, straightforward waterfall — investor tier, Full Model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JV Partner (Base)</w:t>
            </w:r>
          </w:p>
        </w:tc>
      </w:tr>
      <w:tr>
        <w:trPr>
          <w:cantSplit/>
        </w:trPr>
        <w:tc>
          <w:tcPr>
            <w:tcW w:w="5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JV with a fallback-funding or extra-contribution provision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JV Partner + Contingency/Additional Capital</w:t>
            </w:r>
          </w:p>
        </w:tc>
      </w:tr>
      <w:tr>
        <w:trPr>
          <w:cantSplit/>
        </w:trPr>
        <w:tc>
          <w:tcPr>
            <w:tcW w:w="5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Seller is carrying a second mortgage</w:t>
            </w:r>
          </w:p>
        </w:tc>
        <w:tc>
          <w:tcPr>
            <w:tcW w:w="3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JV Partner + Seller Financing</w:t>
            </w:r>
          </w:p>
        </w:tc>
      </w:tr>
    </w:tbl>
    <w:p>
      <w:pPr>
        <w:pStyle w:val="Normal"/>
        <w:shd w:val="clear" w:fill="F2F2F2"/>
        <w:spacing w:before="100" w:after="200"/>
        <w:ind w:start="200" w:end="20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Quick Screen and the Borrower/JV Partner variants aren't just sequential stages — they're two separate client-facing products, typically sold to two different people (the wholesaler vs. the investor who buys from them) on the same property. See the Product &amp; Methodology Overview for the full “Two Client-Facing Tiers” explanation, the Prepared For convention, and the double-close scoping rule.</w:t>
      </w:r>
    </w:p>
    <w:p>
      <w:pPr>
        <w:pStyle w:val="Heading3"/>
        <w:spacing w:before="220" w:after="110"/>
        <w:rPr/>
      </w:pPr>
      <w:r>
        <w:rPr>
          <w:rFonts w:eastAsia="Calibri" w:cs="Calibri" w:ascii="Calibri" w:hAnsi="Calibri"/>
          <w:b/>
          <w:bCs/>
          <w:color w:val="68521B"/>
          <w:sz w:val="20"/>
          <w:szCs w:val="20"/>
        </w:rPr>
        <w:t>Quick Screen (Pre-Diligence) — tab order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Assumptions: asking price, ARV (with source citation), property data, holding-cost estimates, screen thresholds.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Rehab Estimate: six category buckets (not itemized), Rehab Estimate Stage flag, optional $/sqft calculator, Deferred Maintenance / Component Age signal.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Source Log: every pulled report, logged.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Screen Results: 70% Rule MAO, spread, quick profit estimate, As-Is Market Check, verdict — all formulas, nothing entered directly here.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Deal Screen: the one-page summary a client sees.</w:t>
      </w:r>
    </w:p>
    <w:p>
      <w:pPr>
        <w:pStyle w:val="Heading3"/>
        <w:spacing w:before="220" w:after="110"/>
        <w:rPr/>
      </w:pPr>
      <w:r>
        <w:rPr>
          <w:rFonts w:eastAsia="Calibri" w:cs="Calibri" w:ascii="Calibri" w:hAnsi="Calibri"/>
          <w:b/>
          <w:bCs/>
          <w:color w:val="68521B"/>
          <w:sz w:val="20"/>
          <w:szCs w:val="20"/>
        </w:rPr>
        <w:t>Borrower / JV Partner (Full Model) — tab order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Assumptions: every input the rest of the model depends on — blue text means “should come from a source document,” yellow highlight means “needs client confirmation.”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Rehab Budget: the client's real itemized contractor bid, by category — never the template's example line items.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Sources &amp; Uses: the full capital stack — what the deal costs against what funds it.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Monthly Cash Flow: month-by-month timing, not just totals — this is where financing quirks like arrears-reimbursement float show up.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Sale &amp; Returns (JV Partner only): the capped, priority-ordered waterfall.</w:t>
      </w:r>
    </w:p>
    <w:p>
      <w:pPr>
        <w:pStyle w:val="Normal"/>
        <w:pBdr>
          <w:left w:val="single" w:sz="18" w:space="8" w:color="68521B"/>
        </w:pBdr>
        <w:spacing w:before="100" w:after="200"/>
        <w:ind w:start="200" w:end="200"/>
        <w:rPr/>
      </w:pPr>
      <w:r>
        <w:rPr>
          <w:rFonts w:eastAsia="Calibri" w:cs="Calibri" w:ascii="Calibri" w:hAnsi="Calibri"/>
          <w:b/>
          <w:bCs/>
          <w:color w:val="68521B"/>
          <w:sz w:val="19"/>
          <w:szCs w:val="19"/>
        </w:rPr>
        <w:t>Every distribution step must be capped at cash actually remaining, in priority order — never a simple sum of what each party is contractually owed. Test at a below-ARV sale price before delivering: the QA check row must land at $0.00 and no distribution may go negative.</w:t>
      </w:r>
    </w:p>
    <w:p>
      <w:pPr>
        <w:pStyle w:val="Heading1"/>
        <w:pBdr>
          <w:bottom w:val="single" w:sz="6" w:space="4" w:color="D8BF77"/>
        </w:pBdr>
        <w:spacing w:before="440" w:after="220"/>
        <w:rPr/>
      </w:pPr>
      <w:r>
        <w:rPr>
          <w:rFonts w:eastAsia="Calibri" w:cs="Calibri" w:ascii="Calibri" w:hAnsi="Calibri"/>
          <w:b/>
          <w:bCs/>
          <w:color w:val="19262B"/>
          <w:sz w:val="28"/>
          <w:szCs w:val="28"/>
        </w:rPr>
        <w:t>Stage 4 — Quality Assurance, Before Anything Ships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Every placeholder and example figure replaced with the client's actual deal terms.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Rehab budget matches the template's requirement for that stage (itemized for Full Model, category-level and flagged for Quick Screen).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Waterfall order matches the real JV/operating agreement (JV templates only) — re-order if it doesn't.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Below-ARV stress test passes (JV templates).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Headline profit/ROI figures reconcile exactly against the model's own totals.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Every sourced figure has a Source / Date / Reference citation.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Recalculate the workbook (don't trust cached values) and confirm zero formula errors before delivering.</w:t>
      </w:r>
    </w:p>
    <w:p>
      <w:pPr>
        <w:pStyle w:val="Heading1"/>
        <w:pBdr>
          <w:bottom w:val="single" w:sz="6" w:space="4" w:color="D8BF77"/>
        </w:pBdr>
        <w:spacing w:before="440" w:after="220"/>
        <w:rPr/>
      </w:pPr>
      <w:r>
        <w:rPr>
          <w:rFonts w:eastAsia="Calibri" w:cs="Calibri" w:ascii="Calibri" w:hAnsi="Calibri"/>
          <w:b/>
          <w:bCs/>
          <w:color w:val="19262B"/>
          <w:sz w:val="28"/>
          <w:szCs w:val="28"/>
        </w:rPr>
        <w:t>Stage 5 — Preparing the Client Deliverable</w:t>
      </w:r>
    </w:p>
    <w:p>
      <w:pPr>
        <w:pStyle w:val="Normal"/>
        <w:spacing w:lineRule="auto" w:line="271" w:before="0" w:after="18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Every client receives two things: a written report (narrative, modeled on the internal deal-analysis format but de-branded and stripped of any Newtree-internal JV economics) and the spreadsheet itself, unlocked, so they can adjust assumptions.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Strip anything that exposes internal JV partner terms, waterfall percentages, or Newtree/Run Global-specific economics before a Borrower-version model goes to an outside client.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Confirm every yellow input cell still functions correctly if a client changes it — walk through changing ARV, rehab total, and hold period and verify the whole model recalculates cleanly.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On every Quick Screen report, include the “What a Full Model Adds” section — the client (or the wholesaler marketing to their client) should see concretely what upgrading unlocks, not just a verdict with no path forward.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Set the Prepared For field correctly — the wholesaler's name on a Quick Screen used as their marketing collateral, the investor's name on a Full Model. Never let one party's report reference the other party's contract price or economics (see the double-close scoping rule in the Product &amp; Methodology Overview).</w:t>
      </w:r>
    </w:p>
    <w:p>
      <w:pPr>
        <w:pStyle w:val="ListParagraph"/>
        <w:numPr>
          <w:ilvl w:val="0"/>
          <w:numId w:val="1"/>
        </w:numPr>
        <w:spacing w:lineRule="auto" w:line="264" w:before="0" w:after="9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See the Client User Guide for what gets sent alongside the deliverable to teach the client how to safely use it.</w:t>
      </w:r>
    </w:p>
    <w:p>
      <w:pPr>
        <w:pStyle w:val="Heading1"/>
        <w:pBdr>
          <w:bottom w:val="single" w:sz="6" w:space="4" w:color="D8BF77"/>
        </w:pBdr>
        <w:spacing w:before="440" w:after="220"/>
        <w:rPr/>
      </w:pPr>
      <w:r>
        <w:rPr>
          <w:rFonts w:eastAsia="Calibri" w:cs="Calibri" w:ascii="Calibri" w:hAnsi="Calibri"/>
          <w:b/>
          <w:bCs/>
          <w:color w:val="19262B"/>
          <w:sz w:val="28"/>
          <w:szCs w:val="28"/>
        </w:rPr>
        <w:t>Common Issues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>
          <w:tblHeader w:val="true"/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262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9262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Likely cause / fix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Browser navigation returns “Permission denied”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Domain isn't on the Claude-in-Chrome extension's allowlist — needs to be added manually, in the browser, by a person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A search field won't accept typed text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Field is React-controlled — needs the native-setter approach, not plain typing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County address search returns a server error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Try the county's own abbreviation format (often no ordinal suffix)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Formula shows a stale/wrong value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Recalculate the workbook — don't trust a cached value from before the last edit</w:t>
            </w:r>
          </w:p>
        </w:tc>
      </w:tr>
      <w:tr>
        <w:trPr>
          <w:cantSplit/>
        </w:trPr>
        <w:tc>
          <w:tcPr>
            <w:tcW w:w="3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Owner name looks wrong or inconsistent between sources</w:t>
            </w:r>
          </w:p>
        </w:tc>
        <w:tc>
          <w:tcPr>
            <w:tcW w:w="5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8"/>
                <w:szCs w:val="18"/>
              </w:rPr>
              <w:t>Check the county Transfers tab — Dealio.pro/SendFuse data can be years stale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Newtree Capital — Staff User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CCCCC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Newtree Capital — Staff User Guide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72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0" w:hanging="34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</Pages>
  <Words>1392</Words>
  <Characters>7664</Characters>
  <CharactersWithSpaces>8964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2026-08-21T05:12:57Z</dcterms:created>
  <dc:creator>Un-named</dc:creator>
  <dc:description/>
  <dc:language>en-US</dc:language>
  <cp:lastModifiedBy>Un-named</cp:lastModifiedBy>
  <dcterms:modified xsi:type="dcterms:W3CDTF">2026-08-21T05:12:57Z</dcterms:modified>
  <cp:revision>1</cp:revision>
  <dc:subject/>
  <dc:title/>
</cp:coreProperties>
</file>