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2382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68521B"/>
          <w:sz w:val="22"/>
          <w:szCs w:val="22"/>
        </w:rPr>
        <w:t xml:space="preserve">[Property Address, City, State ZIP]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Prepared by Newtree Capital Resources LLC  ·  Prepared: [Month Day, Year]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17"/>
          <w:szCs w:val="17"/>
        </w:rPr>
        <w:t xml:space="preserve">Prepared For: [Client / Wholesaler Name]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Comps Support Document — evidentiary backup for the ARV comparable sales analysis in the accompanying report.</w:t>
      </w:r>
    </w:p>
    <w:p>
      <w:pPr>
        <w:pBdr>
          <w:bottom w:val="single" w:color="D8BF77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9262B"/>
          <w:sz w:val="27"/>
          <w:szCs w:val="27"/>
        </w:rPr>
        <w:t xml:space="preserve">ARV Comparable Sales — Support Data</w:t>
      </w:r>
    </w:p>
    <w:p>
      <w:pPr>
        <w:spacing w:after="170" w:line="26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document backs the ARV figure cited in the accompanying report with the individual comparable sales that support it. Each comp listed here was individually verified using the transaction-pair method: a real, documented price jump between two sales of the same property, checked against buyer type, financing, and the listing's own description — not just a lead-service tag taken at face value.</w:t>
      </w:r>
    </w:p>
    <w:p>
      <w:pPr>
        <w:spacing w:after="220" w:line="26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Only comps tagged Confirmed Genuine or Moderate Confidence appear below. Comps that were excluded (e.g. same-week wholesale double-closes, unrenovated resales) or reclassified to a different valuation tier (e.g. rental/commercial) are documented separately in this deal's Internal Working Files log — that record is internal only and is not shared with the client.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 Address</w:t>
            </w:r>
          </w:p>
        </w:tc>
        <w:tc>
          <w:tcPr>
            <w:tcW w:type="dxa" w:w="19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 History (Prior → Current)</w:t>
            </w:r>
          </w:p>
        </w:tc>
        <w:tc>
          <w:tcPr>
            <w:tcW w:type="dxa" w:w="9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Buyer Type</w:t>
            </w:r>
          </w:p>
        </w:tc>
        <w:tc>
          <w:tcPr>
            <w:tcW w:type="dxa" w:w="12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Financing</w:t>
            </w:r>
          </w:p>
        </w:tc>
        <w:tc>
          <w:tcPr>
            <w:tcW w:type="dxa" w:w="7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$/Sqft</w:t>
            </w:r>
          </w:p>
        </w:tc>
        <w:tc>
          <w:tcPr>
            <w:tcW w:type="dxa" w:w="15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 Assigned</w:t>
            </w:r>
          </w:p>
        </w:tc>
        <w:tc>
          <w:tcPr>
            <w:tcW w:type="dxa" w:w="2200"/>
            <w:shd w:fill="1926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Basis / Reasoning</w:t>
            </w:r>
          </w:p>
        </w:tc>
      </w:tr>
      <w:tr>
        <w:tc>
          <w:tcPr>
            <w:tcW w:type="dxa" w:w="5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16120 Harvard Ave, Cleveland, OH 44128</w:t>
            </w:r>
          </w:p>
        </w:tc>
        <w:tc>
          <w:tcPr>
            <w:tcW w:type="dxa" w:w="1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$30,000 / prior → $150,000 / current</w:t>
            </w:r>
          </w:p>
        </w:tc>
        <w:tc>
          <w:tcPr>
            <w:tcW w:type="dxa" w:w="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Individual</w:t>
            </w:r>
          </w:p>
        </w:tc>
        <w:tc>
          <w:tcPr>
            <w:tcW w:type="dxa" w:w="12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FHA</w:t>
            </w:r>
          </w:p>
        </w:tc>
        <w:tc>
          <w:tcPr>
            <w:tcW w:type="dxa" w:w="7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$137</w:t>
            </w:r>
          </w:p>
        </w:tc>
        <w:tc>
          <w:tcPr>
            <w:tcW w:type="dxa" w:w="15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Confirmed Genuine</w:t>
            </w:r>
          </w:p>
        </w:tc>
        <w:tc>
          <w:tcPr>
            <w:tcW w:type="dxa" w:w="22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EXAMPLE -- verified transaction pair on same property; individual buyer + FHA financing + listing described new roof, updated electrical, refinished hardwood.</w:t>
            </w:r>
          </w:p>
        </w:tc>
      </w:tr>
      <w:tr>
        <w:tc>
          <w:tcPr>
            <w:tcW w:type="dxa" w:w="5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[Comp Street Address, City, State ZIP]</w:t>
            </w:r>
          </w:p>
        </w:tc>
        <w:tc>
          <w:tcPr>
            <w:tcW w:type="dxa" w:w="1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[$XXX,XXX / MM-YYYY → $XXX,XXX / MM-YYYY]</w:t>
            </w:r>
          </w:p>
        </w:tc>
        <w:tc>
          <w:tcPr>
            <w:tcW w:type="dxa" w:w="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[Individual / LLC / Trust]</w:t>
            </w:r>
          </w:p>
        </w:tc>
        <w:tc>
          <w:tcPr>
            <w:tcW w:type="dxa" w:w="12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[FHA / Conventional / Cash]</w:t>
            </w:r>
          </w:p>
        </w:tc>
        <w:tc>
          <w:tcPr>
            <w:tcW w:type="dxa" w:w="7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[$XXX]</w:t>
            </w:r>
          </w:p>
        </w:tc>
        <w:tc>
          <w:tcPr>
            <w:tcW w:type="dxa" w:w="15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[Confirmed Genuine / Moderate Confidence]</w:t>
            </w:r>
          </w:p>
        </w:tc>
        <w:tc>
          <w:tcPr>
            <w:tcW w:type="dxa" w:w="22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[Why this comp supports the ARV -- renovation description, listing language, transaction-pair basis]</w:t>
            </w:r>
          </w:p>
        </w:tc>
      </w:tr>
      <w:tr>
        <w:tc>
          <w:tcPr>
            <w:tcW w:type="dxa" w:w="5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[Comp Street Address, City, State ZIP]</w:t>
            </w:r>
          </w:p>
        </w:tc>
        <w:tc>
          <w:tcPr>
            <w:tcW w:type="dxa" w:w="1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[$XXX,XXX / MM-YYYY → $XXX,XXX / MM-YYYY]</w:t>
            </w:r>
          </w:p>
        </w:tc>
        <w:tc>
          <w:tcPr>
            <w:tcW w:type="dxa" w:w="9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[Individual / LLC / Trust]</w:t>
            </w:r>
          </w:p>
        </w:tc>
        <w:tc>
          <w:tcPr>
            <w:tcW w:type="dxa" w:w="12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[FHA / Conventional / Cash]</w:t>
            </w:r>
          </w:p>
        </w:tc>
        <w:tc>
          <w:tcPr>
            <w:tcW w:type="dxa" w:w="7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[$XXX]</w:t>
            </w:r>
          </w:p>
        </w:tc>
        <w:tc>
          <w:tcPr>
            <w:tcW w:type="dxa" w:w="15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[Confirmed Genuine / Moderate Confidence]</w:t>
            </w:r>
          </w:p>
        </w:tc>
        <w:tc>
          <w:tcPr>
            <w:tcW w:type="dxa" w:w="2200"/>
            <w:shd w:fill="E7F0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[Why this comp supports the ARV -- renovation description, listing language, transaction-pair basis]</w:t>
            </w:r>
          </w:p>
        </w:tc>
      </w:tr>
      <w:tr>
        <w:tc>
          <w:tcPr>
            <w:tcW w:type="dxa" w:w="5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[Comp Street Address, City, State ZIP]</w:t>
            </w:r>
          </w:p>
        </w:tc>
        <w:tc>
          <w:tcPr>
            <w:tcW w:type="dxa" w:w="1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[$XXX,XXX / MM-YYYY → $XXX,XXX / MM-YYYY]</w:t>
            </w:r>
          </w:p>
        </w:tc>
        <w:tc>
          <w:tcPr>
            <w:tcW w:type="dxa" w:w="9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[Individual / LLC / Trust]</w:t>
            </w:r>
          </w:p>
        </w:tc>
        <w:tc>
          <w:tcPr>
            <w:tcW w:type="dxa" w:w="12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[FHA / Conventional / Cash]</w:t>
            </w:r>
          </w:p>
        </w:tc>
        <w:tc>
          <w:tcPr>
            <w:tcW w:type="dxa" w:w="7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[$XXX]</w:t>
            </w:r>
          </w:p>
        </w:tc>
        <w:tc>
          <w:tcPr>
            <w:tcW w:type="dxa" w:w="15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[Confirmed Genuine / Moderate Confidence]</w:t>
            </w:r>
          </w:p>
        </w:tc>
        <w:tc>
          <w:tcPr>
            <w:tcW w:type="dxa" w:w="2200"/>
            <w:shd w:fill="FBF3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[Why this comp supports the ARV -- renovation description, listing language, transaction-pair basis]</w:t>
            </w:r>
          </w:p>
        </w:tc>
      </w:tr>
    </w:tbl>
    <w:p>
      <w:pPr>
        <w:spacing w:after="60" w:before="220"/>
      </w:pPr>
    </w:p>
    <w:p>
      <w:pPr>
        <w:spacing w:after="170" w:line="268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Methodology reference: see the Property Data Sourcing Guide (Rule 1 — transaction-pair verification) for the full comp validation method this document applies.</w:t>
      </w:r>
    </w:p>
    <w:p>
      <w:pPr>
        <w:spacing w:after="0" w:line="268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Source: Dealio.pro Comps Report. Pulled [Month Day, Year].</w:t>
      </w:r>
    </w:p>
    <w:sectPr>
      <w:headerReference w:type="default" r:id="rId7"/>
      <w:footerReference w:type="default" r:id="rId8"/>
      <w:pgSz w:w="12240" w:h="15840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aa9a15b637523f01fbc0bf0a713028357796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2026-08-22T18:36:56.149Z</dcterms:created>
  <dcterms:modified xsi:type="dcterms:W3CDTF">2026-08-22T18:36:56.166Z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