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 xml:space="preserve">Property Data Sourcing — Platforms </w:t>
      </w:r>
      <w:r>
        <w:rPr>
          <w:b/>
          <w:bCs/>
          <w:i/>
          <w:iCs/>
        </w:rPr>
        <w:t>&amp;</w:t>
      </w:r>
      <w:r>
        <w:rPr>
          <w:i/>
          <w:iCs/>
        </w:rPr>
        <w:t xml:space="preserve"> Workflows</w:t>
      </w:r>
    </w:p>
    <w:p>
      <w:pPr>
        <w:pStyle w:val="BodyText"/>
        <w:rPr/>
      </w:pPr>
      <w:r>
        <w:rPr>
          <w:b/>
          <w:bCs/>
        </w:rPr>
        <w:t>Property Data Sourcing</w:t>
      </w:r>
    </w:p>
    <w:p>
      <w:pPr>
        <w:pStyle w:val="BodyText"/>
        <w:rPr/>
      </w:pPr>
      <w:r>
        <w:rPr>
          <w:i/>
          <w:iCs/>
        </w:rPr>
        <w:t xml:space="preserve">Platforms, Workflows </w:t>
      </w:r>
      <w:r>
        <w:rPr>
          <w:b/>
          <w:bCs/>
          <w:i/>
          <w:iCs/>
        </w:rPr>
        <w:t>&amp;</w:t>
      </w:r>
      <w:r>
        <w:rPr>
          <w:i/>
          <w:iCs/>
        </w:rPr>
        <w:t xml:space="preserve"> Technical Notes</w:t>
      </w:r>
    </w:p>
    <w:p>
      <w:pPr>
        <w:pStyle w:val="BodyText"/>
        <w:rPr/>
      </w:pPr>
      <w:r>
        <w:rPr/>
        <w:t>Newtree Capital Resources LLC — Internal Reference</w:t>
      </w:r>
    </w:p>
    <w:p>
      <w:pPr>
        <w:pStyle w:val="Heading1"/>
        <w:rPr/>
      </w:pPr>
      <w:bookmarkStart w:id="0" w:name="purpose"/>
      <w:r>
        <w:rPr/>
        <w:t>Purpose</w:t>
      </w:r>
    </w:p>
    <w:p>
      <w:pPr>
        <w:pStyle w:val="FirstParagraph"/>
        <w:rPr/>
      </w:pPr>
      <w:r>
        <w:rPr/>
        <w:t>This document captures the actual, tested steps for pulling property data into Newtree’s underwriting and financial-modeling workflow from the three primary sources: SendFuse (Property Profile reports), Dealio.pro / LeadPipes (comps reports and skip-trace leads), and county assessor portals (public record verification). These steps were mapped by driving each platform live in a logged-in browser session, not from documentation — every click path below was actually tested and confirmed working.</w:t>
      </w:r>
    </w:p>
    <w:p>
      <w:pPr>
        <w:pStyle w:val="BodyText"/>
        <w:rPr/>
      </w:pPr>
      <w:r>
        <w:rPr/>
        <w:t>This is a companion reference to the Fix &amp; Flip Financial Model templates and methodology — the data gathered here (as-is value, comps, tax records, ownership/lien history) is what feeds the Assumptions and Rehab Budget tabs of those models.</w:t>
      </w:r>
    </w:p>
    <w:p>
      <w:pPr>
        <w:pStyle w:val="BodyText"/>
        <w:rPr/>
      </w:pPr>
      <w:r>
        <w:rPr/>
        <w:t xml:space="preserve">Dealio.pro is a white-label, user-only front end with no API of its own, built on the RealFlow platform; Newtree’s subscription includes a monthly quota of 60,000 actions (Debt Stack orders, comps reports, and skip-trace exports all draw against this same pool — not billed per click). If monthly volume grows past roughly 5,000, RealFlow’s own direct API becomes worth evaluating as an upgrade path, since that would allow genuine automated retrieval instead of the live-browser-session method documented here.</w:t>
      </w:r>
    </w:p>
    <w:p>
      <w:pPr>
        <w:pStyle w:val="BodyText"/>
        <w:rPr/>
      </w:pPr>
      <w:r>
        <w:rPr/>
        <w:t xml:space="preserve">A separate research pass (Aug. 2026) looked at RentCast and Mashvisor as possible additions. Neither is a substitute for RealFlow’s API — both are AVM/market-analytics tools (property and rental valuations, cap rates, days-on-market) and neither offers ownership history, debt/lien records, or skip-trace, which is the actual data RealFlow would replace. RealFlow’s direct API remains the only genuine replacement path for Dealio.pro; RentCast and Mashvisor, if ever added, would be adjunct enrichment layered on top — e.g. a second independent AVM to cross-check the comps-derived ARV, or cap rate/DOM context for BRRRR and Turnkey strategy scoring — not a migration target.</w:t>
      </w:r>
    </w:p>
    <w:p>
      <w:pPr>
        <w:pStyle w:val="Heading2"/>
        <w:rPr/>
      </w:pPr>
      <w:bookmarkStart w:id="1" w:name="X77ab84abe00ac79e977657ca44cc9d9c95d63a2"/>
      <w:r>
        <w:rPr/>
        <w:t>STANDING RULE: Documentation Is Part of the Session, Not a Follow-Up</w:t>
      </w:r>
    </w:p>
    <w:p>
      <w:pPr>
        <w:pStyle w:val="FirstParagraph"/>
        <w:rPr/>
      </w:pPr>
      <w:r>
        <w:rPr>
          <w:i/>
          <w:iCs/>
        </w:rPr>
        <w:t>A live mapping session is not complete when the data is found — it is complete when this document has been updated to reflect what was actually learned. Update this guide as the last step of every session, in the same sitting, before moving on to anything else. Do not treat documentation as a separate task to circle back to later — with hundreds of counties eventually in scope, anything not captured immediately is effectively lost, since the next person (or the next session) will have no way to know a county was ever touched, let alone what was learned about it.</w:t>
      </w:r>
      <w:bookmarkEnd w:id="0"/>
      <w:bookmarkEnd w:id="1"/>
    </w:p>
    <w:p>
      <w:pPr>
        <w:pStyle w:val="Heading1"/>
        <w:rPr/>
      </w:pPr>
      <w:bookmarkStart w:id="2" w:name="Xae3428238470543bee68b0f1d9ccfe9413de847"/>
      <w:r>
        <w:rPr/>
        <w:t>Browser Access &amp; Permissions — Read Before Any Live Session</w:t>
      </w:r>
    </w:p>
    <w:p>
      <w:pPr>
        <w:pStyle w:val="FirstParagraph"/>
        <w:rPr/>
      </w:pPr>
      <w:r>
        <w:rPr/>
        <w:t>Every workflow in this document depends on Claude in Chrome, a browser extension that lets Claude see and control an actual Chrome tab. This is not standing access to any site — it has to be re-established at the start of a session, and it fails in specific, recognizable ways. Understanding this mechanism up front saves real time troubleshooting later.</w:t>
      </w:r>
    </w:p>
    <w:p>
      <w:pPr>
        <w:pStyle w:val="Heading2"/>
        <w:rPr/>
      </w:pPr>
      <w:bookmarkStart w:id="3" w:name="the-two-layer-permission-model"/>
      <w:r>
        <w:rPr/>
        <w:t>The two-layer permission model</w:t>
      </w:r>
    </w:p>
    <w:p>
      <w:pPr>
        <w:pStyle w:val="FirstParagraph"/>
        <w:rPr/>
      </w:pPr>
      <w:r>
        <w:rPr/>
        <w:t>There are two separate approval layers, and both can silently block a session if skipped:</w:t>
      </w:r>
    </w:p>
    <w:p>
      <w:pPr>
        <w:pStyle w:val="BodyText"/>
        <w:rPr/>
      </w:pPr>
      <w:r>
        <w:rPr>
          <w:b/>
          <w:bCs/>
        </w:rPr>
        <w:t xml:space="preserve">1. Browser connection. </w:t>
      </w:r>
      <w:r>
        <w:rPr/>
        <w:t>Claude in Chrome must be connected to a specific browser instance. If more than one browser has the extension installed, Claude must ask which one to use before taking any action — never assume. A confirmation prompt can be sent to every connected browser at once, and whichever one the person clicks Connect on becomes the active browser for that session.</w:t>
      </w:r>
    </w:p>
    <w:p>
      <w:pPr>
        <w:pStyle w:val="BodyText"/>
        <w:rPr/>
      </w:pPr>
      <w:r>
        <w:rPr>
          <w:b/>
          <w:bCs/>
        </w:rPr>
        <w:t xml:space="preserve">2. Per-domain permission. </w:t>
      </w:r>
      <w:r>
        <w:rPr/>
        <w:t>Even with a browser connected, each new domain visited during a session may trigger its own one-time permission prompt in the extension — not just the first site visited. Expect a new prompt whenever navigation moves to a genuinely different domain (e.g. from the county’s main site to a separate vendor platform the county’s search tool is hosted on).</w:t>
      </w:r>
      <w:bookmarkEnd w:id="3"/>
    </w:p>
    <w:p>
      <w:pPr>
        <w:pStyle w:val="Heading2"/>
        <w:rPr/>
      </w:pPr>
      <w:bookmarkStart w:id="4" w:name="a-failure-mode-worth-knowing-about"/>
      <w:r>
        <w:rPr/>
        <w:t>A failure mode worth knowing about</w:t>
      </w:r>
    </w:p>
    <w:p>
      <w:pPr>
        <w:pStyle w:val="FirstParagraph"/>
        <w:rPr/>
      </w:pPr>
      <w:r>
        <w:rPr>
          <w:i/>
          <w:iCs/>
        </w:rPr>
        <w:t xml:space="preserve">A permission prompt that gets closed or dismissed without clicking Allow can register as a DENIAL, not a neutral </w:t>
      </w:r>
      <w:r>
        <w:rPr>
          <w:b/>
          <w:bCs/>
          <w:i/>
          <w:iCs/>
        </w:rPr>
        <w:t>“never mind.”</w:t>
      </w:r>
      <w:r>
        <w:rPr>
          <w:i/>
          <w:iCs/>
        </w:rPr>
        <w:t xml:space="preserve"> If navigation to a new domain fails, first check for an unread or already-dismissed permission prompt before assuming the domain is blocked outright — closing what looks like an unrelated or broken tab may have been the actual permission dialog.</w:t>
      </w:r>
    </w:p>
    <w:p>
      <w:pPr>
        <w:pStyle w:val="BodyText"/>
        <w:rPr/>
      </w:pPr>
      <w:r>
        <w:rPr/>
        <w:t>If a domain keeps failing with a permission-denied error and nothing visible is prompting for approval, check (in order): the extension icon in the browser toolbar for a pending request or badge; that the extension is enabled at all; whether the extension keeps a per-site allow/block list that may have gotten the domain added to it by mistake; and finally, try navigating to the exact same URL manually in that browser to see whether a prompt appears when the person (not Claude) initiates the navigation.</w:t>
      </w:r>
      <w:bookmarkEnd w:id="4"/>
    </w:p>
    <w:p>
      <w:pPr>
        <w:pStyle w:val="Heading2"/>
        <w:rPr/>
      </w:pPr>
      <w:bookmarkStart w:id="5" w:name="practical-workflow"/>
      <w:r>
        <w:rPr/>
        <w:t>Practical workflow</w:t>
      </w:r>
    </w:p>
    <w:p>
      <w:pPr>
        <w:pStyle w:val="FirstParagraph"/>
        <w:rPr/>
      </w:pPr>
      <w:r>
        <w:rPr/>
        <w:t>Start a live mapping or data-pull session by opening a fresh, empty tab rather than reusing whatever tab the person already has open for other work — this avoids interfering with unrelated tabs (e.g. a financial model spreadsheet open in another tab) and gives a clean slate for the permission checks above. Any tab created for a session should be closed once the session’s task is done, unless the person specifically wants it left open.</w:t>
      </w:r>
      <w:bookmarkEnd w:id="2"/>
      <w:bookmarkEnd w:id="5"/>
    </w:p>
    <w:p>
      <w:pPr>
        <w:pStyle w:val="Heading1"/>
        <w:rPr/>
      </w:pPr>
      <w:bookmarkStart w:id="6" w:name="data-sources-at-a-glance"/>
      <w:r>
        <w:rPr/>
        <w:t>Data Sources at a Glance</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Produces</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234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Cost / Quota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SendFuse (app.sendfuse.com)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Property Profile PDF — quick facts, debt stack, ownership, loans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Login required, no public API — browser-driven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Counts against monthly quota per Debt Stack 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Dealio.pro / LeadPipes (app.dealio.pro)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Comps Report PDF, skip-trace lead CSV, AI investment insight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Login required, no public API — browser-driven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Counts against monthly quota per comps report and per skip-trace export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County Assessor Portals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Public record: ownership, tax assessment, legal description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Public, no login — browser-driven (no standard API; varies by county)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w:t>
            </w:r>
          </w:p>
        </w:tc>
      </w:tr>
    </w:tbl>
    <w:p>
      <w:pPr>
        <w:pStyle w:val="BodyText"/>
        <w:rPr/>
      </w:pPr>
      <w:r>
        <w:rPr>
          <w:i/>
          <w:iCs/>
        </w:rPr>
        <w:t>All three are browser-driven, not API calls — there is no documented public API for SendFuse or Dealio.pro as of this writing, and county portals vary too much county-to-county to expect a standard API. This means an actual person must be logged into SendFuse and Dealio.pro in the connected browser before any of this can run — Claude cannot enter passwords or log in on your behalf.</w:t>
      </w:r>
      <w:bookmarkEnd w:id="6"/>
    </w:p>
    <w:p>
      <w:pPr>
        <w:pStyle w:val="Heading1"/>
        <w:rPr/>
      </w:pPr>
      <w:bookmarkStart w:id="7" w:name="sendfuse-property-profile-reports"/>
      <w:r>
        <w:rPr/>
        <w:t>SendFuse — Property Profile Reports</w:t>
      </w:r>
    </w:p>
    <w:p>
      <w:pPr>
        <w:pStyle w:val="FirstParagraph"/>
        <w:rPr/>
      </w:pPr>
      <w:r>
        <w:rPr/>
        <w:t>Confirmed working app is at app.sendfuse.com/dashboard — not the sendfuse.com marketing site, and not sendfusettb.com (the Benutech/Title Toolbox marketing site that SendFuse white-labels). Log in there first.</w:t>
      </w:r>
    </w:p>
    <w:p>
      <w:pPr>
        <w:pStyle w:val="Heading2"/>
        <w:rPr/>
      </w:pPr>
      <w:bookmarkStart w:id="8" w:name="workflow"/>
      <w:r>
        <w:rPr/>
        <w:t>Workflow</w:t>
      </w:r>
    </w:p>
    <w:p>
      <w:pPr>
        <w:pStyle w:val="FirstParagraph"/>
        <w:rPr/>
      </w:pPr>
      <w:r>
        <w:rPr>
          <w:b/>
          <w:bCs/>
        </w:rPr>
        <w:t xml:space="preserve">1. </w:t>
      </w:r>
      <w:r>
        <w:rPr/>
        <w:t>Type the property address into the “Search New Properties” field in the top navigation.</w:t>
      </w:r>
    </w:p>
    <w:p>
      <w:pPr>
        <w:pStyle w:val="BodyText"/>
        <w:rPr/>
      </w:pPr>
      <w:r>
        <w:rPr>
          <w:b/>
          <w:bCs/>
        </w:rPr>
        <w:t xml:space="preserve">2. </w:t>
      </w:r>
      <w:r>
        <w:rPr/>
        <w:t>An autocomplete confirmation popup appears below the field with the geocoded match — click it.</w:t>
      </w:r>
    </w:p>
    <w:p>
      <w:pPr>
        <w:pStyle w:val="BodyText"/>
        <w:rPr/>
      </w:pPr>
      <w:r>
        <w:rPr>
          <w:b/>
          <w:bCs/>
        </w:rPr>
        <w:t xml:space="preserve">3. </w:t>
      </w:r>
      <w:r>
        <w:rPr/>
        <w:t>This opens a “Research Property” confirmation dialog — click Research.</w:t>
      </w:r>
    </w:p>
    <w:p>
      <w:pPr>
        <w:pStyle w:val="BodyText"/>
        <w:rPr/>
      </w:pPr>
      <w:r>
        <w:rPr>
          <w:b/>
          <w:bCs/>
        </w:rPr>
        <w:t xml:space="preserve">4. </w:t>
      </w:r>
      <w:r>
        <w:rPr/>
        <w:t>This creates the property record and populates quick facts (bed/bath/sqft, tax value, owner name, loans, LTV, last sale). This step is lightweight / included, and does not draw against the monthly quota.</w:t>
      </w:r>
    </w:p>
    <w:p>
      <w:pPr>
        <w:pStyle w:val="BodyText"/>
        <w:rPr/>
      </w:pPr>
      <w:r>
        <w:rPr>
          <w:b/>
          <w:bCs/>
        </w:rPr>
        <w:t xml:space="preserve">5. </w:t>
      </w:r>
      <w:r>
        <w:rPr/>
        <w:t>Click the “Debt Stack” button — opens an “Order Debt Stack” confirmation dialog.</w:t>
      </w:r>
    </w:p>
    <w:p>
      <w:pPr>
        <w:pStyle w:val="BodyText"/>
        <w:rPr/>
      </w:pPr>
      <w:r>
        <w:rPr>
          <w:b/>
          <w:bCs/>
        </w:rPr>
        <w:t xml:space="preserve">6. </w:t>
      </w:r>
      <w:r>
        <w:rPr/>
        <w:t>Click Order — this counts against the monthly quota. It generates the full Property Profile PDF.</w:t>
      </w:r>
    </w:p>
    <w:p>
      <w:pPr>
        <w:pStyle w:val="BodyText"/>
        <w:rPr/>
      </w:pPr>
      <w:r>
        <w:rPr>
          <w:b/>
          <w:bCs/>
        </w:rPr>
        <w:t xml:space="preserve">7. </w:t>
      </w:r>
      <w:r>
        <w:rPr/>
        <w:t>The PDF appears under the property’s “Documents” tab as a Download link.</w:t>
      </w:r>
    </w:p>
    <w:p>
      <w:pPr>
        <w:pStyle w:val="BodyText"/>
        <w:rPr/>
      </w:pPr>
      <w:r>
        <w:rPr>
          <w:i/>
          <w:iCs/>
        </w:rPr>
        <w:t>Before clicking Order, confirm the Debt Stack hasn</w:t>
      </w:r>
      <w:r>
        <w:rPr>
          <w:b/>
          <w:bCs/>
          <w:i/>
          <w:iCs/>
        </w:rPr>
        <w:t>’</w:t>
      </w:r>
      <w:r>
        <w:rPr>
          <w:i/>
          <w:iCs/>
        </w:rPr>
        <w:t>t already been run on that address — it will double-charge on a duplicate order. If unsure, check the Documents tab first.</w:t>
      </w:r>
    </w:p>
    <w:p>
      <w:pPr>
        <w:pStyle w:val="BodyText"/>
        <w:rPr/>
      </w:pPr>
      <w:r>
        <w:rPr/>
        <w:t>Known data-quality issue to watch for: SendFuse has mislabeled a prior owner’s old loan as the “CURRENT MORTGAGE RECORD” on at least one report, and has shown a lender name (e.g. “Freedom Mortgage Corporation”) in the owner-occupant field rather than an actual person’s name. Always cross-check ownership and current-loan claims against the county assessor record before relying on them.</w:t>
      </w:r>
      <w:bookmarkEnd w:id="7"/>
      <w:bookmarkEnd w:id="8"/>
    </w:p>
    <w:p>
      <w:pPr>
        <w:pStyle w:val="Heading1"/>
        <w:rPr/>
      </w:pPr>
      <w:bookmarkStart w:id="9" w:name="dealio.pro-leadpipes-comps-skip-trace"/>
      <w:r>
        <w:rPr/>
        <w:t>Dealio.pro / LeadPipes — Comps &amp; Skip-Trace</w:t>
      </w:r>
    </w:p>
    <w:p>
      <w:pPr>
        <w:pStyle w:val="FirstParagraph"/>
        <w:rPr/>
      </w:pPr>
      <w:r>
        <w:rPr/>
        <w:t>Dealio.pro’s Comps Report and the skip-trace CSV are two export functions of the same underlying platform — the CSV filenames are prefixed “lpp-export-”, i.e. LeadPipes, confirming Dealio.pro now runs on the Leadpipes Ai Suite. One login covers both exports.</w:t>
      </w:r>
    </w:p>
    <w:p>
      <w:pPr>
        <w:pStyle w:val="Heading2"/>
        <w:rPr/>
      </w:pPr>
      <w:bookmarkStart w:id="10" w:name="critical-technical-note-before-starting"/>
      <w:r>
        <w:rPr/>
        <w:t>Critical technical note before starting</w:t>
      </w:r>
    </w:p>
    <w:p>
      <w:pPr>
        <w:pStyle w:val="FirstParagraph"/>
        <w:rPr/>
      </w:pPr>
      <w:r>
        <w:rPr>
          <w:i/>
          <w:iCs/>
        </w:rPr>
        <w:t>Dealio.pro</w:t>
      </w:r>
      <w:r>
        <w:rPr>
          <w:b/>
          <w:bCs/>
          <w:i/>
          <w:iCs/>
        </w:rPr>
        <w:t>’</w:t>
      </w:r>
      <w:r>
        <w:rPr>
          <w:i/>
          <w:iCs/>
        </w:rPr>
        <w:t>s address/search input fields are React-controlled and do NOT respond to normal typing or a plain .value assignment. Use the native input setter + dispatch trick below, or the field will silently fail to register the address.</w:t>
      </w:r>
    </w:p>
    <w:p>
      <w:pPr>
        <w:pStyle w:val="BodyText"/>
        <w:rPr/>
      </w:pPr>
      <w:r>
        <w:rPr/>
        <w:t>Object.getOwnPropertyDescriptor(window.HTMLInputElement.prototype,‘value’).set.call(el,text); el.dispatchEvent(new Event(‘input’,{bubbles:true}));</w:t>
      </w:r>
    </w:p>
    <w:p>
      <w:pPr>
        <w:pStyle w:val="BodyText"/>
        <w:rPr/>
      </w:pPr>
      <w:r>
        <w:rPr/>
        <w:t>After setting the value this way, the autocomplete dropdown appears and can be selected by clicking the suggestion or via Down+Enter.</w:t>
      </w:r>
      <w:bookmarkEnd w:id="10"/>
    </w:p>
    <w:p>
      <w:pPr>
        <w:pStyle w:val="Heading2"/>
        <w:rPr/>
      </w:pPr>
      <w:bookmarkStart w:id="11" w:name="workflow-1"/>
      <w:r>
        <w:rPr/>
        <w:t>Workflow</w:t>
      </w:r>
    </w:p>
    <w:p>
      <w:pPr>
        <w:pStyle w:val="FirstParagraph"/>
        <w:rPr/>
      </w:pPr>
      <w:r>
        <w:rPr>
          <w:b/>
          <w:bCs/>
        </w:rPr>
        <w:t xml:space="preserve">1. </w:t>
      </w:r>
      <w:r>
        <w:rPr/>
        <w:t>Go to app.dealio.pro/Marketing/Leads/Index/Property — the “Property Leads” page specifically. Do NOT use the dashboard’s AI-chat search box, which looks similar but is a different feature.</w:t>
      </w:r>
    </w:p>
    <w:p>
      <w:pPr>
        <w:pStyle w:val="BodyText"/>
        <w:rPr/>
      </w:pPr>
      <w:r>
        <w:rPr>
          <w:b/>
          <w:bCs/>
        </w:rPr>
        <w:t xml:space="preserve">2. </w:t>
      </w:r>
      <w:r>
        <w:rPr/>
        <w:t>Set the address in the “Where would you like to invest?” field using the JS trick above, select the autocomplete suggestion, click “See Results.”</w:t>
      </w:r>
    </w:p>
    <w:p>
      <w:pPr>
        <w:pStyle w:val="BodyText"/>
        <w:rPr/>
      </w:pPr>
      <w:r>
        <w:rPr>
          <w:b/>
          <w:bCs/>
        </w:rPr>
        <w:t xml:space="preserve">3. </w:t>
      </w:r>
      <w:r>
        <w:rPr/>
        <w:t>Click the address result — a small popup appears with options: Target Match Ai / Buyer Match Ai / Comps / Go. Click “Comps” to jump straight to the comps page, or click the result itself to land on the property details page.</w:t>
      </w:r>
    </w:p>
    <w:p>
      <w:pPr>
        <w:pStyle w:val="BodyText"/>
        <w:rPr/>
      </w:pPr>
      <w:r>
        <w:rPr>
          <w:b/>
          <w:bCs/>
        </w:rPr>
        <w:t xml:space="preserve">4. </w:t>
      </w:r>
      <w:r>
        <w:rPr/>
        <w:t>On the Comps page: click “Select All” (top toolbar — distinct from the sidebar’s unrelated “Select All” for lead-type filters), then click “Download Report.” This counts against the monthly quota — generates a PDF of all comps (took ~5-10 seconds for 91 comps in testing).</w:t>
      </w:r>
    </w:p>
    <w:p>
      <w:pPr>
        <w:pStyle w:val="BodyText"/>
        <w:rPr/>
      </w:pPr>
      <w:r>
        <w:rPr>
          <w:b/>
          <w:bCs/>
        </w:rPr>
        <w:t xml:space="preserve">5. </w:t>
      </w:r>
      <w:r>
        <w:rPr/>
        <w:t>Back on the property details page: click “Add to My Leads,” then click “My Leads” in the top nav.</w:t>
      </w:r>
    </w:p>
    <w:p>
      <w:pPr>
        <w:pStyle w:val="BodyText"/>
        <w:rPr/>
      </w:pPr>
      <w:r>
        <w:rPr>
          <w:b/>
          <w:bCs/>
        </w:rPr>
        <w:t xml:space="preserve">6. </w:t>
      </w:r>
      <w:r>
        <w:rPr/>
        <w:t>IMPORTANT — before downloading, check that the “My Leads” counter reads zero (i.e. no stale leads sitting in the queue from a prior run). If it doesn’t, click in and “Reset” first.</w:t>
      </w:r>
    </w:p>
    <w:p>
      <w:pPr>
        <w:pStyle w:val="BodyText"/>
        <w:rPr/>
      </w:pPr>
      <w:r>
        <w:rPr>
          <w:b/>
          <w:bCs/>
        </w:rPr>
        <w:t xml:space="preserve">7. </w:t>
      </w:r>
      <w:r>
        <w:rPr/>
        <w:t>Click “Download CSV” — opens an export dialog. Select “standard” (not “social”).</w:t>
      </w:r>
    </w:p>
    <w:p>
      <w:pPr>
        <w:pStyle w:val="BodyText"/>
        <w:rPr/>
      </w:pPr>
      <w:r>
        <w:rPr>
          <w:b/>
          <w:bCs/>
        </w:rPr>
        <w:t xml:space="preserve">8. </w:t>
      </w:r>
      <w:r>
        <w:rPr/>
        <w:t>The dialog expands to show 10 category checkboxes (Overview, Lead Trace - Owner Contact Info [preselected], Property Details, Valuations, Loans, Transactions, MLS Data, Lead Types, Ai Scores, Pre-Foreclosures). Check all 10.</w:t>
      </w:r>
    </w:p>
    <w:p>
      <w:pPr>
        <w:pStyle w:val="BodyText"/>
        <w:rPr/>
      </w:pPr>
      <w:r>
        <w:rPr>
          <w:b/>
          <w:bCs/>
        </w:rPr>
        <w:t xml:space="preserve">9. </w:t>
      </w:r>
      <w:r>
        <w:rPr/>
        <w:t>Click “Export 1 Lead” (or “Export Leads”) — this counts against the monthly quota (skip-trace step). Let it save to Google Drive.</w:t>
      </w:r>
    </w:p>
    <w:p>
      <w:pPr>
        <w:pStyle w:val="BodyText"/>
        <w:rPr/>
      </w:pPr>
      <w:r>
        <w:rPr>
          <w:b/>
          <w:bCs/>
        </w:rPr>
        <w:t xml:space="preserve">10. </w:t>
      </w:r>
      <w:r>
        <w:rPr/>
        <w:t>Click the upper-right X to return to the details page. The details page will show the county/parish name — needed for the next step (county assessor lookup).</w:t>
      </w:r>
    </w:p>
    <w:p>
      <w:pPr>
        <w:pStyle w:val="BodyText"/>
        <w:rPr/>
      </w:pPr>
      <w:r>
        <w:rPr>
          <w:b/>
          <w:bCs/>
        </w:rPr>
        <w:t xml:space="preserve">11. </w:t>
      </w:r>
      <w:r>
        <w:rPr/>
        <w:t>Optional: on the Overview tab, scroll to “Dealio Pro Ai’s Investment Insight” box and click “Analyze Property” (the auto_awesome icon — may also need the JS click trick if a normal click doesn’t register). Produces a short AI buy/hold verdict with 4 bullet points in ~5-10 seconds. This is informational only, third-party output — always disclose it as such if it’s included in a client-facing brief.</w:t>
      </w:r>
      <w:bookmarkEnd w:id="9"/>
      <w:bookmarkEnd w:id="11"/>
    </w:p>
    <w:p>
      <w:pPr>
        <w:pStyle w:val="Heading2"/>
        <w:rPr/>
      </w:pPr>
      <w:r>
        <w:rPr/>
        <w:t>STANDING RULE: Comps Evidence Must Be Captured Live — Dealio.pro Does Not Retain It</w:t>
      </w:r>
    </w:p>
    <w:p>
      <w:pPr>
        <w:pStyle w:val="FirstParagraph"/>
        <w:rPr/>
      </w:pPr>
      <w:r>
        <w:rPr>
          <w:i/>
          <w:iCs/>
        </w:rPr>
        <w:t xml:space="preserve">Confirmed by testing (4134 E 142nd St, August 2026): the “Download Report” PDF from step 4 above is not retrievable from Dealio.pro after the session ends. It does not appear under a property Documents tab, and it does not show up in the account’s CSV Lead Exports history. Whatever isn’t captured during the live session is effectively gone — there is no later export to fall back on.</w:t>
      </w:r>
    </w:p>
    <w:p>
      <w:pPr>
        <w:pStyle w:val="BodyText"/>
        <w:rPr/>
      </w:pPr>
      <w:r>
        <w:rPr>
          <w:b/>
          <w:bCs/>
        </w:rPr>
        <w:t xml:space="preserve">1. Save the downloaded PDF immediately. </w:t>
      </w:r>
      <w:r>
        <w:rPr/>
        <w:t>If “Download Report” fires a browser file download, save it straight into that deal’s Internal Working Files folder before doing anything else in the session — do not assume it can be re-downloaded from Dealio.pro afterward.</w:t>
      </w:r>
    </w:p>
    <w:p>
      <w:pPr>
        <w:pStyle w:val="BodyText"/>
        <w:rPr/>
      </w:pPr>
      <w:r>
        <w:rPr>
          <w:b/>
          <w:bCs/>
        </w:rPr>
        <w:t xml:space="preserve">2. Log the Comp Validation Log live, comp by comp. </w:t>
      </w:r>
      <w:r>
        <w:rPr/>
        <w:t>As each comp is evaluated (Confirmed Genuine, Moderate Confidence, Excluded, or Reclassified), write that row into the Internal Working Files workbook’s Comp Validation Log tab in the same sitting — address, both sale prices and dates, buyer type, financing type, listing language signal, and tier assigned. This live log is the durable record of how ARV was reached, not the PDF alone.</w:t>
      </w:r>
    </w:p>
    <w:p>
      <w:pPr>
        <w:pStyle w:val="BodyText"/>
        <w:rPr/>
      </w:pPr>
      <w:r>
        <w:rPr>
          <w:b/>
          <w:bCs/>
        </w:rPr>
        <w:t xml:space="preserve">3. Produce a client-facing Comps Support Document. </w:t>
      </w:r>
      <w:r>
        <w:rPr/>
        <w:t>In addition to the internal log, build a client-facing summary of the confirmed and moderate-confidence comps (address, sale pair, $/sqft, brief basis for the tier assigned) as evidentiary backup for the ARV figure in the report. This is a Client Deliverable (Bucket 2) — it ships with the report, not just the Internal Working Files.</w:t>
      </w:r>
    </w:p>
    <w:p>
      <w:pPr>
        <w:pStyle w:val="Heading1"/>
        <w:rPr/>
      </w:pPr>
      <w:bookmarkStart w:id="12" w:name="X65475e6b835b6db03bb3c631893641fc1166cab"/>
      <w:r>
        <w:rPr/>
        <w:t>County Assessor Portals — Public Record Verification</w:t>
      </w:r>
    </w:p>
    <w:p>
      <w:pPr>
        <w:pStyle w:val="FirstParagraph"/>
        <w:rPr/>
      </w:pPr>
      <w:r>
        <w:rPr/>
        <w:t>Public sites, no login needed — but every county runs its own system with no standard format, so this gets built incrementally per-county rather than as one generic solution. Three are mapped and tested so far.</w:t>
      </w:r>
    </w:p>
    <w:p>
      <w:pPr>
        <w:pStyle w:val="Heading2"/>
        <w:rPr/>
      </w:pPr>
      <w:bookmarkStart w:id="13" w:name="X6dfaad6470d7d3b85bf7fe389d2d0b5292ac4c6"/>
      <w:r>
        <w:rPr/>
        <w:t>MANDATORY FIRST STEP — Disambiguate the County by State and FIPS Code</w:t>
      </w:r>
    </w:p>
    <w:p>
      <w:pPr>
        <w:pStyle w:val="FirstParagraph"/>
        <w:rPr/>
      </w:pPr>
      <w:r>
        <w:rPr>
          <w:i/>
          <w:iCs/>
        </w:rPr>
        <w:t xml:space="preserve">County names repeat across states constantly and this WILL cause a wrong-county lookup if skipped. </w:t>
      </w:r>
      <w:r>
        <w:rPr>
          <w:b/>
          <w:bCs/>
          <w:i/>
          <w:iCs/>
        </w:rPr>
        <w:t>“Humboldt County”</w:t>
      </w:r>
      <w:r>
        <w:rPr>
          <w:i/>
          <w:iCs/>
        </w:rPr>
        <w:t xml:space="preserve"> alone is not a valid identifier — there are three actual counties with that name: California (FIPS 06023), Nevada (FIPS 32013), and Iowa (FIPS 19091). Many other county names repeat across multiple states as well (Washington, Jefferson, Franklin, and Lincoln are especially common). With clients located nationwide, this is not an edge case — treat it as a standing risk on every single new property, not just ones with an obviously ambiguous name.</w:t>
      </w:r>
    </w:p>
    <w:p>
      <w:pPr>
        <w:pStyle w:val="BodyText"/>
        <w:rPr/>
      </w:pPr>
      <w:r>
        <w:rPr/>
        <w:t>The fix: never start a county lookup from a county name by itself. Always start from the client’s full property address, including state and ZIP — that uniquely determines the county. Confirm the state and FIPS code before beginning any live mapping session, and use the FIPS code as the canonical identifier in file names, folder names, and documentation — matching the convention already used for the County Supplements in the Real Estate Wholesaling Operating System (Humboldt = 06023, Sonoma = 06097, Mendocino = 06045). Never label anything with just a bare county name.</w:t>
      </w:r>
      <w:bookmarkEnd w:id="13"/>
    </w:p>
    <w:p>
      <w:pPr>
        <w:pStyle w:val="Heading2"/>
        <w:rPr/>
      </w:pPr>
      <w:bookmarkStart w:id="14" w:name="X26c5885189e78f83bde51364a8a67948bc06bf6"/>
      <w:r>
        <w:rPr/>
        <w:t>Orleans Parish, LA (nolaassessor.com → beacon.schneidercorp.com)</w:t>
      </w:r>
    </w:p>
    <w:p>
      <w:pPr>
        <w:pStyle w:val="FirstParagraph"/>
        <w:rPr/>
      </w:pPr>
      <w:r>
        <w:rPr>
          <w:b/>
          <w:bCs/>
        </w:rPr>
        <w:t xml:space="preserve">1. </w:t>
      </w:r>
      <w:r>
        <w:rPr/>
        <w:t>Accept the terms-of-use disclaimer (“Yes, I accept the above statement”).</w:t>
      </w:r>
    </w:p>
    <w:p>
      <w:pPr>
        <w:pStyle w:val="BodyText"/>
        <w:rPr/>
      </w:pPr>
      <w:r>
        <w:rPr>
          <w:b/>
          <w:bCs/>
        </w:rPr>
        <w:t xml:space="preserve">2. </w:t>
      </w:r>
      <w:r>
        <w:rPr/>
        <w:t>Dismiss any informational popup notices about upcoming county policy changes — these are separate from the terms step and may stack.</w:t>
      </w:r>
    </w:p>
    <w:p>
      <w:pPr>
        <w:pStyle w:val="BodyText"/>
        <w:rPr/>
      </w:pPr>
      <w:r>
        <w:rPr>
          <w:b/>
          <w:bCs/>
        </w:rPr>
        <w:t xml:space="preserve">3. </w:t>
      </w:r>
      <w:r>
        <w:rPr/>
        <w:t>Type the address, then SELECT FROM THE AUTOCOMPLETE DROPDOWN — do not press Enter directly. Typing an address and clicking the generic Search button returns an unfiltered list of roughly 500 results instead of the matching parcel.</w:t>
      </w:r>
      <w:bookmarkEnd w:id="14"/>
    </w:p>
    <w:p>
      <w:pPr>
        <w:pStyle w:val="Heading2"/>
        <w:rPr/>
      </w:pPr>
      <w:bookmarkStart w:id="15" w:name="X3a8357063c3d5eee5b745f9366b8a1d53f757ea"/>
      <w:r>
        <w:rPr/>
        <w:t>St. Tammany Parish, LA (stpao.org → arist.stassessor.org)</w:t>
      </w:r>
    </w:p>
    <w:p>
      <w:pPr>
        <w:pStyle w:val="FirstParagraph"/>
        <w:rPr/>
      </w:pPr>
      <w:r>
        <w:rPr>
          <w:b/>
          <w:bCs/>
        </w:rPr>
        <w:t xml:space="preserve">1. </w:t>
      </w:r>
      <w:r>
        <w:rPr/>
        <w:t>The search tool is embedded inside an iframe at “aristpwa” — navigate directly to https://arist.stassessor.org/aristpwa rather than interacting with the outer stpao.org page.</w:t>
      </w:r>
    </w:p>
    <w:p>
      <w:pPr>
        <w:pStyle w:val="BodyText"/>
        <w:rPr/>
      </w:pPr>
      <w:r>
        <w:rPr>
          <w:b/>
          <w:bCs/>
        </w:rPr>
        <w:t xml:space="preserve">2. </w:t>
      </w:r>
      <w:r>
        <w:rPr/>
        <w:t>The address input is React-controlled, same issue as Dealio.pro — use the native setter + dispatch-event trick (see the Dealio.pro section above) rather than normal typing.</w:t>
      </w:r>
    </w:p>
    <w:p>
      <w:pPr>
        <w:pStyle w:val="BodyText"/>
        <w:rPr/>
      </w:pPr>
      <w:r>
        <w:rPr>
          <w:b/>
          <w:bCs/>
        </w:rPr>
        <w:t xml:space="preserve">3. </w:t>
      </w:r>
      <w:r>
        <w:rPr/>
        <w:t>Once an assessment number is known, the direct URL pattern /AristPWA/TaxRoll/{year}/{assessment_number} bypasses the search form entirely — useful for repeat lookups on a property already identified.</w:t>
      </w:r>
      <w:bookmarkEnd w:id="15"/>
    </w:p>
    <w:p>
      <w:pPr>
        <w:pStyle w:val="Heading2"/>
        <w:rPr/>
      </w:pPr>
      <w:bookmarkStart w:id="16" w:name="Xcd12d71d794af07753d437e71b58325abd7210d"/>
      <w:r>
        <w:rPr/>
        <w:t>Humboldt County, CA — FIPS 06023 (humboldtgov.org → common1.mptsweb.com)</w:t>
      </w:r>
    </w:p>
    <w:p>
      <w:pPr>
        <w:pStyle w:val="FirstParagraph"/>
        <w:rPr/>
      </w:pPr>
      <w:r>
        <w:rPr>
          <w:i/>
          <w:iCs/>
        </w:rPr>
        <w:t>Confirm FIPS 06023 (California) before starting — do not confuse with Humboldt County, NV (FIPS 32013) or Humboldt County, IA (FIPS 19091). See the mandatory disambiguation step above.</w:t>
      </w:r>
    </w:p>
    <w:p>
      <w:pPr>
        <w:pStyle w:val="BodyText"/>
        <w:rPr/>
      </w:pPr>
      <w:r>
        <w:rPr>
          <w:b/>
          <w:bCs/>
        </w:rPr>
        <w:t xml:space="preserve">1. </w:t>
      </w:r>
      <w:r>
        <w:rPr/>
        <w:t>Start at humboldtgov.org/230/Property-Assessment-Inquiry, click through to the /231/Online-Search page, then click “Search Now” — this lands on the actual tool at common1.mptsweb.com/mbap/humboldt/asr. The instructions page and the search tool are on two different domains; each may need its own one-time browser permission approval, and a fresh tab may need to re-request it even after a domain was already approved earlier in the same session.</w:t>
      </w:r>
    </w:p>
    <w:p>
      <w:pPr>
        <w:pStyle w:val="BodyText"/>
        <w:rPr/>
      </w:pPr>
      <w:r>
        <w:rPr>
          <w:b/>
          <w:bCs/>
        </w:rPr>
        <w:t xml:space="preserve">2. </w:t>
      </w:r>
      <w:r>
        <w:rPr/>
        <w:t>One-time interstitial: a cookie consent banner blocks the page on first visit. Click “Accept &amp; Continue” before anything else will work. It does not reappear on a returning visit within the same browser session.</w:t>
      </w:r>
    </w:p>
    <w:p>
      <w:pPr>
        <w:pStyle w:val="BodyText"/>
        <w:rPr/>
      </w:pPr>
      <w:r>
        <w:rPr>
          <w:b/>
          <w:bCs/>
        </w:rPr>
        <w:t xml:space="preserve">3. </w:t>
      </w:r>
      <w:r>
        <w:rPr/>
        <w:t>PLATFORM-WIDE RULE: this site’s interactive elements (the search-type dropdown, the Search button, and the Roll Values tab, confirmed across two separate test sessions) do not reliably respond to a simulated mouse click OR simulated keyboard selection — both were tried and both failed intermittently. The reliable fix is to bypass simulated interaction entirely and drive the element directly via JavaScript: for the dropdown, set .value and dispatch a ‘change’ event; for buttons and tabs, call .click() directly on the element. Always verify state changed via a direct DOM check afterward — don’t trust a screenshot or the visual appearance alone.</w:t>
      </w:r>
    </w:p>
    <w:p>
      <w:pPr>
        <w:pStyle w:val="BodyText"/>
        <w:rPr/>
      </w:pPr>
      <w:r>
        <w:rPr>
          <w:b/>
          <w:bCs/>
        </w:rPr>
        <w:t xml:space="preserve">4. </w:t>
      </w:r>
      <w:r>
        <w:rPr/>
        <w:t>Once a search fires, the results can take a couple of seconds to load — the page shows “Searching…” with the PRIOR search’s stale results still visible underneath. Wait and re-check rather than assuming the search failed if results look unchanged immediately after clicking Search.</w:t>
      </w:r>
    </w:p>
    <w:p>
      <w:pPr>
        <w:pStyle w:val="BodyText"/>
        <w:rPr/>
      </w:pPr>
      <w:r>
        <w:rPr>
          <w:b/>
          <w:bCs/>
        </w:rPr>
        <w:t xml:space="preserve">5. </w:t>
      </w:r>
      <w:r>
        <w:rPr/>
        <w:t>A “no matching records found” result is a legitimate, valid outcome, not necessarily a broken search — confirmed working correctly by searching a bare street name (e.g. just “Berta”) and getting back the full list of actual parcels on that street. If a specific house number returns no match, sanity-check by searching the street name alone to confirm the tool is functioning and see what house numbers actually exist nearby before assuming a technical failure.</w:t>
      </w:r>
    </w:p>
    <w:p>
      <w:pPr>
        <w:pStyle w:val="BodyText"/>
        <w:rPr/>
      </w:pPr>
      <w:r>
        <w:rPr>
          <w:b/>
          <w:bCs/>
        </w:rPr>
        <w:t xml:space="preserve">6. </w:t>
      </w:r>
      <w:r>
        <w:rPr/>
        <w:t>Direct-URL shortcut for repeat lookups once a fee parcel number is known: common1.mptsweb.com/mbap/humboldt/Asr/AsrMain/{fee_parcel_no_dashes}</w:t>
      </w:r>
    </w:p>
    <w:p>
      <w:pPr>
        <w:pStyle w:val="BodyText"/>
        <w:rPr/>
      </w:pPr>
      <w:r>
        <w:rPr>
          <w:b/>
          <w:bCs/>
        </w:rPr>
        <w:t xml:space="preserve">7. </w:t>
      </w:r>
      <w:r>
        <w:rPr/>
        <w:t>Data available: Property Information tab (APN, current document number/date, situs address, property type, lot size, legal description, assessment status) and Roll Values tab (land value, structural improvements, total land &amp; improvements, exemptions, net assessed value).</w:t>
      </w:r>
    </w:p>
    <w:p>
      <w:pPr>
        <w:pStyle w:val="BodyText"/>
        <w:rPr/>
      </w:pPr>
      <w:r>
        <w:rPr>
          <w:b/>
          <w:bCs/>
        </w:rPr>
        <w:t xml:space="preserve">8. </w:t>
      </w:r>
      <w:r>
        <w:rPr/>
        <w:t>Confirmed working on a residential street (Berta Rd, Eureka) as well as the commercial parcel mapped first — the search mechanics are the same for both property types.</w:t>
      </w:r>
    </w:p>
    <w:p>
      <w:pPr>
        <w:pStyle w:val="BodyText"/>
        <w:rPr/>
      </w:pPr>
      <w:r>
        <w:rPr>
          <w:i/>
          <w:iCs/>
        </w:rPr>
        <w:t>KEY FINDING — a street-address search can legitimately fail even when the parcel exists and is active, if the county</w:t>
      </w:r>
      <w:r>
        <w:rPr>
          <w:b/>
          <w:bCs/>
          <w:i/>
          <w:iCs/>
        </w:rPr>
        <w:t>‘s own SitusAddr field is blank for that parcel. Confirmed case: 7382 Berta Rd, Eureka (APN 304-061-095-000) did not appear in any street-name search of Berta Rd — not a tool bug. Looked the parcel up directly via the direct-URL shortcut (parcel number sourced from the property’</w:t>
      </w:r>
      <w:r>
        <w:rPr>
          <w:i/>
          <w:iCs/>
        </w:rPr>
        <w:t>s Zillow listing) and found the record IS active in the county system, but its SitusAddr field is completely empty. The parcel</w:t>
      </w:r>
      <w:r>
        <w:rPr>
          <w:b/>
          <w:bCs/>
          <w:i/>
          <w:iCs/>
        </w:rPr>
        <w:t>’</w:t>
      </w:r>
      <w:r>
        <w:rPr>
          <w:i/>
          <w:iCs/>
        </w:rPr>
        <w:t>s legal description shows it was created from a boundary/lot-split deed (</w:t>
      </w:r>
      <w:r>
        <w:rPr>
          <w:b/>
          <w:bCs/>
          <w:i/>
          <w:iCs/>
        </w:rPr>
        <w:t>“</w:t>
      </w:r>
      <w:r>
        <w:rPr>
          <w:i/>
          <w:iCs/>
        </w:rPr>
        <w:t xml:space="preserve">RS/BOUNDARY DEED FROM 030 W/ -096 </w:t>
      </w:r>
      <w:r>
        <w:rPr>
          <w:b/>
          <w:bCs/>
          <w:i/>
          <w:iCs/>
        </w:rPr>
        <w:t>&amp;</w:t>
      </w:r>
      <w:r>
        <w:rPr>
          <w:i/>
          <w:iCs/>
        </w:rPr>
        <w:t xml:space="preserve"> -097</w:t>
      </w:r>
      <w:r>
        <w:rPr>
          <w:b/>
          <w:bCs/>
          <w:i/>
          <w:iCs/>
        </w:rPr>
        <w:t>“</w:t>
      </w:r>
      <w:r>
        <w:rPr>
          <w:i/>
          <w:iCs/>
        </w:rPr>
        <w:t>), which is a common reason an address never gets back-filled into a county database after a subdivision. TAKEAWAY: if a street-address search comes up empty for a property you have independent reason to believe exists, don</w:t>
      </w:r>
      <w:r>
        <w:rPr>
          <w:b/>
          <w:bCs/>
          <w:i/>
          <w:iCs/>
        </w:rPr>
        <w:t>’</w:t>
      </w:r>
      <w:r>
        <w:rPr>
          <w:i/>
          <w:iCs/>
        </w:rPr>
        <w:t>t stop there — get the parcel number from a third-party source (Zillow, MLS, a tax bill) and search or navigate to that directly. A blank result from an address search is not proof the county has no record.</w:t>
      </w:r>
      <w:bookmarkEnd w:id="12"/>
      <w:bookmarkEnd w:id="16"/>
    </w:p>
    <w:p>
      <w:pPr>
        <w:pStyle w:val="Heading1"/>
        <w:rPr/>
      </w:pPr>
      <w:bookmarkStart w:id="17" w:name="X593da057bab4c78c61df4e97caad619f2255769"/>
      <w:r>
        <w:rPr/>
        <w:t>Address Verification &amp; Standardization — Zillow and Google as Cross-Reference Tools</w:t>
      </w:r>
    </w:p>
    <w:p>
      <w:pPr>
        <w:pStyle w:val="FirstParagraph"/>
        <w:rPr/>
      </w:pPr>
      <w:r>
        <w:rPr/>
        <w:t>Two general-purpose tools sit outside any single county’s system and are useful across every county, not just Humboldt — worth using proactively, not only as a last resort when a county search fails.</w:t>
      </w:r>
    </w:p>
    <w:p>
      <w:pPr>
        <w:pStyle w:val="BodyText"/>
        <w:rPr/>
      </w:pPr>
      <w:r>
        <w:rPr>
          <w:b/>
          <w:bCs/>
        </w:rPr>
        <w:t xml:space="preserve">Zillow — parcel number lookup and independent existence check. </w:t>
      </w:r>
      <w:r>
        <w:rPr/>
        <w:t>If a client-provided address doesn’t turn up in a county’s search tool, search that exact address on Zillow first before concluding the county has no record. Zillow listings (active or historical) reliably surface the parcel number under Facts &amp; Features, which can then be searched or navigated to directly in the county system via Fee Parcel mode or a direct-URL pattern, bypassing the county’s own (sometimes incomplete) address index entirely. This is exactly how 7382 Berta Rd, Eureka got resolved.</w:t>
      </w:r>
    </w:p>
    <w:p>
      <w:pPr>
        <w:pStyle w:val="BodyText"/>
        <w:rPr/>
      </w:pPr>
      <w:r>
        <w:rPr>
          <w:b/>
          <w:bCs/>
        </w:rPr>
        <w:t xml:space="preserve">Google (Maps / Geocoding API) — address standardization and county disambiguation. </w:t>
      </w:r>
      <w:r>
        <w:rPr/>
        <w:t>Two separate uses worth building into the process: (1) Google’s geocoding will standardize an inconsistently formatted client-provided address (abbreviations, missing directionals, etc.) into the canonical form a county site expects — several counties’ search tools are picky about exactly this (see the Humboldt and St. Tammany notes on abbreviations above). (2) A geocoding result’s address components include the county (“administrative_area_level_2” in Google’s API) directly — this is a clean, structured way to satisfy the mandatory FIPS disambiguation step above, rather than inferring the county by hand from a city or ZIP code.</w:t>
      </w:r>
    </w:p>
    <w:p>
      <w:pPr>
        <w:pStyle w:val="BodyText"/>
        <w:rPr/>
      </w:pPr>
      <w:r>
        <w:rPr>
          <w:i/>
          <w:iCs/>
        </w:rPr>
        <w:t>Recommended standing order for any new property: geocode the client-provided address via Google first (standardizes it and confirms the county unambiguously) — then attempt the county assessor search — then, if that comes up empty, fall back to a Zillow search for the parcel number before concluding the county has no record.</w:t>
      </w:r>
    </w:p>
    <w:p>
      <w:pPr>
        <w:pStyle w:val="BodyText"/>
        <w:rPr/>
      </w:pPr>
      <w:r>
        <w:rPr/>
        <w:t>Two ways to use Google here, depending on the situation: for a one-off manual check, simply search the address on Google Maps directly (no setup required) and read the county off the result. For anything meant to run repeatedly or be built into reconcile.py’s automated pipeline, use the Geocoding API — a plain REST/HTTP web service — not the Maps JavaScript API’s Geocoder class, which is a browser-based library meant for rendering an interactive map and doesn’t fit a backend script with no browser involved.</w:t>
      </w:r>
    </w:p>
    <w:p>
      <w:pPr>
        <w:pStyle w:val="Heading2"/>
        <w:rPr/>
      </w:pPr>
      <w:bookmarkStart w:id="18" w:name="X98842df607f2ab8d1592d83e92812823027e98d"/>
      <w:r>
        <w:rPr/>
        <w:t>Geocoding API — Setup Notes (verified current as of this writing)</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Item</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tier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 requests/month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Paid rate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$5.00/1,000 (10,001-100K/mo), volume discounts beyond: $4.00 (100K-500K), $3.00 (500K-1M), $1.50 (1M-5M)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Billing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card required on the Google Cloud project even to use the free tier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restriction (current)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(Application restrictions) + restricted to Geocoding API only (API restrictions) — chosen because the pipeline runs from Harold’s local machine, which has no static IP to restrict to. Financial exposure if the key leaked is low at this usage volume, and it’s scoped to one API only.</w:t>
            </w:r>
          </w:p>
        </w:tc>
      </w:tr>
    </w:tbl>
    <w:p>
      <w:pPr>
        <w:pStyle w:val="BodyText"/>
        <w:rPr/>
      </w:pPr>
      <w:r>
        <w:rPr>
          <w:i/>
          <w:iCs/>
        </w:rPr>
        <w:t xml:space="preserve">Google replaced its old flat $200/month credit model with the per-product free-tier structure above in March 2025 — any guidance still describing a </w:t>
      </w:r>
      <w:r>
        <w:rPr>
          <w:b/>
          <w:bCs/>
          <w:i/>
          <w:iCs/>
        </w:rPr>
        <w:t>“$200 monthly credit”</w:t>
      </w:r>
      <w:r>
        <w:rPr>
          <w:i/>
          <w:iCs/>
        </w:rPr>
        <w:t xml:space="preserve"> is describing the retired pricing model. At Newtree</w:t>
      </w:r>
      <w:r>
        <w:rPr>
          <w:b/>
          <w:bCs/>
          <w:i/>
          <w:iCs/>
        </w:rPr>
        <w:t>’</w:t>
      </w:r>
      <w:r>
        <w:rPr>
          <w:i/>
          <w:iCs/>
        </w:rPr>
        <w:t>s realistic per-deal address volume, usage should stay well inside the free 10,000/month tier for the foreseeable future — same low-cost category as the Census ACS/BLS API keys already scoped for the deferred demographics/economics module — this is not expected to be a real cost driver.</w:t>
      </w:r>
      <w:bookmarkEnd w:id="18"/>
    </w:p>
    <w:p>
      <w:pPr>
        <w:pStyle w:val="Heading2"/>
        <w:rPr/>
      </w:pPr>
      <w:bookmarkStart w:id="19" w:name="X6db08327d16f0b60ae60463c232a2b87dc32f56"/>
      <w:r>
        <w:rPr/>
        <w:t>Future — Migrating to the Shared Hosting Server</w:t>
      </w:r>
    </w:p>
    <w:p>
      <w:pPr>
        <w:pStyle w:val="FirstParagraph"/>
        <w:rPr/>
      </w:pPr>
      <w:r>
        <w:rPr/>
        <w:t>Newtree has a shared hosting plan earmarked for this pipeline as it grows beyond running locally. Two things to confirm before treating that as the eventual home for reconcile.py, not after:</w:t>
      </w:r>
    </w:p>
    <w:p>
      <w:pPr>
        <w:pStyle w:val="BodyText"/>
        <w:rPr/>
      </w:pPr>
      <w:r>
        <w:rPr>
          <w:b/>
          <w:bCs/>
        </w:rPr>
        <w:t xml:space="preserve">1. Runtime support. </w:t>
      </w:r>
      <w:r>
        <w:rPr/>
        <w:t>Shared hosting plans, especially budget cPanel-style hosts, are often built around PHP/MySQL and don’t always support running Python or Node.js scripts, cron jobs, or persistent background processes — all of which reconcile.py needs. Confirm with the host what the specific plan actually supports before counting on it; this could be a bigger blocker to the migration than the API key setup ever was.</w:t>
      </w:r>
    </w:p>
    <w:p>
      <w:pPr>
        <w:pStyle w:val="BodyText"/>
        <w:rPr/>
      </w:pPr>
      <w:r>
        <w:rPr>
          <w:b/>
          <w:bCs/>
        </w:rPr>
        <w:t xml:space="preserve">2. IP restriction becomes viable, with one caveat. </w:t>
      </w:r>
      <w:r>
        <w:rPr/>
        <w:t>A hosting server’s outbound IP is normally static (unlike a home ISP connection), which makes option 2 (IP-restrict the key) both possible and worth doing once the pipeline moves there — tighter than the current no-restriction setup. Caveat: on SHARED hosting specifically, other accounts on the same physical server may share that same outbound IP, so the restriction is a reasonable boundary for this use case but not an absolute one. Update the key’s Application restriction to that server’s IP address as part of the migration, rather than leaving it unrestricted indefinitely.</w:t>
      </w:r>
      <w:bookmarkEnd w:id="19"/>
    </w:p>
    <w:p>
      <w:pPr>
        <w:pStyle w:val="Heading2"/>
        <w:rPr/>
      </w:pPr>
      <w:bookmarkStart w:id="20" w:name="adding-a-new-county"/>
      <w:r>
        <w:rPr/>
        <w:t>Adding a new county</w:t>
      </w:r>
    </w:p>
    <w:p>
      <w:pPr>
        <w:pStyle w:val="FirstParagraph"/>
        <w:rPr/>
      </w:pPr>
      <w:r>
        <w:rPr/>
        <w:t>Start with whichever counties come up most often — for Newtree that’s currently Orleans and St. Tammany (LA) on the lending side, and Humboldt, Sonoma, and Mendocino (CA) on the wholesaling side. Each new county needs its own first-pass mapping session: confirm state and FIPS code first (see above), find the live search tool, identify whether inputs are React-controlled (test with plain typing first — if the value doesn’t visibly register, it’s React-controlled and needs the native-setter trick), and note any confirmation dialogs, iframes, or direct-URL patterns the same way the two counties above were documented.</w:t>
      </w:r>
      <w:bookmarkEnd w:id="17"/>
      <w:bookmarkEnd w:id="20"/>
    </w:p>
    <w:p>
      <w:pPr>
        <w:pStyle w:val="Heading1"/>
        <w:rPr/>
      </w:pPr>
      <w:bookmarkStart w:id="21" w:name="data-reconciliation-trust-hierarchy"/>
      <w:r>
        <w:rPr/>
        <w:t>Data Reconciliation — Trust Hierarchy</w:t>
      </w:r>
    </w:p>
    <w:p>
      <w:pPr>
        <w:pStyle w:val="FirstParagraph"/>
        <w:rPr/>
      </w:pPr>
      <w:r>
        <w:rPr/>
        <w:t>Once SendFuse, Dealio.pro, and the county assessor record are all pulled for a property, the reconciliation pipeline (reconcile.py) resolves conflicts between them using this priority order, highest to lowest:</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(highest)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County assessor public record override (manually verified)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MLS listing data (from the skip-trace CSV’s embedded listing fields)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Comps Report + skip-trace CSV pairing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(lowest)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SendFuse Property Profile</w:t>
            </w:r>
          </w:p>
        </w:tc>
      </w:tr>
    </w:tbl>
    <w:p>
      <w:pPr>
        <w:pStyle w:val="BodyText"/>
        <w:rPr/>
      </w:pPr>
      <w:r>
        <w:rPr/>
        <w:t>Flag types the pipeline currently checks for: bed/bath/sqft/year-built conflicts across sources, building-area-vs-living-area divergence, mortgage/name mismatches, SendFuse’s “current mortgage record” mislabeling bug (shows a prior owner’s old loan as current), a mortgage showing released in one source but still active in another, cases where MLS listing data should be preferred over topline fields, whether the property is currently live on MLS, and a DNC/litigator compliance screen.</w:t>
      </w:r>
      <w:bookmarkEnd w:id="21"/>
    </w:p>
    <w:p>
      <w:pPr>
        <w:pStyle w:val="Heading1"/>
        <w:rPr/>
      </w:pPr>
      <w:bookmarkStart w:id="22" w:name="X2a3c78f06fb37e3179b56aab6c075ec15afd5cb"/>
      <w:r>
        <w:rPr/>
        <w:t>Automation Architecture — What’s Been Learned</w:t>
      </w:r>
    </w:p>
    <w:p>
      <w:pPr>
        <w:pStyle w:val="FirstParagraph"/>
        <w:rPr/>
      </w:pPr>
      <w:r>
        <w:rPr>
          <w:i/>
          <w:iCs/>
        </w:rPr>
        <w:t>Do not manually retype or paste large file content (e.g. base64-encoded PDFs) through the chat interface as part of an automated pipeline. This has caused silent data corruption in past sessions — it is a failure specific to a model re-typing a multi-thousand-character string, not a property of the underlying reconciliation logic.</w:t>
      </w:r>
    </w:p>
    <w:p>
      <w:pPr>
        <w:pStyle w:val="BodyText"/>
        <w:rPr/>
      </w:pPr>
      <w:r>
        <w:rPr/>
        <w:t>The fix is architectural: files need to move machine-to-machine via API or an automated trigger, never through a manual retype or paste step. The recommended shape, not yet fully built: new report files land in a designated Google Drive subfolder → a Zapier trigger fires → files are pulled programmatically → reconciliation runs → the underwriting brief lands back in Drive next to the source files, with a flags summary as a companion note.</w:t>
      </w:r>
    </w:p>
    <w:p>
      <w:pPr>
        <w:pStyle w:val="BodyText"/>
        <w:rPr/>
      </w:pPr>
      <w:r>
        <w:rPr/>
        <w:t>What generalizes cleanly across new properties without extra work: the parsing logic in reconcile.py (built against SendFuse’s and Dealio.pro’s actual current PDF formats), the trust hierarchy and flag logic, and generate_brief.js’s output generation.</w:t>
      </w:r>
    </w:p>
    <w:p>
      <w:pPr>
        <w:pStyle w:val="BodyText"/>
        <w:rPr/>
      </w:pPr>
      <w:r>
        <w:rPr/>
        <w:t>What does not generalize automatically: the county-assessor verification step still needs a human unless a paid records API is set up for a given county; a vendor changing their PDF template will break the parser for that vendor until it’s updated; and the flag logic is pattern-based — it catches known bug patterns (like SendFuse’s stale-mortgage mislabeling) but won’t catch a genuinely new failure mode until one is observed and a check is built for it.</w:t>
      </w:r>
      <w:bookmarkEnd w:id="22"/>
    </w:p>
    <w:p>
      <w:pPr>
        <w:pStyle w:val="Heading1"/>
        <w:rPr/>
      </w:pPr>
      <w:bookmarkStart w:id="23" w:name="Xe34b09763ac88d5f256c3c74eeaf16362a39925"/>
      <w:r>
        <w:rPr/>
        <w:t>ARV &amp; Comp Validation Methodology — Learned This Session</w:t>
      </w:r>
    </w:p>
    <w:p>
      <w:pPr>
        <w:pStyle w:val="FirstParagraph"/>
        <w:rPr/>
      </w:pPr>
      <w:r>
        <w:rPr/>
        <w:t>Three rules, all discovered live while validating comps for 4134 E 142nd St, Cleveland, OH. Captured immediately per the standing documentation rule above.</w:t>
      </w:r>
    </w:p>
    <w:p>
      <w:pPr>
        <w:pStyle w:val="Heading2"/>
        <w:rPr/>
      </w:pPr>
      <w:bookmarkStart w:id="24" w:name="X6b13c576049dae3847487168473c370093c5479"/>
      <w:r>
        <w:rPr/>
        <w:t>Rule 1 — Don’t trust a “Flipped” tag alone; verify the transaction pair</w:t>
      </w:r>
    </w:p>
    <w:p>
      <w:pPr>
        <w:pStyle w:val="FirstParagraph"/>
        <w:rPr/>
      </w:pPr>
      <w:r>
        <w:rPr/>
        <w:t xml:space="preserve">Dealio Pro’s “Flipped” lead type is a </w:t>
      </w:r>
      <w:r>
        <w:rPr>
          <w:b/>
          <w:bCs/>
        </w:rPr>
        <w:t>property-level</w:t>
      </w:r>
      <w:r>
        <w:rPr/>
        <w:t xml:space="preserve"> history flag (this address was flipped </w:t>
      </w:r>
      <w:r>
        <w:rPr>
          <w:i/>
          <w:iCs/>
        </w:rPr>
        <w:t>at some point</w:t>
      </w:r>
      <w:r>
        <w:rPr/>
        <w:t xml:space="preserve">), not a transaction-level flag on the specific sale shown. A raw average across “Flipped”-tagged comps can silently blend a flipper’s cheap </w:t>
      </w:r>
      <w:r>
        <w:rPr>
          <w:b/>
          <w:bCs/>
        </w:rPr>
        <w:t>acquisition</w:t>
      </w:r>
      <w:r>
        <w:rPr/>
        <w:t xml:space="preserve"> price with their expensive </w:t>
      </w:r>
      <w:r>
        <w:rPr>
          <w:b/>
          <w:bCs/>
        </w:rPr>
        <w:t>resale</w:t>
      </w:r>
      <w:r>
        <w:rPr/>
        <w:t xml:space="preserve"> price, understating true ARV.</w:t>
      </w:r>
    </w:p>
    <w:p>
      <w:pPr>
        <w:pStyle w:val="BodyText"/>
        <w:rPr/>
      </w:pPr>
      <w:r>
        <w:rPr>
          <w:b/>
          <w:bCs/>
        </w:rPr>
        <w:t>The fix:</w:t>
      </w:r>
      <w:r>
        <w:rPr/>
        <w:t xml:space="preserve"> open each comp’s individual Transactions tab and look for two sales of the </w:t>
      </w:r>
      <w:r>
        <w:rPr>
          <w:i/>
          <w:iCs/>
        </w:rPr>
        <w:t>same</w:t>
      </w:r>
      <w:r>
        <w:rPr/>
        <w:t xml:space="preserve"> property with a real price jump between them — that’s the actual evidence of a flip, not the tag. A natural price gap in a sorted list of “Flipped”-tagged comps (e.g. two low outliers, then a cluster) is a signal that the low ones are acquisition legs, not resale legs.</w:t>
      </w:r>
      <w:bookmarkEnd w:id="24"/>
    </w:p>
    <w:p>
      <w:pPr>
        <w:pStyle w:val="Heading2"/>
        <w:rPr/>
      </w:pPr>
      <w:bookmarkStart w:id="25" w:name="X0db8cb1d1072c1b2575e7d151afaee5810a80a3"/>
      <w:r>
        <w:rPr/>
        <w:t>Rule 2 — Assessed value is a deferred-maintenance signal, not an ARV signal</w:t>
      </w:r>
    </w:p>
    <w:p>
      <w:pPr>
        <w:pStyle w:val="FirstParagraph"/>
        <w:rPr/>
      </w:pPr>
      <w:r>
        <w:rPr/>
        <w:t>Recorded tax-assessed value lags real renovation by a wide margin in Cuyahoga County — confirmed on two verified flips, where assessed value sat at roughly 20% of actual post-renovation sale price more than a year after a full, documented renovation. Sale recency is not proof of renovation either: a property can change owners with no work done at all.</w:t>
      </w:r>
    </w:p>
    <w:p>
      <w:pPr>
        <w:pStyle w:val="BodyText"/>
        <w:rPr/>
      </w:pPr>
      <w:r>
        <w:rPr>
          <w:b/>
          <w:bCs/>
        </w:rPr>
        <w:t>The fix:</w:t>
      </w:r>
      <w:r>
        <w:rPr/>
        <w:t xml:space="preserve"> use “years since last documented update” (from a confirmed transaction-pair renovation, an assessed-value jump, or MLS listing history) as a </w:t>
      </w:r>
      <w:r>
        <w:rPr>
          <w:b/>
          <w:bCs/>
        </w:rPr>
        <w:t>rehab-risk / component-age signal</w:t>
      </w:r>
      <w:r>
        <w:rPr/>
        <w:t xml:space="preserve"> — feeding the rehab estimate, not the ARV number. Typical component lifespans: roof 20-25 yrs, HVAC 15-20 yrs, plumbing/electrical often original in pre-1960s stock unless documented otherwise. This is now a formal field (“Deferred Maintenance / Component Age Signal”) on the Quick Screen template’s Rehab Estimate tab.</w:t>
      </w:r>
      <w:bookmarkEnd w:id="25"/>
    </w:p>
    <w:p>
      <w:pPr>
        <w:pStyle w:val="Heading2"/>
        <w:rPr/>
      </w:pPr>
      <w:bookmarkStart w:id="26" w:name="Xff4e20519c7e34c5b00f3ead1a53f2c3af7ecab"/>
      <w:r>
        <w:rPr/>
        <w:t>Rule 3 — A confirmed price jump still needs a buyer-type check</w:t>
      </w:r>
    </w:p>
    <w:p>
      <w:pPr>
        <w:pStyle w:val="FirstParagraph"/>
        <w:rPr/>
      </w:pPr>
      <w:r>
        <w:rPr/>
        <w:t xml:space="preserve">Even a real transaction-pair price jump between two sales of the same property is not automatically an ARV comp. Confirmed case: a property bought for $25,000 and resold five months later for $97,000 turned out to be a </w:t>
      </w:r>
      <w:r>
        <w:rPr>
          <w:b/>
          <w:bCs/>
        </w:rPr>
        <w:t>rental-portfolio acquisition</w:t>
      </w:r>
      <w:r>
        <w:rPr/>
        <w:t xml:space="preserve"> — the buyer was an LLC (a 776-property residential landlord), and the listing description read “fully occupied… generating $1,400 in monthly gross rent… sold as-is with tenant rights.” The price reflected rental income yield, not renovated retail value.</w:t>
      </w:r>
    </w:p>
    <w:p>
      <w:pPr>
        <w:pStyle w:val="BodyText"/>
        <w:rPr/>
      </w:pPr>
      <w:r>
        <w:rPr>
          <w:b/>
          <w:bCs/>
        </w:rPr>
        <w:t>The fix:</w:t>
      </w:r>
      <w:r>
        <w:rPr/>
        <w:t xml:space="preserve"> before counting a transaction-pair jump as a genuine ARV comp, check three things:</w:t>
      </w:r>
    </w:p>
    <w:p>
      <w:pPr>
        <w:pStyle w:val="Compact"/>
        <w:numPr>
          <w:ilvl w:val="0"/>
          <w:numId w:val="1"/>
        </w:numPr>
        <w:rPr/>
      </w:pPr>
      <w:r>
        <w:rPr/>
        <w:t xml:space="preserve">Buyer is an </w:t>
      </w:r>
      <w:r>
        <w:rPr>
          <w:b/>
          <w:bCs/>
        </w:rPr>
        <w:t>individual</w:t>
      </w:r>
      <w:r>
        <w:rPr/>
        <w:t>, not an LLC</w:t>
      </w:r>
    </w:p>
    <w:p>
      <w:pPr>
        <w:pStyle w:val="Compact"/>
        <w:numPr>
          <w:ilvl w:val="0"/>
          <w:numId w:val="1"/>
        </w:numPr>
        <w:rPr/>
      </w:pPr>
      <w:r>
        <w:rPr/>
        <w:t xml:space="preserve">Sale is </w:t>
      </w:r>
      <w:r>
        <w:rPr>
          <w:b/>
          <w:bCs/>
        </w:rPr>
        <w:t>financed</w:t>
      </w:r>
      <w:r>
        <w:rPr/>
        <w:t xml:space="preserve"> (FHA/conventional) — a strong signal of an owner-occupant retail buyer, not a cash investor</w:t>
      </w:r>
    </w:p>
    <w:p>
      <w:pPr>
        <w:pStyle w:val="Compact"/>
        <w:numPr>
          <w:ilvl w:val="0"/>
          <w:numId w:val="1"/>
        </w:numPr>
        <w:rPr/>
      </w:pPr>
      <w:r>
        <w:rPr/>
        <w:t xml:space="preserve">MLS description </w:t>
      </w:r>
      <w:r>
        <w:rPr>
          <w:b/>
          <w:bCs/>
        </w:rPr>
        <w:t>describes renovation work</w:t>
      </w:r>
      <w:r>
        <w:rPr/>
        <w:t>, not rental income or “as-is/tenant rights” language</w:t>
      </w:r>
    </w:p>
    <w:p>
      <w:pPr>
        <w:pStyle w:val="FirstParagraph"/>
        <w:rPr/>
      </w:pPr>
      <w:r>
        <w:rPr/>
        <w:t>A comp bought by an LLC for cash with “as-is” rental language should be excluded from the ARV comp set entirely, regardless of the price jump — but see Rule 4 below before discarding it outright.</w:t>
      </w:r>
      <w:bookmarkEnd w:id="26"/>
    </w:p>
    <w:p>
      <w:pPr>
        <w:pStyle w:val="Heading2"/>
        <w:rPr/>
      </w:pPr>
      <w:bookmarkStart w:id="27" w:name="X913b54d928148e0268566ab39d7f6e263e300f6"/>
      <w:r>
        <w:rPr/>
        <w:t>Rule 4 — A rental-portfolio sale isn’t noise to discard; it’s a third comp class, priced as a commercial transaction</w:t>
      </w:r>
    </w:p>
    <w:p>
      <w:pPr>
        <w:pStyle w:val="FirstParagraph"/>
        <w:rPr/>
      </w:pPr>
      <w:r>
        <w:rPr/>
        <w:t xml:space="preserve">The Boyota LLC → Robbins Properties LLC sale from Rule 3 ($25,000 → $97,000, confirmed real renovation work between the two sales via Before/After photos) isn’t invalid data — it’s a different valuation regime. Even though the structure is a single-family home, a sale to a landlord buyer pricing off rental income is functionally a </w:t>
      </w:r>
      <w:r>
        <w:rPr>
          <w:b/>
          <w:bCs/>
        </w:rPr>
        <w:t>commercial transaction</w:t>
      </w:r>
      <w:r>
        <w:rPr/>
        <w:t xml:space="preserve"> (income/cap-rate approach), not a residential retail comp. It should be tracked separately, not folded into either the distressed comp set or the retail-ARV comp set.</w:t>
      </w:r>
    </w:p>
    <w:p>
      <w:pPr>
        <w:pStyle w:val="BodyText"/>
        <w:rPr/>
      </w:pPr>
      <w:r>
        <w:rPr>
          <w:b/>
          <w:bCs/>
        </w:rPr>
        <w:t>Three comp classes going forward, not two:</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Confirmed example ($/sqft)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Distressed / as-is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Purchase-price benchmark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Renovated-retail (owner-occupant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ARV for a flip-to-retail exit — individual buyer, financed, renovation-described listing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$137-142/sqft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Renovated-turnkey-rental (investor/commercial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 for a flip-to-landlord exit, priced off cap rate/rent yield, not residential comps — LLC buyer, cash, “turnkey/tenant rights” listing language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$99/sqft</w:t>
            </w:r>
          </w:p>
        </w:tc>
      </w:tr>
    </w:tbl>
    <w:p>
      <w:pPr>
        <w:pStyle w:val="BodyText"/>
        <w:rPr/>
      </w:pPr>
      <w:r>
        <w:rPr>
          <w:b/>
          <w:bCs/>
        </w:rPr>
        <w:t>The fix:</w:t>
      </w:r>
      <w:r>
        <w:rPr/>
        <w:t xml:space="preserve"> when a transaction-pair jump fails the Rule 3 buyer-type check (LLC buyer, cash, “as-is/tenant rights” language), don’t discard it — reclassify it as a rental/commercial-exit data point and track it alongside the retail-ARV number. It’s directly useful whenever a flip-to-rental exit is itself on the table as a strategy, not just as an ARV sanity check.</w:t>
      </w:r>
    </w:p>
    <w:p>
      <w:pPr>
        <w:pStyle w:val="BodyText"/>
        <w:rPr/>
      </w:pPr>
      <w:r>
        <w:rPr>
          <w:b/>
          <w:bCs/>
        </w:rPr>
        <w:t>Why the gap is real, not noise:</w:t>
      </w:r>
      <w:r>
        <w:rPr/>
        <w:t xml:space="preserve"> investor-to-investor renovations target a different standard than owner-occupant renovations, even when the work is genuine. A rental-exit reno is built to be rent-ready — durable, low-maintenance, contractor-grade materials (vinyl plank flooring, builder-basic fixtures and cabinetry) — not family-ready: the aesthetic, modern-finish upgrades (“new appliances,” “beautifully renovated,” “modern finishes”) that show up in the retail-ARV comps’ listing language. Confirmed across all three rental-tier comps in this session (4397 E154th, 13316 Edgewood, and the Boyota-to-Robbins sale): none used retail-style marketing language, all emphasized tenant-occupancy or turnkey-rental positioning instead. This is a genuine cost-basis difference, not a data-quality artifact — it means a rental-exit rehab budget and a retail-exit rehab budget for the same property are two different numbers, not the same renovation priced differently by a different buyer.</w:t>
      </w:r>
      <w:bookmarkEnd w:id="27"/>
    </w:p>
    <w:p>
      <w:pPr>
        <w:pStyle w:val="Heading2"/>
        <w:rPr/>
      </w:pPr>
      <w:bookmarkStart w:id="28" w:name="Xb8116aae846872dc3005fa38e113354e1007978"/>
      <w:r>
        <w:rPr/>
        <w:t>Rule 5 — Run an As-Is Market Check before ARV even matters</w:t>
      </w:r>
    </w:p>
    <w:p>
      <w:pPr>
        <w:pStyle w:val="FirstParagraph"/>
        <w:rPr/>
      </w:pPr>
      <w:r>
        <w:rPr/>
        <w:t xml:space="preserve">Every comp tier discussed so far (retail-ARV, rental/commercial-exit) answers “what will this be worth after work is done.” A separate, earlier question needs its own tier: </w:t>
      </w:r>
      <w:r>
        <w:rPr>
          <w:b/>
          <w:bCs/>
        </w:rPr>
        <w:t>is the asking/contract price itself fair for the property in its current, as-is condition</w:t>
      </w:r>
      <w:r>
        <w:rPr/>
        <w:t xml:space="preserve"> — are you paying above or below current market? A strong ARV doesn’t rescue a deal where the acquisition price was already above as-is market.</w:t>
      </w:r>
    </w:p>
    <w:p>
      <w:pPr>
        <w:pStyle w:val="BodyText"/>
        <w:rPr/>
      </w:pPr>
      <w:r>
        <w:rPr>
          <w:b/>
          <w:bCs/>
        </w:rPr>
        <w:t>The fix:</w:t>
      </w:r>
      <w:r>
        <w:rPr/>
        <w:t xml:space="preserve"> pull the non-flipped comps (no “Flipped” tag, no confirmed transaction-pair renovation) from the same comp set already gathered for ARV — no separate pull needed. Compute avg/median $/sqft across that group, apply to subject sqft, and compare directly against the asking/contract price.</w:t>
      </w:r>
    </w:p>
    <w:p>
      <w:pPr>
        <w:pStyle w:val="BodyText"/>
        <w:rPr/>
      </w:pPr>
      <w:r>
        <w:rPr/>
        <w:t xml:space="preserve">Confirmed on 4134 E 142nd St: 45 non-flipped comps averaged $69/sqft (median $65/sqft), giving an as-is range of $57,395-$61,064 against the subject’s 883 sqft — the $53,500 asking price sits </w:t>
      </w:r>
      <w:r>
        <w:rPr>
          <w:b/>
          <w:bCs/>
        </w:rPr>
        <w:t>below</w:t>
      </w:r>
      <w:r>
        <w:rPr/>
        <w:t xml:space="preserve"> that range, a genuine positive signal independent of the ARV question.</w:t>
      </w:r>
    </w:p>
    <w:p>
      <w:pPr>
        <w:pStyle w:val="BodyText"/>
        <w:rPr/>
      </w:pPr>
      <w:r>
        <w:rPr>
          <w:b/>
          <w:bCs/>
        </w:rPr>
        <w:t>Four comp tiers now, each answering a different question:</w:t>
      </w:r>
    </w:p>
    <w:tbl>
      <w:tblPr>
        <w:tblStyle w:val="Table"/>
        <w:tblW w:w="5000" w:type="pct"/>
        <w:jc w:val="left"/>
        <w:tblInd w:w="0" w:type="dxa"/>
        <w:tblLayout w:type="fixed"/>
        <w:tblCellMar>
          <w:top w:w="0" w:type="dxa"/>
          <w:left w:w="108" w:type="dxa"/>
          <w:bottom w:w="0" w:type="dxa"/>
          <w:right w:w="108" w:type="dxa"/>
        </w:tblCellMar>
        <w:tblLook w:val="0020" w:firstRow="1" w:noVBand="0" w:lastRow="0" w:firstColumn="0" w:lastColumn="0" w:noHBand="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Tier</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Confirmed example (4134 E 142nd 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As-is / current-condition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the asking price fair for the property as it sits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$53,500 asking vs. $57,395-$61,064 comp range → under market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Renovated-retail (owner-occupant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ARV for a flip-to-retail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$137-142/sqft confirmed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Renovated-turnkey-rental (investor/commercial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 for a flip-to-landlord exit, priced off cap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$99/sqft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Deferred maintenance / component 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Rehab-risk signal — a separate axis, not a price tier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Unknown - no documented update found</w:t>
            </w:r>
          </w:p>
        </w:tc>
      </w:tr>
    </w:tbl>
    <w:p>
      <w:pPr>
        <w:pStyle w:val="BodyText"/>
        <w:rPr/>
      </w:pPr>
      <w:r>
        <w:rPr/>
        <w:t>This is now a standard step for every deal, not a one-off for this property — see the Quick Screen template’s Screen Results tab, which runs this automatically going forward.</w:t>
      </w:r>
      <w:bookmarkEnd w:id="23"/>
      <w:bookmarkEnd w:id="28"/>
    </w:p>
    <w:p>
      <w:pPr>
        <w:pStyle w:val="Heading1"/>
        <w:rPr/>
      </w:pPr>
      <w:bookmarkStart w:id="29" w:name="where-the-code-lives"/>
      <w:r>
        <w:rPr/>
        <w:t>Where the Code Lives</w:t>
      </w:r>
    </w:p>
    <w:p>
      <w:pPr>
        <w:pStyle w:val="FirstParagraph"/>
        <w:rPr/>
      </w:pPr>
      <w:r>
        <w:rPr/>
        <w:t>The reconciliation pipeline (reconcile.py, generate_brief.js) is under git version control:</w:t>
      </w:r>
    </w:p>
    <w:p>
      <w:pPr>
        <w:pStyle w:val="BodyText"/>
        <w:rPr/>
      </w:pPr>
      <w:r>
        <w:rPr/>
        <w:t xml:space="preserve">Local: </w:t>
      </w:r>
      <w:r>
        <w:rPr>
          <w:rStyle w:val="VerbatimChar"/>
        </w:rPr>
        <w:t>C:\Users\harol\GitProjects\pipeline_repo</w:t>
      </w:r>
      <w:r>
        <w:rPr/>
        <w:t xml:space="preserve"> Remote: github.com/writtinfool/newtree-reconciliation-pipeline (remote name: dev)</w:t>
      </w:r>
    </w:p>
    <w:p>
      <w:pPr>
        <w:pStyle w:val="BodyText"/>
        <w:spacing w:before="180" w:after="180"/>
        <w:rPr/>
      </w:pPr>
      <w:r>
        <w:rPr/>
        <w:t>Division of labor going forward: use Claude Code for changes to reconcile.py or generate_brief.js themselves; use a regular Claude chat for anything needing live web search, Drive access, or platform browsing (i.e. the workflows documented in this file).</w:t>
      </w:r>
      <w:bookmarkEnd w:id="2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LibreOffice/26.2.5.2$Windows_X86_64 LibreOffice_project/cd7284b4cbbfeb507e630c1aac019f4157393acb</Application>
  <AppVersion>15.0000</AppVersion>
  <Pages>9</Pages>
  <Words>4851</Words>
  <Characters>27075</Characters>
  <CharactersWithSpaces>31841</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2026-08-20T22:43:38Z</dcterms:created>
  <dc:creator/>
  <dc:description/>
  <dc:language>en-US</dc:language>
  <cp:lastModifiedBy/>
  <dcterms:modified xsi:type="dcterms:W3CDTF">2026-08-20T22:43:38Z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