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Client Report Production Workflow</w:t>
      </w:r>
    </w:p>
    <w:p>
      <w:pPr>
        <w:spacing w:after="60" w:line="268"/>
      </w:pPr>
      <w:r>
        <w:rPr>
          <w:i/>
          <w:iCs/>
          <w:color w:val="595959"/>
          <w:sz w:val="21"/>
          <w:szCs w:val="21"/>
        </w:rPr>
        <w:t xml:space="preserve">Newtree Capital Resources LLC — Internal Reference</w:t>
      </w:r>
    </w:p>
    <w:p>
      <w:pPr>
        <w:spacing w:after="260" w:line="268"/>
      </w:pPr>
      <w:r>
        <w:rPr>
          <w:i/>
          <w:iCs/>
          <w:color w:val="595959"/>
          <w:sz w:val="19"/>
          <w:szCs w:val="19"/>
        </w:rPr>
        <w:t xml:space="preserve">Status: DRAFT — first documented pass, written up after producing the pipeline's first live deliverable (4134 E 142nd St). This is a snapshot of the steps as they were actually run, not a finished SOP. Expect it to change as more deals go through it — update this document whenever the real workflow diverges from what's written here, the same standing rule the Property Data Sourcing Guide uses.</w:t>
      </w:r>
    </w:p>
    <w:p>
      <w:pPr>
        <w:pStyle w:val="Heading1"/>
        <w:spacing w:after="120" w:before="280"/>
      </w:pPr>
      <w:r>
        <w:t xml:space="preserve">Kickoff Checklist — What Harold Sends to Start a Deal</w:t>
      </w:r>
    </w:p>
    <w:p>
      <w:pPr>
        <w:spacing w:after="140" w:line="268"/>
      </w:pPr>
      <w:r>
        <w:rPr>
          <w:sz w:val="21"/>
          <w:szCs w:val="21"/>
        </w:rPr>
        <w:t xml:space="preserve">The shortest version: address + Prepared For name, plus confirmation the SendFuse/Dealio.pro session is logged in. Everything else below is either pulled automatically or only needed in specific cases.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6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Needed for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 property address (full street, city, state, ZIP)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Everything in Phase 1 keys off this — SendFuse, Dealio.pro, county assessor, and the demographics pull.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Confirmation of SendFuse / Dealio.pro login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browser session has to be live and authenticated before Claude can pull anything.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"Prepared For" name (client / wholesaler)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header and Client User Guide framing.</w:t>
            </w:r>
          </w:p>
        </w:tc>
      </w:tr>
    </w:tbl>
    <w:p>
      <w:pPr>
        <w:spacing w:before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Situational — only if not publicly discoverable</w:t>
            </w:r>
          </w:p>
        </w:tc>
        <w:tc>
          <w:tcPr>
            <w:tcW w:type="dxa" w:w="6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Needed for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Asking/contract price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Pulled automatically if the property is an active MLS listing Dealio.pro can see. Required from Harold for an off-market or wholesaler-sourced deal (e.g. 4134 E 142nd St).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term sheet, contractor bid, or other negotiated terms already in hand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needed for a standard Quick Screen — only relevant if the deal is upgrading straight to a Full Model.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Non-default screen thresholds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defaults to $20,000 minimum profit / 15% minimum margin. Only mention this to override.</w:t>
            </w:r>
          </w:p>
        </w:tc>
      </w:tr>
    </w:tbl>
    <w:p>
      <w:pPr>
        <w:spacing w:after="260" w:line="268"/>
      </w:pPr>
      <w:r>
        <w:rPr>
          <w:sz w:val="21"/>
          <w:szCs w:val="21"/>
        </w:rPr>
        <w:t xml:space="preserve">Everything else — property specs, ownership, tax history, comps, rehab estimate inputs, demographic data — Claude pulls directly once it has the address and a live logged-in session.</w:t>
      </w:r>
    </w:p>
    <w:p>
      <w:pPr>
        <w:pStyle w:val="Heading1"/>
        <w:spacing w:after="120" w:before="280"/>
      </w:pPr>
      <w:r>
        <w:t xml:space="preserve">Overview</w:t>
      </w:r>
    </w:p>
    <w:p>
      <w:pPr>
        <w:spacing w:after="140" w:line="268"/>
      </w:pPr>
      <w:r>
        <w:rPr>
          <w:sz w:val="21"/>
          <w:szCs w:val="21"/>
        </w:rPr>
        <w:t xml:space="preserve">Producing one client-ready deliverable set touches nine phases, from raw data pull through the post-delivery feedback call. Phases 1–2 happen live, in a browser session against SendFuse / Dealio.pro / county assessor sites. Phases 3–7 build the actual deliverable files. Phases 8–9 are packaging and sending. The two Bucket references below recur throughout — see the Property Data Sourcing Guide and the bucket model for the full definitions.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Bucket 1 — Templates &amp; Methodology: reusable, version-controlled in git (product-templates/).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Bucket 2 — Client Deliverables: per-deal, goes to the client (Drive, PDF-first).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Bucket 3 — Internal Working Files: per-deal, evidence/reasoning trail, never shared with a client.</w:t>
      </w:r>
    </w:p>
    <w:p>
      <w:pPr>
        <w:pStyle w:val="Heading1"/>
        <w:spacing w:after="120" w:before="280"/>
      </w:pPr>
      <w:r>
        <w:t xml:space="preserve">Roles at a Glance</w:t>
      </w:r>
    </w:p>
    <w:p>
      <w:pPr>
        <w:spacing w:after="140" w:line="268"/>
      </w:pPr>
      <w:r>
        <w:rPr>
          <w:sz w:val="21"/>
          <w:szCs w:val="21"/>
        </w:rPr>
        <w:t xml:space="preserve">Every step below is tagged [CLAUDE], [HAROLD], or [BOTH]. Four kinds of things always fall to Harold, no matter which phase they show up in — worth knowing up front rather than re-discovering per phase: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Interaction needed</w:t>
            </w:r>
          </w:p>
        </w:tc>
        <w:tc>
          <w:tcPr>
            <w:tcW w:type="dxa" w:w="6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Claude can't do it alone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Logging into SendFuse / Dealio.pro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never enters credentials — the browser session needs Harold already signed in.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 commit / push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device_bash can't run git reliably (file-lock/deletion limits) — must run in Harold's real PowerShell.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Emailing or sharing files with the actual client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on Harold's behalf to a third party needs explicit per-instance approval — Claude drafts/stages, Harold sends.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feedback call itself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live phone conversation — Claude can prep the guide and log the notes afterward, not place the call.</w:t>
            </w:r>
          </w:p>
        </w:tc>
      </w:tr>
    </w:tbl>
    <w:p>
      <w:pPr>
        <w:spacing w:after="260" w:line="268"/>
      </w:pPr>
      <w:r>
        <w:rPr>
          <w:sz w:val="21"/>
          <w:szCs w:val="21"/>
        </w:rPr>
        <w:t xml:space="preserve">Everything else — pulling data once logged in, filling workbooks, writing the report, building support documents, organizing files into the right folders — Claude can do end-to-end without Harold present, as long as the browser session is live and the file locations are already set up.</w:t>
      </w:r>
    </w:p>
    <w:p>
      <w:pPr>
        <w:pStyle w:val="Heading1"/>
        <w:spacing w:after="120" w:before="280"/>
      </w:pPr>
      <w:r>
        <w:t xml:space="preserve">Phase 1 — Property Data Sourcing (live browser session)</w:t>
      </w:r>
    </w:p>
    <w:p>
      <w:pPr>
        <w:spacing w:after="140" w:line="268"/>
      </w:pPr>
      <w:r>
        <w:rPr>
          <w:sz w:val="21"/>
          <w:szCs w:val="21"/>
        </w:rPr>
        <w:t xml:space="preserve">Tools: Claude in Chrome, logged into SendFuse and Dealio.pro. Reference: Property Data Sourcing Guide.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Harold logs into SendFuse and Dealio.pro once at the start (or confirms he's already logged in); Claude drives everything after that.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Confirm logged into SendFuse and Dealio.pro in the connected Chrome session.</w:t>
      </w:r>
      <w:r>
        <w:rPr>
          <w:b/>
          <w:bCs/>
          <w:color w:val="B15C00"/>
          <w:sz w:val="18"/>
          <w:szCs w:val="18"/>
        </w:rPr>
        <w:t xml:space="preserve">  [HAROLD]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Pull the SendFuse Property Profile (bed/bath/sqft, tax value, owner, loans, LTV, last sale). Cross-check ownership and current-loan claims against the county assessor — SendFuse has mislabeled these before.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Pull the Dealio.pro Comps Report and skip-trace CSV for the subject property.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Pull the county assessor record for the subject property (ownership, tax, legal description, transfer history) — the highest-trust source in the hierarchy.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4B00"/>
                <w:sz w:val="20"/>
                <w:szCs w:val="20"/>
              </w:rPr>
              <w:t xml:space="preserve">STANDING RULE: capture everything now. Dealio.pro's comps export is not retrievable after the session ends — confirmed by testing on 4134 E 142nd St. Save any downloaded file immediately into the deal's Internal Working Files folder; don't assume you can come back for it.</w:t>
            </w:r>
          </w:p>
        </w:tc>
      </w:tr>
    </w:tbl>
    <w:p>
      <w:pPr>
        <w:pStyle w:val="Heading1"/>
        <w:spacing w:after="120" w:before="280"/>
      </w:pPr>
      <w:r>
        <w:t xml:space="preserve">Phase 2 — Comp Validation (live, same session as Phase 1)</w:t>
      </w:r>
    </w:p>
    <w:p>
      <w:pPr>
        <w:spacing w:after="140" w:line="268"/>
      </w:pPr>
      <w:r>
        <w:rPr>
          <w:sz w:val="21"/>
          <w:szCs w:val="21"/>
        </w:rPr>
        <w:t xml:space="preserve">Reference: Property Data Sourcing Guide, Rule 1 (transaction-pair verification) and Rule 4 (rental/commercial reclassification).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Claude, using the data already pulled in Phase 1 — no separate Harold action needed.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For every comp tagged by Dealio.pro as previously sold, check for a real transaction-pair price jump between two sales of the same property — not just the tag.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Cross-check buyer type, financing, and the listing's own description. Individual buyer + financed (FHA/conventional) + a description of completed renovation work = confirmed genuine retail-ARV.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Tag each comp as you go: Confirmed Genuine / Moderate Confidence / Excluded (e.g. same-week wholesale double-close) / Reclassified (rental or commercial exit, Rule 4).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Log every comp — kept and excluded alike — into the Internal Working Files workbook's Comp Validation Log tab in the same sitting. This live log is the durable record; a PDF alone is not.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Separately, capture the confirmed and moderate-confidence comps into the Comps Support Document template (Bucket 1) — this becomes a client-facing deliverable in Phase 6.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pStyle w:val="Heading1"/>
        <w:spacing w:after="120" w:before="280"/>
      </w:pPr>
      <w:r>
        <w:t xml:space="preserve">Phase 3 — Demographic &amp; Economic Context</w:t>
      </w:r>
    </w:p>
    <w:p>
      <w:pPr>
        <w:spacing w:after="140" w:line="268"/>
      </w:pPr>
      <w:r>
        <w:rPr>
          <w:sz w:val="21"/>
          <w:szCs w:val="21"/>
        </w:rPr>
        <w:t xml:space="preserve">Tool: fetch_demographics.py (Census Geocoder + ACS 5-Year + BLS LAUS).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Claude, as long as CENSUS_API_KEY is already set up (one-time setup Harold already did).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Run fetch_demographics.py against the subject address. Requires CENSUS_API_KEY (set via a gitignored .env file next to the script; the script's own _load_dotenv() picks it up automatically).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Pull county and city-level population, population trend (ACS 5-Year vintage comparison — not PEP, which is unreliable per the script's own docstring), median household income, renter-occupied housing share, and unemployment rate.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Read these as marketability signals for the report: renter-occupancy for rental demand, population/unemployment stability for lender confidence, and the city/county income gap for buyer-pool context (workforce vs. luxury market).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pStyle w:val="Heading1"/>
        <w:spacing w:after="120" w:before="280"/>
      </w:pPr>
      <w:r>
        <w:t xml:space="preserve">Phase 4 — Quick Screen Workbook</w:t>
      </w:r>
    </w:p>
    <w:p>
      <w:pPr>
        <w:spacing w:after="140" w:line="268"/>
      </w:pPr>
      <w:r>
        <w:rPr>
          <w:sz w:val="21"/>
          <w:szCs w:val="21"/>
        </w:rPr>
        <w:t xml:space="preserve">Tool: xlsx skill, openpyxl. Source: Fix_Flip_Model_Template_QuickScreen_BLANK.xlsx (Bucket 1).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 from Phase 1-3 data, unless a number isn't sourced anywhere public (e.g. a negotiated price only Harold knows) — then Harold supplies that one input.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Copy the blank template to a deal-specific filename.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Fill Assumptions (acquisition, property data, rehab total, holding costs, disposition, screen thresholds, as-is market check), Rehab Estimate (category-level buckets), Deal Screen (pulls from Assumptions), and Source Log (every source, report type, and pull date).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Supply any deal-specific figure not available from a public/pulled source — e.g. an asking price only known from a direct conversation with the wholesaler.</w:t>
      </w:r>
      <w:r>
        <w:rPr>
          <w:b/>
          <w:bCs/>
          <w:color w:val="B15C00"/>
          <w:sz w:val="18"/>
          <w:szCs w:val="18"/>
        </w:rPr>
        <w:t xml:space="preserve">  [HAROLD]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Run recalc.py to populate cached formula values and catch errors (e.g. the #DIV/0! risk on a blank ARV, guarded with IFERROR) before anything ships.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Apply cell-level protection: yellow-fill cells (input convention) unlocked, everything else locked, sheet protection on, no password. This is now the default for every populated workbook, not just the blank template.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pStyle w:val="Heading1"/>
        <w:spacing w:after="120" w:before="280"/>
      </w:pPr>
      <w:r>
        <w:t xml:space="preserve">Phase 5 — Report Writing</w:t>
      </w:r>
    </w:p>
    <w:p>
      <w:pPr>
        <w:spacing w:after="140" w:line="268"/>
      </w:pPr>
      <w:r>
        <w:rPr>
          <w:sz w:val="21"/>
          <w:szCs w:val="21"/>
        </w:rPr>
        <w:t xml:space="preserve">Tool: docx skill (raw XML edit against the report template's existing structure).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 to produce a draft; Harold's read-through before it ships is strongly recommended, not optional.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Sections, in order: title block (address, prepared-by/for, stage tag) → executive read → property &amp; ownership (verified) → As-Is Market Check (Rule 5) → ARV &amp; Comparable Sales Analysis → Neighborhood &amp; Economic Context (Phase 3 data) → Rehab Estimate &amp; Deferred Maintenance → Verdict → What a Full Model Adds → Assumptions &amp; Open Items.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Match existing style conventions exactly (heading borders, table shading, callout boxes, source-citation lines) rather than introducing new formatting per section.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Validate with validate.py --original &lt;source&gt;, then visually confirm by rendering to PDF/JPG and reading each changed page before calling it done.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Read the finished draft before it goes to a client — Claude's own visual check catches rendering/formatting breaks, not factual or tone misjudgments.</w:t>
      </w:r>
      <w:r>
        <w:rPr>
          <w:b/>
          <w:bCs/>
          <w:color w:val="B15C00"/>
          <w:sz w:val="18"/>
          <w:szCs w:val="18"/>
        </w:rPr>
        <w:t xml:space="preserve">  [HAROLD]</w:t>
      </w:r>
    </w:p>
    <w:p>
      <w:pPr>
        <w:pStyle w:val="Heading1"/>
        <w:spacing w:after="120" w:before="280"/>
      </w:pPr>
      <w:r>
        <w:t xml:space="preserve">Phase 6 — Comps Support Document</w:t>
      </w:r>
    </w:p>
    <w:p>
      <w:pPr>
        <w:spacing w:after="140" w:line="268"/>
      </w:pPr>
      <w:r>
        <w:rPr>
          <w:sz w:val="21"/>
          <w:szCs w:val="21"/>
        </w:rPr>
        <w:t xml:space="preserve">Tool: docx skill (new document from the Bucket 1 template). Client-facing evidentiary backup for the ARV figure — this is what makes Phase 2's live logging worth doing.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Claude, from the data already logged in Phase 2.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Fill the template with the confirmed and moderate-confidence comps captured in Phase 2: address, sale-pair prices/dates, buyer type, financing, $/sqft, tier, and a one-line basis.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Excluded and reclassified comps stay out — those live in the Internal Working Files Comp Validation Log only.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pStyle w:val="Heading1"/>
        <w:spacing w:after="120" w:before="280"/>
      </w:pPr>
      <w:r>
        <w:t xml:space="preserve">Phase 7 — Internal Working Files Log (Bucket 3)</w:t>
      </w:r>
    </w:p>
    <w:p>
      <w:pPr>
        <w:spacing w:after="140" w:line="268"/>
      </w:pPr>
      <w:r>
        <w:rPr>
          <w:sz w:val="21"/>
          <w:szCs w:val="21"/>
        </w:rPr>
        <w:t xml:space="preserve">Tool: xlsx skill. Source: Newtree_Internal_Working_Files_Template.xlsx (Bucket 1).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 if built live during Phase 2, as intended — a real interaction gap only opens up if this step gets skipped and has to be reconstructed later (as happened on 4134 E 142nd St).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Field Source Log — one row per property fact, with its source, report type, and pull date.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Comp Validation Log — every comp evaluated, confirmed and excluded alike (built live in Phase 2, not reconstructed afterward).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Cross-Check Log — every public-record verification run against Dealio.pro/SendFuse data (e.g. owner correction, tax record match).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140" w:line="268"/>
      </w:pPr>
      <w:r>
        <w:rPr>
          <w:i/>
          <w:iCs/>
          <w:color w:val="595959"/>
          <w:sz w:val="21"/>
          <w:szCs w:val="21"/>
        </w:rPr>
        <w:t xml:space="preserve">This workbook never leaves OneDrive's Internal Working Files folder for that deal — it is never copied to the Google Drive client-share folder.</w:t>
      </w:r>
    </w:p>
    <w:p>
      <w:pPr>
        <w:pStyle w:val="Heading1"/>
        <w:spacing w:after="120" w:before="280"/>
      </w:pPr>
      <w:r>
        <w:t xml:space="preserve">Phase 8 — Package for Delivery</w:t>
      </w:r>
    </w:p>
    <w:p>
      <w:pPr>
        <w:pStyle w:val="Heading2"/>
        <w:spacing w:after="100" w:before="200"/>
      </w:pPr>
      <w:r>
        <w:t xml:space="preserve">OneDrive — Newtree Deals\[Deal Name]\ (source of truth, everything lives here)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Client Deliverable\ — report (.docx + .pdf), protected Quick Screen workbook, Comps Support Document, Client User Guide (.docx + .pdf), Beta Feedback Call Guide &amp; Survey form.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Internal Working Files\ — the filled Internal Working Files log. Never copied elsewhere.</w:t>
      </w:r>
    </w:p>
    <w:p>
      <w:pPr>
        <w:pStyle w:val="Heading2"/>
        <w:spacing w:after="100" w:before="200"/>
      </w:pPr>
      <w:r>
        <w:t xml:space="preserve">Google Drive — Newtree Client Share\[Deal Name]\ (share-only, PDF-first mirror)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Same client-facing files as above, PDF format only — no raw .docx report copy goes here, since two live formats of the same document invites version drift once either gets revised.</w:t>
      </w:r>
    </w:p>
    <w:p>
      <w:pPr>
        <w:spacing w:after="140" w:line="268"/>
      </w:pPr>
      <w:r>
        <w:rPr>
          <w:i/>
          <w:iCs/>
          <w:color w:val="595959"/>
          <w:sz w:val="21"/>
          <w:szCs w:val="21"/>
        </w:rPr>
        <w:t xml:space="preserve">Editable sources (report .docx, comps/workbook masters) stay on OneDrive for revision; Google Drive is the clean copy actually shared with the client's Gmail address.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Fully Claude for file placement, as long as both folders are already connected/granted; Harold approves the git commit/push separately (see Roles at a Glance).</w:t>
      </w:r>
    </w:p>
    <w:p>
      <w:pPr>
        <w:pStyle w:val="Heading1"/>
        <w:spacing w:after="120" w:before="280"/>
      </w:pPr>
      <w:r>
        <w:t xml:space="preserve">Phase 9 — Delivery &amp; Follow-Up</w:t>
      </w:r>
    </w:p>
    <w:p>
      <w:pPr>
        <w:spacing w:after="100"/>
      </w:pPr>
      <w:r>
        <w:rPr>
          <w:b/>
          <w:bCs/>
          <w:i/>
          <w:iCs/>
          <w:color w:val="595959"/>
          <w:sz w:val="19"/>
          <w:szCs w:val="19"/>
        </w:rPr>
        <w:t xml:space="preserve">Who runs this phase: </w:t>
      </w:r>
      <w:r>
        <w:rPr>
          <w:i/>
          <w:iCs/>
          <w:color w:val="595959"/>
          <w:sz w:val="19"/>
          <w:szCs w:val="19"/>
        </w:rPr>
        <w:t xml:space="preserve">Client-facing send and the call itself are Harold's; Claude preps and logs around both.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Claude confirms the Google Drive deal folder is complete and current.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Share the folder (or the individual PDFs) with the client — an email or message to a third party, which needs Harold to actually send it.</w:t>
      </w:r>
      <w:r>
        <w:rPr>
          <w:b/>
          <w:bCs/>
          <w:color w:val="B15C00"/>
          <w:sz w:val="18"/>
          <w:szCs w:val="18"/>
        </w:rPr>
        <w:t xml:space="preserve">  [HAROLD]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After the client has had time to review, place the follow-up call using the Beta Feedback Call Guide &amp; Survey form.</w:t>
      </w:r>
      <w:r>
        <w:rPr>
          <w:b/>
          <w:bCs/>
          <w:color w:val="B15C00"/>
          <w:sz w:val="18"/>
          <w:szCs w:val="18"/>
        </w:rPr>
        <w:t xml:space="preserve">  [HAROLD]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Claude can type up notes into the form's fields during or after the call, if Harold relays answers live or afterward — but Claude isn't on the call itself.</w:t>
      </w:r>
      <w:r>
        <w:rPr>
          <w:b/>
          <w:bCs/>
          <w:color w:val="6B3FA0"/>
          <w:sz w:val="18"/>
          <w:szCs w:val="18"/>
        </w:rPr>
        <w:t xml:space="preserve">  [BOTH]</w:t>
      </w:r>
    </w:p>
    <w:p>
      <w:pPr>
        <w:spacing w:after="80" w:line="2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Log call outcomes/answers back into the Internal Working Files or wherever the beta program is tracking response data (not yet formalized as of this draft).</w:t>
      </w:r>
      <w:r>
        <w:rPr>
          <w:b/>
          <w:bCs/>
          <w:color w:val="2E5EAA"/>
          <w:sz w:val="18"/>
          <w:szCs w:val="18"/>
        </w:rPr>
        <w:t xml:space="preserve">  [CLAUDE]</w:t>
      </w:r>
    </w:p>
    <w:p>
      <w:pPr>
        <w:pStyle w:val="Heading1"/>
        <w:spacing w:after="120" w:before="280"/>
      </w:pPr>
      <w:r>
        <w:t xml:space="preserve">Open Items in This Workflow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Step 3 of Phase 9 (where feedback responses get tracked) isn't formalized yet.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No SQLite/cross-deal querying yet — workbook-first until more deals have run through this.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BRRRR/Turnkey variant of this workflow not yet built.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This document itself hasn't been run against a second deal yet — treat every step above as provisional until it has.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2026-08-22T19:28:41.342Z</dcterms:created>
  <dcterms:modified xsi:type="dcterms:W3CDTF">2026-08-22T19:28:41.342Z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