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 xml:space="preserve">A240602002</w:t>
      </w:r>
      <w:r w:rsidR="000E64E4" w:rsidRPr="00896F44">
        <w:rPr>
          <w:b/>
          <w:highlight w:val="green"/>
        </w:rPr>
        <w:t/>
      </w:r>
      <w:r w:rsidR="000E64E4">
        <w:rPr>
          <w:b/>
        </w:rPr>
        <w:t/>
      </w:r>
    </w:p>
    <w:p w:rsidR="00362DEF" w:rsidRDefault="00362DEF" w:rsidP="00C829C8">
      <w:pPr>
        <w:spacing w:before="240" w:after="0"/>
        <w:ind w:left="-1"/>
      </w:pPr>
      <w:r>
        <w:t xml:space="preserve">zawarta w dniu </w:t>
      </w:r>
      <w:r w:rsidR="000E64E4">
        <w:t xml:space="preserve">5.12.2024</w:t>
      </w:r>
      <w:r w:rsidR="000E64E4" w:rsidRPr="00896F44">
        <w:rPr>
          <w:highlight w:val="green"/>
        </w:rPr>
        <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
      </w:r>
      <w:r w:rsidR="00B93E3C">
        <w:t/>
      </w:r>
      <w:r>
        <w:t/>
      </w:r>
    </w:p>
    <w:p w:rsidR="00362DEF" w:rsidRDefault="00362DEF" w:rsidP="00362DEF">
      <w:pPr>
        <w:spacing w:after="0" w:line="276" w:lineRule="auto"/>
        <w:ind w:left="9" w:hanging="10"/>
        <w:jc w:val="left"/>
      </w:pPr>
      <w:r>
        <w:t xml:space="preserve">[</w:t>
      </w:r>
      <w:r>
        <w:rPr>
          <w:i/>
        </w:rPr>
        <w:t xml:space="preserve">w przypadku osób prawnych i innych jednostek organizacyjnych</w:t>
      </w:r>
      <w:r>
        <w:t xml:space="preserve">] </w:t>
      </w:r>
    </w:p>
    <w:p w:rsidR="00362DEF" w:rsidRDefault="00D4639D" w:rsidP="00362DEF">
      <w:pPr>
        <w:spacing w:after="0" w:line="276" w:lineRule="auto"/>
        <w:ind w:left="-1"/>
      </w:pPr>
      <w:r w:rsidRPr="00D4639D">
        <w:rPr>
          <w:highlight w:val="green"/>
        </w:rPr>
        <w:t xml:space="preserve">A</w:t>
      </w:r>
      <w:r w:rsidR="00B93E3C">
        <w:rPr>
          <w:highlight w:val="green"/>
        </w:rPr>
        <w:t/>
      </w:r>
      <w:r w:rsidRPr="00D4639D">
        <w:rPr>
          <w:highlight w:val="green"/>
        </w:rPr>
        <w:t/>
      </w:r>
    </w:p>
    <w:p w:rsidR="00362DEF" w:rsidRDefault="00362DEF" w:rsidP="00362DEF">
      <w:pPr>
        <w:spacing w:after="0" w:line="276" w:lineRule="auto"/>
        <w:ind w:left="-1"/>
      </w:pPr>
      <w:r>
        <w:t xml:space="preserve">z siedzibą w</w:t>
      </w:r>
      <w:r w:rsidR="00D4639D">
        <w:t xml:space="preserve"> </w:t>
      </w:r>
      <w:r w:rsidR="00D4639D" w:rsidRPr="00D4639D">
        <w:rPr>
          <w:highlight w:val="green"/>
        </w:rPr>
        <w:t xml:space="preserve">a</w:t>
      </w:r>
      <w:r>
        <w:t xml:space="preserve"> wpisanym(-ą) do Rejestru Przedsiębiorców Krajowego Rejestru Sądowego przez Sąd Rejonowy w </w:t>
      </w:r>
      <w:r w:rsidR="00D4639D" w:rsidRPr="00D4639D">
        <w:rPr>
          <w:highlight w:val="green"/>
        </w:rPr>
        <w:t xml:space="preserve">aaa</w:t>
      </w:r>
      <w:r w:rsidR="00D4639D">
        <w:t xml:space="preserve"> </w:t>
      </w:r>
      <w:r>
        <w:t xml:space="preserve">XX Wydział Gospodarczy pod numerem KRS </w:t>
      </w:r>
      <w:r w:rsidR="00D4639D" w:rsidRPr="00D4639D">
        <w:rPr>
          <w:highlight w:val="green"/>
        </w:rPr>
        <w:t xml:space="preserve">aaaa</w:t>
      </w:r>
      <w:r>
        <w:t xml:space="preserve">, NIP </w:t>
      </w:r>
      <w:r w:rsidR="00D4639D" w:rsidRPr="00D4639D">
        <w:rPr>
          <w:highlight w:val="green"/>
        </w:rPr>
        <w:t xml:space="preserve">1111111111</w:t>
      </w:r>
      <w:r>
        <w:t xml:space="preserve">, REGON</w:t>
      </w:r>
      <w:r w:rsidR="00D4639D">
        <w:t xml:space="preserve"> </w:t>
      </w:r>
      <w:r w:rsidR="00D4639D" w:rsidRPr="00D4639D">
        <w:rPr>
          <w:highlight w:val="green"/>
        </w:rPr>
        <w:t xml:space="preserve">aaaaa</w:t>
      </w:r>
      <w:r>
        <w:t xml:space="preserve">, BDO: </w:t>
      </w:r>
      <w:r w:rsidR="00D4639D" w:rsidRPr="00D4639D">
        <w:rPr>
          <w:highlight w:val="green"/>
        </w:rPr>
        <w:t xml:space="preserve">aaaaa</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 xml:space="preserve">aaaaa</w:t>
      </w:r>
    </w:p>
    <w:p w:rsidR="00E175D5" w:rsidRPr="00E175D5" w:rsidRDefault="00E175D5" w:rsidP="00E175D5">
      <w:pPr>
        <w:numPr>
          <w:ilvl w:val="0"/>
          <w:numId w:val="1"/>
        </w:numPr>
        <w:spacing w:after="0" w:line="276" w:lineRule="auto"/>
        <w:ind w:hanging="240"/>
        <w:rPr>
          <w:highlight w:val="green"/>
        </w:rPr>
      </w:pPr>
      <w:r w:rsidRPr="00E175D5">
        <w:rPr>
          <w:highlight w:val="green"/>
        </w:rPr>
        <w:t xml:space="preserve">aaa</w:t>
      </w:r>
    </w:p>
    <w:p w:rsidR="00362DEF" w:rsidRDefault="00E175D5" w:rsidP="00E175D5">
      <w:pPr>
        <w:spacing w:after="0" w:line="276" w:lineRule="auto"/>
        <w:ind w:left="9" w:hanging="10"/>
        <w:jc w:val="left"/>
      </w:pPr>
      <w:r>
        <w:t xml:space="preserve"> </w:t>
      </w:r>
      <w:r w:rsidR="00362DEF">
        <w:t xml:space="preserve">[Uwaga: </w:t>
      </w:r>
      <w:r w:rsidR="00362DEF">
        <w:rPr>
          <w:i/>
        </w:rPr>
        <w:t xml:space="preserve">osoby uprawnione do reprezentacji podać wg KRS</w:t>
      </w:r>
      <w:r w:rsidR="00362DEF">
        <w:t xml:space="preserve">] </w:t>
      </w:r>
    </w:p>
    <w:p w:rsidR="00615965" w:rsidRDefault="00362DEF" w:rsidP="00615965">
      <w:pPr>
        <w:spacing w:after="0" w:line="276" w:lineRule="auto"/>
        <w:ind w:left="-1"/>
      </w:pPr>
      <w:r>
        <w:t xml:space="preserve"> </w:t>
      </w:r>
      <w:r w:rsidR="00615965">
        <w:t/>
      </w:r>
      <w:r w:rsidR="00B93E3C">
        <w:t/>
      </w:r>
      <w:r w:rsidR="00615965">
        <w:t/>
      </w:r>
    </w:p>
    <w:p w:rsidR="00706823" w:rsidRDefault="00706823" w:rsidP="00706823">
      <w:pPr>
        <w:spacing w:after="0" w:line="276" w:lineRule="auto"/>
        <w:ind w:left="-1"/>
      </w:pP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 xml:space="preserve">20.11.2024</w:t>
      </w:r>
      <w:r w:rsidR="008D2A0F">
        <w:rPr>
          <w:highlight w:val="green"/>
        </w:rPr>
        <w:t/>
      </w:r>
      <w:r w:rsidR="00877EB9" w:rsidRPr="0054633A">
        <w:rPr>
          <w:highlight w:val="green"/>
        </w:rPr>
        <w:t/>
      </w:r>
      <w:r w:rsidR="00C829C8">
        <w:t xml:space="preserve"> </w:t>
      </w:r>
      <w:r w:rsidR="00877EB9">
        <w:t>–</w:t>
      </w:r>
      <w:r w:rsidR="00C829C8">
        <w:t xml:space="preserve"> </w:t>
      </w:r>
      <w:r w:rsidR="00877EB9" w:rsidRPr="0054633A">
        <w:rPr>
          <w:highlight w:val="green"/>
        </w:rPr>
        <w:t xml:space="preserve">21.11.2024</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 xml:space="preserve">8,00</w:t>
      </w:r>
      <w:r w:rsidR="00896782">
        <w:rPr>
          <w:highlight w:val="green"/>
        </w:rPr>
        <w:t/>
      </w:r>
      <w:r w:rsidR="0054633A" w:rsidRPr="0054633A">
        <w:rPr>
          <w:highlight w:val="green"/>
        </w:rPr>
        <w:t/>
      </w:r>
      <w:r w:rsidR="00362DEF">
        <w:t xml:space="preserve"> m³ oraz o łącznej wartości netto (bez podatku VAT) wynoszącej </w:t>
      </w:r>
      <w:r w:rsidR="0054633A" w:rsidRPr="0054633A">
        <w:rPr>
          <w:highlight w:val="green"/>
        </w:rPr>
        <w:t xml:space="preserve">22 000,00</w:t>
      </w:r>
      <w:r w:rsidR="00362DEF">
        <w:t xml:space="preserve"> zł (słownie: </w:t>
      </w:r>
      <w:r w:rsidR="003D18FE">
        <w:t>………………………………….</w:t>
      </w:r>
      <w:r w:rsidR="00362DEF">
        <w:t xml:space="preserve">……), a Kupujący zobowiązuje się wskazane drewno odebrać w terminie do </w:t>
      </w:r>
      <w:r w:rsidR="0054633A" w:rsidRPr="0054633A">
        <w:rPr>
          <w:highlight w:val="green"/>
        </w:rPr>
        <w:t xml:space="preserve">20.12.2024</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 xml:space="preserve">22.11.2024</w:t>
      </w:r>
      <w:r w:rsidR="00162A31">
        <w:t xml:space="preserve"> </w:t>
      </w:r>
      <w:r w:rsidR="00362DEF">
        <w:t>11.202</w:t>
      </w:r>
      <w:r w:rsidR="00162A31">
        <w:t>4</w:t>
      </w:r>
      <w:r w:rsidR="00362DEF">
        <w:t xml:space="preserve"> r. do dnia </w:t>
      </w:r>
      <w:r w:rsidR="0054633A" w:rsidRPr="0054633A">
        <w:rPr>
          <w:highlight w:val="green"/>
        </w:rPr>
        <w:t xml:space="preserve">5.12.2024</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 xml:space="preserve">20.12.2024</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