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556" w:rsidRDefault="00B86556" w:rsidP="00B8655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B86556" w:rsidRDefault="00B86556" w:rsidP="00B86556">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B86556" w:rsidRDefault="00B86556" w:rsidP="00B8655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method that uses a factoring, scaling sigma was successfully implemented and tested on various st</w:t>
      </w:r>
      <w:r w:rsidR="00EA2CED">
        <w:rPr>
          <w:rFonts w:ascii="Calibri" w:eastAsia="Times New Roman" w:hAnsi="Calibri" w:cs="Times New Roman"/>
          <w:color w:val="000000"/>
          <w:sz w:val="24"/>
          <w:szCs w:val="24"/>
        </w:rPr>
        <w:t>retched version of spiral data. The effectiveness of the method was as followed:</w:t>
      </w:r>
    </w:p>
    <w:p w:rsidR="00EA2CED" w:rsidRDefault="00EA2CED" w:rsidP="00EA2CED">
      <w:pPr>
        <w:pStyle w:val="ListParagraph"/>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Square data (data that was stretched with the same factor for all dimensions) had roughly the same optimal </w:t>
      </w:r>
      <w:r w:rsidR="00AD5F62">
        <w:rPr>
          <w:rFonts w:ascii="Calibri" w:eastAsia="Times New Roman" w:hAnsi="Calibri" w:cs="Times New Roman"/>
          <w:color w:val="000000"/>
          <w:sz w:val="24"/>
          <w:szCs w:val="24"/>
        </w:rPr>
        <w:t>scaling sigma method. A maximum accuracy of ~99% could be found for these square data.</w:t>
      </w:r>
    </w:p>
    <w:p w:rsidR="00AD5F62" w:rsidRDefault="00AD5F62" w:rsidP="00EA2CED">
      <w:pPr>
        <w:pStyle w:val="ListParagraph"/>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Non-Square data did not have the same optimal scaling sigma. A maximum accuracy could not be achieved higher than ~60% for higher stretching factors.</w:t>
      </w:r>
    </w:p>
    <w:p w:rsidR="00EA2CED" w:rsidRPr="00AD5F62" w:rsidRDefault="00AD5F62" w:rsidP="00AD5F62">
      <w:pPr>
        <w:pStyle w:val="ListParagraph"/>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The sigma factors were unimodal, and had an absolute maximum, regardless of the stretch factor.</w:t>
      </w:r>
    </w:p>
    <w:p w:rsidR="00B86556" w:rsidRDefault="00B86556" w:rsidP="00B8655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B86556"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Glean ideas from </w:t>
      </w:r>
      <w:proofErr w:type="gramStart"/>
      <w:r w:rsidRPr="00AD5F62">
        <w:rPr>
          <w:rFonts w:ascii="Calibri" w:eastAsia="Times New Roman" w:hAnsi="Calibri" w:cs="Times New Roman"/>
          <w:i/>
          <w:color w:val="000000"/>
          <w:sz w:val="24"/>
          <w:szCs w:val="24"/>
        </w:rPr>
        <w:t>Optimal</w:t>
      </w:r>
      <w:proofErr w:type="gramEnd"/>
      <w:r w:rsidRPr="00AD5F62">
        <w:rPr>
          <w:rFonts w:ascii="Calibri" w:eastAsia="Times New Roman" w:hAnsi="Calibri" w:cs="Times New Roman"/>
          <w:i/>
          <w:color w:val="000000"/>
          <w:sz w:val="24"/>
          <w:szCs w:val="24"/>
        </w:rPr>
        <w:t xml:space="preserve"> breast cancer classification using Gauss–Newton representation based algorithm</w:t>
      </w:r>
      <w:r>
        <w:rPr>
          <w:rFonts w:ascii="Calibri" w:eastAsia="Times New Roman" w:hAnsi="Calibri" w:cs="Times New Roman"/>
          <w:color w:val="000000"/>
          <w:sz w:val="24"/>
          <w:szCs w:val="24"/>
        </w:rPr>
        <w:t xml:space="preserve"> and try new sigma implementations.</w:t>
      </w: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D5F62" w:rsidRPr="00AD5F62" w:rsidRDefault="00AD5F62" w:rsidP="00AD5F6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bookmarkStart w:id="0" w:name="_GoBack"/>
      <w:bookmarkEnd w:id="0"/>
    </w:p>
    <w:p w:rsidR="00B86556" w:rsidRP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6556" w:rsidRDefault="00B86556" w:rsidP="00B8655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B86556" w:rsidRDefault="00B86556" w:rsidP="00B86556">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B86556" w:rsidRDefault="00B86556" w:rsidP="00B8655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 comparison of various </w:t>
      </w:r>
      <w:proofErr w:type="spellStart"/>
      <w:r>
        <w:rPr>
          <w:rFonts w:ascii="Calibri" w:eastAsia="Times New Roman" w:hAnsi="Calibri" w:cs="Times New Roman"/>
          <w:color w:val="000000"/>
          <w:sz w:val="24"/>
          <w:szCs w:val="24"/>
        </w:rPr>
        <w:t>sigmas</w:t>
      </w:r>
      <w:proofErr w:type="spellEnd"/>
      <w:r>
        <w:rPr>
          <w:rFonts w:ascii="Calibri" w:eastAsia="Times New Roman" w:hAnsi="Calibri" w:cs="Times New Roman"/>
          <w:color w:val="000000"/>
          <w:sz w:val="24"/>
          <w:szCs w:val="24"/>
        </w:rPr>
        <w:t xml:space="preserve"> was done with two methods.</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The first method used a normal distribution calculation:</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337CE6">
        <w:rPr>
          <w:rFonts w:ascii="Calibri" w:eastAsia="Times New Roman" w:hAnsi="Calibri" w:cs="Times New Roman"/>
          <w:color w:val="000000"/>
          <w:sz w:val="24"/>
          <w:szCs w:val="24"/>
        </w:rPr>
        <w:t>(</w:t>
      </w:r>
      <w:proofErr w:type="gramStart"/>
      <w:r w:rsidRPr="00337CE6">
        <w:rPr>
          <w:rFonts w:ascii="Calibri" w:eastAsia="Times New Roman" w:hAnsi="Calibri" w:cs="Times New Roman"/>
          <w:color w:val="000000"/>
          <w:sz w:val="24"/>
          <w:szCs w:val="24"/>
        </w:rPr>
        <w:t>s</w:t>
      </w:r>
      <w:proofErr w:type="gramEnd"/>
      <w:r w:rsidRPr="00337CE6">
        <w:rPr>
          <w:rFonts w:ascii="Calibri" w:eastAsia="Times New Roman" w:hAnsi="Calibri" w:cs="Times New Roman"/>
          <w:color w:val="000000"/>
          <w:sz w:val="24"/>
          <w:szCs w:val="24"/>
        </w:rPr>
        <w:t>/(</w:t>
      </w:r>
      <w:proofErr w:type="spellStart"/>
      <w:r w:rsidRPr="00337CE6">
        <w:rPr>
          <w:rFonts w:ascii="Calibri" w:eastAsia="Times New Roman" w:hAnsi="Calibri" w:cs="Times New Roman"/>
          <w:color w:val="000000"/>
          <w:sz w:val="24"/>
          <w:szCs w:val="24"/>
        </w:rPr>
        <w:t>s+t</w:t>
      </w:r>
      <w:proofErr w:type="spellEnd"/>
      <w:r w:rsidRPr="00337CE6">
        <w:rPr>
          <w:rFonts w:ascii="Calibri" w:eastAsia="Times New Roman" w:hAnsi="Calibri" w:cs="Times New Roman"/>
          <w:color w:val="000000"/>
          <w:sz w:val="24"/>
          <w:szCs w:val="24"/>
        </w:rPr>
        <w:t>))*Normal(x, W/</w:t>
      </w:r>
      <w:r w:rsidRPr="00337CE6">
        <w:rPr>
          <w:rFonts w:ascii="Calibri" w:eastAsia="Times New Roman" w:hAnsi="Calibri" w:cs="Times New Roman"/>
          <w:color w:val="000000"/>
          <w:sz w:val="24"/>
          <w:szCs w:val="24"/>
          <w:lang w:val="el-GR"/>
        </w:rPr>
        <w:t xml:space="preserve"> σ</w:t>
      </w:r>
      <w:r w:rsidRPr="00337CE6">
        <w:rPr>
          <w:rFonts w:ascii="Calibri" w:eastAsia="Times New Roman" w:hAnsi="Calibri" w:cs="Times New Roman"/>
          <w:color w:val="000000"/>
          <w:sz w:val="24"/>
          <w:szCs w:val="24"/>
        </w:rPr>
        <w:t>) + t/(</w:t>
      </w:r>
      <w:proofErr w:type="spellStart"/>
      <w:r w:rsidRPr="00337CE6">
        <w:rPr>
          <w:rFonts w:ascii="Calibri" w:eastAsia="Times New Roman" w:hAnsi="Calibri" w:cs="Times New Roman"/>
          <w:color w:val="000000"/>
          <w:sz w:val="24"/>
          <w:szCs w:val="24"/>
        </w:rPr>
        <w:t>s+t</w:t>
      </w:r>
      <w:proofErr w:type="spellEnd"/>
      <w:r w:rsidRPr="00337CE6">
        <w:rPr>
          <w:rFonts w:ascii="Calibri" w:eastAsia="Times New Roman" w:hAnsi="Calibri" w:cs="Times New Roman"/>
          <w:color w:val="000000"/>
          <w:sz w:val="24"/>
          <w:szCs w:val="24"/>
        </w:rPr>
        <w:t>))*Normal(x, D/</w:t>
      </w:r>
      <w:r w:rsidRPr="00337CE6">
        <w:rPr>
          <w:rFonts w:ascii="Calibri" w:eastAsia="Times New Roman" w:hAnsi="Calibri" w:cs="Times New Roman"/>
          <w:color w:val="000000"/>
          <w:sz w:val="24"/>
          <w:szCs w:val="24"/>
          <w:lang w:val="el-GR"/>
        </w:rPr>
        <w:t xml:space="preserve"> σ</w:t>
      </w:r>
      <w:r w:rsidRPr="00337CE6">
        <w:rPr>
          <w:rFonts w:ascii="Calibri" w:eastAsia="Times New Roman" w:hAnsi="Calibri" w:cs="Times New Roman"/>
          <w:color w:val="000000"/>
          <w:sz w:val="24"/>
          <w:szCs w:val="24"/>
        </w:rPr>
        <w:t>)</w:t>
      </w:r>
    </w:p>
    <w:p w:rsidR="00B86556" w:rsidRPr="00337CE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The second method uses an absolute factor, with </w:t>
      </w:r>
      <w:r w:rsidRPr="00337CE6">
        <w:rPr>
          <w:rFonts w:ascii="Calibri" w:eastAsia="Times New Roman" w:hAnsi="Calibri" w:cs="Times New Roman"/>
          <w:color w:val="000000"/>
          <w:sz w:val="24"/>
          <w:szCs w:val="24"/>
          <w:lang w:val="el-GR"/>
        </w:rPr>
        <w:t>σ</w:t>
      </w:r>
      <w:r>
        <w:rPr>
          <w:rFonts w:ascii="Calibri" w:eastAsia="Times New Roman" w:hAnsi="Calibri" w:cs="Times New Roman"/>
          <w:color w:val="000000"/>
          <w:sz w:val="24"/>
          <w:szCs w:val="24"/>
        </w:rPr>
        <w:t xml:space="preserve"> as a dividing factor.</w:t>
      </w:r>
    </w:p>
    <w:p w:rsidR="00B86556" w:rsidRPr="00337CE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337CE6">
        <w:rPr>
          <w:rFonts w:ascii="Calibri" w:eastAsia="Times New Roman" w:hAnsi="Calibri" w:cs="Times New Roman"/>
          <w:color w:val="000000"/>
          <w:sz w:val="24"/>
          <w:szCs w:val="24"/>
        </w:rPr>
        <w:t>(</w:t>
      </w:r>
      <w:proofErr w:type="gramStart"/>
      <w:r w:rsidRPr="00337CE6">
        <w:rPr>
          <w:rFonts w:ascii="Calibri" w:eastAsia="Times New Roman" w:hAnsi="Calibri" w:cs="Times New Roman"/>
          <w:color w:val="000000"/>
          <w:sz w:val="24"/>
          <w:szCs w:val="24"/>
        </w:rPr>
        <w:t>s</w:t>
      </w:r>
      <w:proofErr w:type="gramEnd"/>
      <w:r w:rsidRPr="00337CE6">
        <w:rPr>
          <w:rFonts w:ascii="Calibri" w:eastAsia="Times New Roman" w:hAnsi="Calibri" w:cs="Times New Roman"/>
          <w:color w:val="000000"/>
          <w:sz w:val="24"/>
          <w:szCs w:val="24"/>
        </w:rPr>
        <w:t>/(</w:t>
      </w:r>
      <w:proofErr w:type="spellStart"/>
      <w:r w:rsidRPr="00337CE6">
        <w:rPr>
          <w:rFonts w:ascii="Calibri" w:eastAsia="Times New Roman" w:hAnsi="Calibri" w:cs="Times New Roman"/>
          <w:color w:val="000000"/>
          <w:sz w:val="24"/>
          <w:szCs w:val="24"/>
        </w:rPr>
        <w:t>s+t</w:t>
      </w:r>
      <w:proofErr w:type="spellEnd"/>
      <w:r w:rsidRPr="00337CE6">
        <w:rPr>
          <w:rFonts w:ascii="Calibri" w:eastAsia="Times New Roman" w:hAnsi="Calibri" w:cs="Times New Roman"/>
          <w:color w:val="000000"/>
          <w:sz w:val="24"/>
          <w:szCs w:val="24"/>
        </w:rPr>
        <w:t>))*W/</w:t>
      </w:r>
      <w:r w:rsidRPr="00337CE6">
        <w:rPr>
          <w:rFonts w:ascii="Calibri" w:eastAsia="Times New Roman" w:hAnsi="Calibri" w:cs="Times New Roman"/>
          <w:color w:val="000000"/>
          <w:sz w:val="24"/>
          <w:szCs w:val="24"/>
          <w:lang w:val="el-GR"/>
        </w:rPr>
        <w:t>σ</w:t>
      </w:r>
      <w:r w:rsidRPr="00337CE6">
        <w:rPr>
          <w:rFonts w:ascii="Calibri" w:eastAsia="Times New Roman" w:hAnsi="Calibri" w:cs="Times New Roman"/>
          <w:color w:val="000000"/>
          <w:sz w:val="24"/>
          <w:szCs w:val="24"/>
        </w:rPr>
        <w:t>) + t/(</w:t>
      </w:r>
      <w:proofErr w:type="spellStart"/>
      <w:r w:rsidRPr="00337CE6">
        <w:rPr>
          <w:rFonts w:ascii="Calibri" w:eastAsia="Times New Roman" w:hAnsi="Calibri" w:cs="Times New Roman"/>
          <w:color w:val="000000"/>
          <w:sz w:val="24"/>
          <w:szCs w:val="24"/>
        </w:rPr>
        <w:t>s+t</w:t>
      </w:r>
      <w:proofErr w:type="spellEnd"/>
      <w:r w:rsidRPr="00337CE6">
        <w:rPr>
          <w:rFonts w:ascii="Calibri" w:eastAsia="Times New Roman" w:hAnsi="Calibri" w:cs="Times New Roman"/>
          <w:color w:val="000000"/>
          <w:sz w:val="24"/>
          <w:szCs w:val="24"/>
        </w:rPr>
        <w:t>))*D/</w:t>
      </w:r>
      <w:r w:rsidRPr="00337CE6">
        <w:rPr>
          <w:rFonts w:ascii="Calibri" w:eastAsia="Times New Roman" w:hAnsi="Calibri" w:cs="Times New Roman"/>
          <w:color w:val="000000"/>
          <w:sz w:val="24"/>
          <w:szCs w:val="24"/>
          <w:lang w:val="el-GR"/>
        </w:rPr>
        <w:t>σ</w:t>
      </w:r>
      <w:r w:rsidRPr="00337CE6">
        <w:rPr>
          <w:rFonts w:ascii="Calibri" w:eastAsia="Times New Roman" w:hAnsi="Calibri" w:cs="Times New Roman"/>
          <w:color w:val="000000"/>
          <w:sz w:val="24"/>
          <w:szCs w:val="24"/>
        </w:rPr>
        <w:t>)</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Spiral Data was stretched by various factors, both in the X and Y direction. Data is labeled with “100-10” for example stretches the X data by a factor of 100 and Y data by a factor of 10.</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Using the first method, the following data was constructed:</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noProof/>
        </w:rPr>
        <w:drawing>
          <wp:inline distT="0" distB="0" distL="0" distR="0" wp14:anchorId="042512BE" wp14:editId="1D4CC02B">
            <wp:extent cx="5943600" cy="3051810"/>
            <wp:effectExtent l="0" t="0" r="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It seems as though for small stretching, there is an optimal sigma that is valid here. But for larger stretch factors, there is no optimal sigma that would generate an accuracy of &gt; 60 %.</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Using the second method, the following graphs were generated:</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 used three graphs since I wanted to use a large range of </w:t>
      </w:r>
      <w:proofErr w:type="spellStart"/>
      <w:r>
        <w:rPr>
          <w:rFonts w:ascii="Calibri" w:eastAsia="Times New Roman" w:hAnsi="Calibri" w:cs="Times New Roman"/>
          <w:color w:val="000000"/>
          <w:sz w:val="24"/>
          <w:szCs w:val="24"/>
        </w:rPr>
        <w:t>sigmas</w:t>
      </w:r>
      <w:proofErr w:type="spellEnd"/>
      <w:r>
        <w:rPr>
          <w:rFonts w:ascii="Calibri" w:eastAsia="Times New Roman" w:hAnsi="Calibri" w:cs="Times New Roman"/>
          <w:color w:val="000000"/>
          <w:sz w:val="24"/>
          <w:szCs w:val="24"/>
        </w:rPr>
        <w:t xml:space="preserve"> to test optimization.</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noProof/>
        </w:rPr>
        <w:drawing>
          <wp:inline distT="0" distB="0" distL="0" distR="0" wp14:anchorId="2474ED7E" wp14:editId="34C7B345">
            <wp:extent cx="5943600" cy="2448560"/>
            <wp:effectExtent l="0" t="0" r="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86556" w:rsidRDefault="00B86556" w:rsidP="00B86556">
      <w:pPr>
        <w:shd w:val="clear" w:color="auto" w:fill="FFFFFF"/>
        <w:spacing w:before="100" w:beforeAutospacing="1" w:after="100" w:afterAutospacing="1" w:line="240" w:lineRule="auto"/>
        <w:ind w:left="360"/>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Figure 1.</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From Figure 1, it seems as though a larger sigma is required for a higher stretched data set.</w:t>
      </w:r>
    </w:p>
    <w:p w:rsidR="00B86556" w:rsidRDefault="00B86556" w:rsidP="00B86556">
      <w:pPr>
        <w:shd w:val="clear" w:color="auto" w:fill="FFFFFF"/>
        <w:spacing w:before="100" w:beforeAutospacing="1" w:after="100" w:afterAutospacing="1" w:line="240" w:lineRule="auto"/>
        <w:ind w:left="360"/>
        <w:rPr>
          <w:noProof/>
        </w:rPr>
      </w:pPr>
      <w:r>
        <w:rPr>
          <w:noProof/>
        </w:rPr>
        <w:drawing>
          <wp:inline distT="0" distB="0" distL="0" distR="0" wp14:anchorId="6C353641" wp14:editId="506F53CC">
            <wp:extent cx="5943600" cy="2397125"/>
            <wp:effectExtent l="0" t="0" r="0"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2D5BA5">
        <w:rPr>
          <w:noProof/>
        </w:rPr>
        <w:t xml:space="preserve"> </w:t>
      </w:r>
    </w:p>
    <w:p w:rsidR="00B86556" w:rsidRDefault="00B86556" w:rsidP="00B86556">
      <w:pPr>
        <w:shd w:val="clear" w:color="auto" w:fill="FFFFFF"/>
        <w:spacing w:before="100" w:beforeAutospacing="1" w:after="100" w:afterAutospacing="1" w:line="240" w:lineRule="auto"/>
        <w:ind w:left="360"/>
        <w:jc w:val="center"/>
        <w:rPr>
          <w:noProof/>
        </w:rPr>
      </w:pPr>
      <w:r>
        <w:rPr>
          <w:noProof/>
        </w:rPr>
        <w:t>Figure 2.</w:t>
      </w:r>
    </w:p>
    <w:p w:rsidR="00B86556" w:rsidRDefault="00B86556" w:rsidP="00B86556">
      <w:pPr>
        <w:shd w:val="clear" w:color="auto" w:fill="FFFFFF"/>
        <w:spacing w:before="100" w:beforeAutospacing="1" w:after="100" w:afterAutospacing="1" w:line="240" w:lineRule="auto"/>
        <w:ind w:left="360"/>
        <w:rPr>
          <w:noProof/>
        </w:rPr>
      </w:pPr>
      <w:r>
        <w:rPr>
          <w:noProof/>
        </w:rPr>
        <w:lastRenderedPageBreak/>
        <w:t>Figure 2 seems to indicate that there maximum sigma does have a drop in accuracy at a certain point around the “stretch-factor”.</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noProof/>
        </w:rPr>
        <w:drawing>
          <wp:inline distT="0" distB="0" distL="0" distR="0" wp14:anchorId="59EEA06F" wp14:editId="328DAEAC">
            <wp:extent cx="5943600" cy="2493010"/>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6556" w:rsidRDefault="00B86556" w:rsidP="00B86556">
      <w:pPr>
        <w:shd w:val="clear" w:color="auto" w:fill="FFFFFF"/>
        <w:spacing w:before="100" w:beforeAutospacing="1" w:after="100" w:afterAutospacing="1" w:line="240" w:lineRule="auto"/>
        <w:ind w:left="360"/>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Figure 3.</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made an assumption that a large sigma would be required for a large stretch factor, but it seems as though a sigma of 100 roughly had the optimal accuracy, even at higher stretch factors.</w:t>
      </w:r>
    </w:p>
    <w:p w:rsidR="00B86556" w:rsidRDefault="00B86556" w:rsidP="00B8655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B86556" w:rsidRDefault="00B86556" w:rsidP="00B8655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Trying to figure out if there is a range on </w:t>
      </w:r>
      <w:proofErr w:type="spellStart"/>
      <w:r>
        <w:rPr>
          <w:rFonts w:ascii="Calibri" w:eastAsia="Times New Roman" w:hAnsi="Calibri" w:cs="Times New Roman"/>
          <w:color w:val="000000"/>
          <w:sz w:val="24"/>
          <w:szCs w:val="24"/>
        </w:rPr>
        <w:t>sigmas</w:t>
      </w:r>
      <w:proofErr w:type="spellEnd"/>
      <w:r>
        <w:rPr>
          <w:rFonts w:ascii="Calibri" w:eastAsia="Times New Roman" w:hAnsi="Calibri" w:cs="Times New Roman"/>
          <w:color w:val="000000"/>
          <w:sz w:val="24"/>
          <w:szCs w:val="24"/>
        </w:rPr>
        <w:t xml:space="preserve"> that need to be tested. At the worse, this is an empirical binary search, at best it’s an approximation we can use an equation to determine. </w:t>
      </w:r>
    </w:p>
    <w:p w:rsidR="00B86556" w:rsidRDefault="00B86556"/>
    <w:sectPr w:rsidR="00B8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5752F"/>
    <w:multiLevelType w:val="hybridMultilevel"/>
    <w:tmpl w:val="9692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1DAE"/>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B7"/>
    <w:rsid w:val="006D69D1"/>
    <w:rsid w:val="00832D72"/>
    <w:rsid w:val="00AD5F62"/>
    <w:rsid w:val="00B86556"/>
    <w:rsid w:val="00EA2CED"/>
    <w:rsid w:val="00ED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92562-62B4-42CD-8BA1-34B19878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raduate_School\Braude_Research\Weighted\MADGE\docs\10-19-2019-Sigma-Tes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raduate_School\Braude_Research\Weighted\MADGE\docs\10-20-2019-Sigma-Test-Graphs-Not-Norm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Graduate_School\Braude_Research\Weighted\MADGE\docs\10-20-2019-Sigma-Test-Graphs-Not-Norm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Graduate_School\Braude_Research\Weighted\MADGE\docs\10-20-2019-Sigma-Test-Graphs-Not-Norm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One Dimensional Stretching - Spiral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X1-Y1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'Small X to Large Y'!$A$2:$A$31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Y'!$B$2:$B$31</c:f>
              <c:numCache>
                <c:formatCode>General</c:formatCode>
                <c:ptCount val="30"/>
                <c:pt idx="0">
                  <c:v>0.94</c:v>
                </c:pt>
                <c:pt idx="1">
                  <c:v>0.94</c:v>
                </c:pt>
                <c:pt idx="2">
                  <c:v>0.94</c:v>
                </c:pt>
                <c:pt idx="3">
                  <c:v>0.94</c:v>
                </c:pt>
                <c:pt idx="4">
                  <c:v>0.94</c:v>
                </c:pt>
                <c:pt idx="5">
                  <c:v>0.94</c:v>
                </c:pt>
                <c:pt idx="6">
                  <c:v>0.94</c:v>
                </c:pt>
                <c:pt idx="7">
                  <c:v>0.94</c:v>
                </c:pt>
                <c:pt idx="8">
                  <c:v>0.94</c:v>
                </c:pt>
                <c:pt idx="9">
                  <c:v>0.94</c:v>
                </c:pt>
                <c:pt idx="10">
                  <c:v>0.94</c:v>
                </c:pt>
                <c:pt idx="11">
                  <c:v>0.94</c:v>
                </c:pt>
                <c:pt idx="12">
                  <c:v>0.94</c:v>
                </c:pt>
                <c:pt idx="13">
                  <c:v>0.94</c:v>
                </c:pt>
                <c:pt idx="14">
                  <c:v>0.94</c:v>
                </c:pt>
                <c:pt idx="15">
                  <c:v>0.94</c:v>
                </c:pt>
                <c:pt idx="16">
                  <c:v>0.94</c:v>
                </c:pt>
                <c:pt idx="17">
                  <c:v>0.94</c:v>
                </c:pt>
                <c:pt idx="18">
                  <c:v>0.94</c:v>
                </c:pt>
                <c:pt idx="19">
                  <c:v>0.94</c:v>
                </c:pt>
                <c:pt idx="20">
                  <c:v>0.94</c:v>
                </c:pt>
                <c:pt idx="21">
                  <c:v>0.94</c:v>
                </c:pt>
                <c:pt idx="22">
                  <c:v>0.95</c:v>
                </c:pt>
                <c:pt idx="23">
                  <c:v>0.95</c:v>
                </c:pt>
                <c:pt idx="24">
                  <c:v>0.95</c:v>
                </c:pt>
                <c:pt idx="25">
                  <c:v>0.95</c:v>
                </c:pt>
                <c:pt idx="26">
                  <c:v>0.95</c:v>
                </c:pt>
                <c:pt idx="27">
                  <c:v>0.95</c:v>
                </c:pt>
                <c:pt idx="28">
                  <c:v>0.95</c:v>
                </c:pt>
                <c:pt idx="29">
                  <c:v>0.95</c:v>
                </c:pt>
              </c:numCache>
            </c:numRef>
          </c:yVal>
          <c:smooth val="0"/>
        </c:ser>
        <c:ser>
          <c:idx val="1"/>
          <c:order val="1"/>
          <c:tx>
            <c:v>X1-Y10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'Small X to Large Y'!$D$2:$D$31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Y'!$E$2:$E$31</c:f>
              <c:numCache>
                <c:formatCode>General</c:formatCode>
                <c:ptCount val="30"/>
                <c:pt idx="0">
                  <c:v>0.82</c:v>
                </c:pt>
                <c:pt idx="1">
                  <c:v>0.86</c:v>
                </c:pt>
                <c:pt idx="2">
                  <c:v>0.92</c:v>
                </c:pt>
                <c:pt idx="3">
                  <c:v>0.94</c:v>
                </c:pt>
                <c:pt idx="4">
                  <c:v>0.95</c:v>
                </c:pt>
                <c:pt idx="5">
                  <c:v>0.98</c:v>
                </c:pt>
                <c:pt idx="6">
                  <c:v>0.98</c:v>
                </c:pt>
                <c:pt idx="7">
                  <c:v>0.98</c:v>
                </c:pt>
                <c:pt idx="8">
                  <c:v>0.98</c:v>
                </c:pt>
                <c:pt idx="9">
                  <c:v>0.98</c:v>
                </c:pt>
                <c:pt idx="10">
                  <c:v>0.98</c:v>
                </c:pt>
                <c:pt idx="11">
                  <c:v>0.98</c:v>
                </c:pt>
                <c:pt idx="12">
                  <c:v>0.98</c:v>
                </c:pt>
                <c:pt idx="13">
                  <c:v>0.98</c:v>
                </c:pt>
                <c:pt idx="14">
                  <c:v>0.98</c:v>
                </c:pt>
                <c:pt idx="15">
                  <c:v>0.98</c:v>
                </c:pt>
                <c:pt idx="16">
                  <c:v>0.98</c:v>
                </c:pt>
                <c:pt idx="17">
                  <c:v>0.99</c:v>
                </c:pt>
                <c:pt idx="18">
                  <c:v>0.99</c:v>
                </c:pt>
                <c:pt idx="19">
                  <c:v>0.99</c:v>
                </c:pt>
                <c:pt idx="20">
                  <c:v>0.99</c:v>
                </c:pt>
                <c:pt idx="21">
                  <c:v>0.99</c:v>
                </c:pt>
                <c:pt idx="22">
                  <c:v>0.99</c:v>
                </c:pt>
                <c:pt idx="23">
                  <c:v>0.99</c:v>
                </c:pt>
                <c:pt idx="24">
                  <c:v>0.99</c:v>
                </c:pt>
                <c:pt idx="25">
                  <c:v>0.99</c:v>
                </c:pt>
                <c:pt idx="26">
                  <c:v>0.98</c:v>
                </c:pt>
                <c:pt idx="27">
                  <c:v>0.97</c:v>
                </c:pt>
                <c:pt idx="28">
                  <c:v>0.97</c:v>
                </c:pt>
                <c:pt idx="29">
                  <c:v>0.97</c:v>
                </c:pt>
              </c:numCache>
            </c:numRef>
          </c:yVal>
          <c:smooth val="0"/>
        </c:ser>
        <c:ser>
          <c:idx val="2"/>
          <c:order val="2"/>
          <c:tx>
            <c:v>X1-Y20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'Small X to Large Y'!$G$2:$G$31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Y'!$H$2:$H$31</c:f>
              <c:numCache>
                <c:formatCode>General</c:formatCode>
                <c:ptCount val="30"/>
                <c:pt idx="0">
                  <c:v>0.73</c:v>
                </c:pt>
                <c:pt idx="1">
                  <c:v>0.77</c:v>
                </c:pt>
                <c:pt idx="2">
                  <c:v>0.8</c:v>
                </c:pt>
                <c:pt idx="3">
                  <c:v>0.8</c:v>
                </c:pt>
                <c:pt idx="4">
                  <c:v>0.82</c:v>
                </c:pt>
                <c:pt idx="5">
                  <c:v>0.85</c:v>
                </c:pt>
                <c:pt idx="6">
                  <c:v>0.87</c:v>
                </c:pt>
                <c:pt idx="7">
                  <c:v>0.87</c:v>
                </c:pt>
                <c:pt idx="8">
                  <c:v>0.87</c:v>
                </c:pt>
                <c:pt idx="9">
                  <c:v>0.91</c:v>
                </c:pt>
                <c:pt idx="10">
                  <c:v>0.93</c:v>
                </c:pt>
                <c:pt idx="11">
                  <c:v>0.92</c:v>
                </c:pt>
                <c:pt idx="12">
                  <c:v>0.94</c:v>
                </c:pt>
                <c:pt idx="13">
                  <c:v>0.95</c:v>
                </c:pt>
                <c:pt idx="14">
                  <c:v>0.94</c:v>
                </c:pt>
                <c:pt idx="15">
                  <c:v>0.94</c:v>
                </c:pt>
                <c:pt idx="16">
                  <c:v>0.9</c:v>
                </c:pt>
                <c:pt idx="17">
                  <c:v>0.88</c:v>
                </c:pt>
                <c:pt idx="18">
                  <c:v>0.87</c:v>
                </c:pt>
                <c:pt idx="19">
                  <c:v>0.86</c:v>
                </c:pt>
                <c:pt idx="20">
                  <c:v>0.86</c:v>
                </c:pt>
                <c:pt idx="21">
                  <c:v>0.85</c:v>
                </c:pt>
                <c:pt idx="22">
                  <c:v>0.85</c:v>
                </c:pt>
                <c:pt idx="23">
                  <c:v>0.84</c:v>
                </c:pt>
                <c:pt idx="24">
                  <c:v>0.84</c:v>
                </c:pt>
                <c:pt idx="25">
                  <c:v>0.84</c:v>
                </c:pt>
                <c:pt idx="26">
                  <c:v>0.82</c:v>
                </c:pt>
                <c:pt idx="27">
                  <c:v>0.82</c:v>
                </c:pt>
                <c:pt idx="28">
                  <c:v>0.82</c:v>
                </c:pt>
                <c:pt idx="29">
                  <c:v>0.82</c:v>
                </c:pt>
              </c:numCache>
            </c:numRef>
          </c:yVal>
          <c:smooth val="0"/>
        </c:ser>
        <c:ser>
          <c:idx val="3"/>
          <c:order val="3"/>
          <c:tx>
            <c:v>X1-Y50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'Small X to Large Y'!$J$2:$J$31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Y'!$K$2:$K$31</c:f>
              <c:numCache>
                <c:formatCode>General</c:formatCode>
                <c:ptCount val="30"/>
                <c:pt idx="0">
                  <c:v>0.44</c:v>
                </c:pt>
                <c:pt idx="1">
                  <c:v>0.44</c:v>
                </c:pt>
                <c:pt idx="2">
                  <c:v>0.47</c:v>
                </c:pt>
                <c:pt idx="3">
                  <c:v>0.48</c:v>
                </c:pt>
                <c:pt idx="4">
                  <c:v>0.51</c:v>
                </c:pt>
                <c:pt idx="5">
                  <c:v>0.54</c:v>
                </c:pt>
                <c:pt idx="6">
                  <c:v>0.56000000000000005</c:v>
                </c:pt>
                <c:pt idx="7">
                  <c:v>0.55000000000000004</c:v>
                </c:pt>
                <c:pt idx="8">
                  <c:v>0.55000000000000004</c:v>
                </c:pt>
                <c:pt idx="9">
                  <c:v>0.55000000000000004</c:v>
                </c:pt>
                <c:pt idx="10">
                  <c:v>0.55000000000000004</c:v>
                </c:pt>
                <c:pt idx="11">
                  <c:v>0.55000000000000004</c:v>
                </c:pt>
                <c:pt idx="12">
                  <c:v>0.54</c:v>
                </c:pt>
                <c:pt idx="13">
                  <c:v>0.53</c:v>
                </c:pt>
                <c:pt idx="14">
                  <c:v>0.53</c:v>
                </c:pt>
                <c:pt idx="15">
                  <c:v>0.53</c:v>
                </c:pt>
                <c:pt idx="16">
                  <c:v>0.53</c:v>
                </c:pt>
                <c:pt idx="17">
                  <c:v>0.52</c:v>
                </c:pt>
                <c:pt idx="18">
                  <c:v>0.52</c:v>
                </c:pt>
                <c:pt idx="19">
                  <c:v>0.5</c:v>
                </c:pt>
                <c:pt idx="20">
                  <c:v>0.5</c:v>
                </c:pt>
                <c:pt idx="21">
                  <c:v>0.5</c:v>
                </c:pt>
                <c:pt idx="22">
                  <c:v>0.51</c:v>
                </c:pt>
                <c:pt idx="23">
                  <c:v>0.51</c:v>
                </c:pt>
                <c:pt idx="24">
                  <c:v>0.51</c:v>
                </c:pt>
                <c:pt idx="25">
                  <c:v>0.51</c:v>
                </c:pt>
                <c:pt idx="26">
                  <c:v>0.5</c:v>
                </c:pt>
                <c:pt idx="27">
                  <c:v>0.5</c:v>
                </c:pt>
                <c:pt idx="28">
                  <c:v>0.5</c:v>
                </c:pt>
                <c:pt idx="29">
                  <c:v>0.5</c:v>
                </c:pt>
              </c:numCache>
            </c:numRef>
          </c:yVal>
          <c:smooth val="0"/>
        </c:ser>
        <c:ser>
          <c:idx val="4"/>
          <c:order val="4"/>
          <c:tx>
            <c:v>X1-Y100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'Small X to Large Y'!$M$2:$M$31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Y'!$N$2:$N$31</c:f>
              <c:numCache>
                <c:formatCode>General</c:formatCode>
                <c:ptCount val="30"/>
                <c:pt idx="0">
                  <c:v>0.59</c:v>
                </c:pt>
                <c:pt idx="1">
                  <c:v>0.52</c:v>
                </c:pt>
                <c:pt idx="2">
                  <c:v>0.5</c:v>
                </c:pt>
                <c:pt idx="3">
                  <c:v>0.41</c:v>
                </c:pt>
                <c:pt idx="4">
                  <c:v>0.41</c:v>
                </c:pt>
                <c:pt idx="5">
                  <c:v>0.39</c:v>
                </c:pt>
                <c:pt idx="6">
                  <c:v>0.38</c:v>
                </c:pt>
                <c:pt idx="7">
                  <c:v>0.38</c:v>
                </c:pt>
                <c:pt idx="8">
                  <c:v>0.38</c:v>
                </c:pt>
                <c:pt idx="9">
                  <c:v>0.38</c:v>
                </c:pt>
                <c:pt idx="10">
                  <c:v>0.37</c:v>
                </c:pt>
                <c:pt idx="11">
                  <c:v>0.37</c:v>
                </c:pt>
                <c:pt idx="12">
                  <c:v>0.37</c:v>
                </c:pt>
                <c:pt idx="13">
                  <c:v>0.37</c:v>
                </c:pt>
                <c:pt idx="14">
                  <c:v>0.37</c:v>
                </c:pt>
                <c:pt idx="15">
                  <c:v>0.37</c:v>
                </c:pt>
                <c:pt idx="16">
                  <c:v>0.36</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numCache>
            </c:numRef>
          </c:yVal>
          <c:smooth val="0"/>
        </c:ser>
        <c:ser>
          <c:idx val="5"/>
          <c:order val="5"/>
          <c:tx>
            <c:v>X1-Y1000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'Small X to Large Y'!$P$2:$P$31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Y'!$Q$2:$Q$31</c:f>
              <c:numCache>
                <c:formatCode>General</c:formatCode>
                <c:ptCount val="30"/>
                <c:pt idx="0">
                  <c:v>0.18</c:v>
                </c:pt>
                <c:pt idx="1">
                  <c:v>0.16</c:v>
                </c:pt>
                <c:pt idx="2">
                  <c:v>0.15</c:v>
                </c:pt>
                <c:pt idx="3">
                  <c:v>0.15</c:v>
                </c:pt>
                <c:pt idx="4">
                  <c:v>0.15</c:v>
                </c:pt>
                <c:pt idx="5">
                  <c:v>0.14000000000000001</c:v>
                </c:pt>
                <c:pt idx="6">
                  <c:v>0.14000000000000001</c:v>
                </c:pt>
                <c:pt idx="7">
                  <c:v>0.14000000000000001</c:v>
                </c:pt>
                <c:pt idx="8">
                  <c:v>0.13</c:v>
                </c:pt>
                <c:pt idx="9">
                  <c:v>0.13</c:v>
                </c:pt>
                <c:pt idx="10">
                  <c:v>0.13</c:v>
                </c:pt>
                <c:pt idx="11">
                  <c:v>0.13</c:v>
                </c:pt>
                <c:pt idx="12">
                  <c:v>0.13</c:v>
                </c:pt>
                <c:pt idx="13">
                  <c:v>0.13</c:v>
                </c:pt>
                <c:pt idx="14">
                  <c:v>0.13</c:v>
                </c:pt>
                <c:pt idx="15">
                  <c:v>0.13</c:v>
                </c:pt>
                <c:pt idx="16">
                  <c:v>0.13</c:v>
                </c:pt>
                <c:pt idx="17">
                  <c:v>0.13</c:v>
                </c:pt>
                <c:pt idx="18">
                  <c:v>0.13</c:v>
                </c:pt>
                <c:pt idx="19">
                  <c:v>0.13</c:v>
                </c:pt>
                <c:pt idx="20">
                  <c:v>0.13</c:v>
                </c:pt>
                <c:pt idx="21">
                  <c:v>0.13</c:v>
                </c:pt>
                <c:pt idx="22">
                  <c:v>0.13</c:v>
                </c:pt>
                <c:pt idx="23">
                  <c:v>0.13</c:v>
                </c:pt>
                <c:pt idx="24">
                  <c:v>0.13</c:v>
                </c:pt>
                <c:pt idx="25">
                  <c:v>0.13</c:v>
                </c:pt>
                <c:pt idx="26">
                  <c:v>0.13</c:v>
                </c:pt>
                <c:pt idx="27">
                  <c:v>0.13</c:v>
                </c:pt>
                <c:pt idx="28">
                  <c:v>0.13</c:v>
                </c:pt>
                <c:pt idx="29">
                  <c:v>0.13</c:v>
                </c:pt>
              </c:numCache>
            </c:numRef>
          </c:yVal>
          <c:smooth val="0"/>
        </c:ser>
        <c:dLbls>
          <c:showLegendKey val="0"/>
          <c:showVal val="0"/>
          <c:showCatName val="0"/>
          <c:showSerName val="0"/>
          <c:showPercent val="0"/>
          <c:showBubbleSize val="0"/>
        </c:dLbls>
        <c:axId val="226275328"/>
        <c:axId val="226275888"/>
      </c:scatterChart>
      <c:valAx>
        <c:axId val="226275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275888"/>
        <c:crosses val="autoZero"/>
        <c:crossBetween val="midCat"/>
      </c:valAx>
      <c:valAx>
        <c:axId val="2262758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275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 1 to</a:t>
            </a:r>
            <a:r>
              <a:rPr lang="en-US" baseline="0"/>
              <a:t> 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"1-1"</c:v>
          </c:tx>
          <c:spPr>
            <a:ln w="25400" cap="rnd">
              <a:noFill/>
              <a:round/>
            </a:ln>
            <a:effectLst/>
          </c:spPr>
          <c:marker>
            <c:symbol val="circle"/>
            <c:size val="5"/>
            <c:spPr>
              <a:solidFill>
                <a:schemeClr val="accent1"/>
              </a:solidFill>
              <a:ln w="9525">
                <a:solidFill>
                  <a:schemeClr val="accent1"/>
                </a:solidFill>
              </a:ln>
              <a:effectLst/>
            </c:spPr>
          </c:marker>
          <c:xVal>
            <c:numRef>
              <c:f>Sheet1!$A$2:$A$51</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Sheet1!$B$2:$B$51</c:f>
              <c:numCache>
                <c:formatCode>General</c:formatCode>
                <c:ptCount val="50"/>
                <c:pt idx="0">
                  <c:v>0</c:v>
                </c:pt>
                <c:pt idx="1">
                  <c:v>0</c:v>
                </c:pt>
                <c:pt idx="2">
                  <c:v>0</c:v>
                </c:pt>
                <c:pt idx="3">
                  <c:v>0</c:v>
                </c:pt>
                <c:pt idx="4">
                  <c:v>0</c:v>
                </c:pt>
                <c:pt idx="5">
                  <c:v>0</c:v>
                </c:pt>
                <c:pt idx="6">
                  <c:v>0</c:v>
                </c:pt>
                <c:pt idx="7">
                  <c:v>0.01</c:v>
                </c:pt>
                <c:pt idx="8">
                  <c:v>0.03</c:v>
                </c:pt>
                <c:pt idx="9">
                  <c:v>0.16</c:v>
                </c:pt>
                <c:pt idx="10">
                  <c:v>0.35</c:v>
                </c:pt>
                <c:pt idx="11">
                  <c:v>0.56000000000000005</c:v>
                </c:pt>
                <c:pt idx="12">
                  <c:v>0.69</c:v>
                </c:pt>
                <c:pt idx="13">
                  <c:v>0.87</c:v>
                </c:pt>
                <c:pt idx="14">
                  <c:v>0.9</c:v>
                </c:pt>
                <c:pt idx="15">
                  <c:v>0.91</c:v>
                </c:pt>
                <c:pt idx="16">
                  <c:v>0.92</c:v>
                </c:pt>
                <c:pt idx="17">
                  <c:v>0.92</c:v>
                </c:pt>
                <c:pt idx="18">
                  <c:v>0.92</c:v>
                </c:pt>
                <c:pt idx="19">
                  <c:v>0.93</c:v>
                </c:pt>
                <c:pt idx="20">
                  <c:v>0.94</c:v>
                </c:pt>
                <c:pt idx="21">
                  <c:v>0.94</c:v>
                </c:pt>
                <c:pt idx="22">
                  <c:v>0.94</c:v>
                </c:pt>
                <c:pt idx="23">
                  <c:v>0.95</c:v>
                </c:pt>
                <c:pt idx="24">
                  <c:v>0.95</c:v>
                </c:pt>
                <c:pt idx="25">
                  <c:v>0.95</c:v>
                </c:pt>
                <c:pt idx="26">
                  <c:v>0.95</c:v>
                </c:pt>
                <c:pt idx="27">
                  <c:v>0.95</c:v>
                </c:pt>
                <c:pt idx="28">
                  <c:v>0.95</c:v>
                </c:pt>
                <c:pt idx="29">
                  <c:v>0.95</c:v>
                </c:pt>
                <c:pt idx="30">
                  <c:v>0.96</c:v>
                </c:pt>
                <c:pt idx="31">
                  <c:v>0.96</c:v>
                </c:pt>
                <c:pt idx="32">
                  <c:v>0.96</c:v>
                </c:pt>
                <c:pt idx="33">
                  <c:v>0.97</c:v>
                </c:pt>
                <c:pt idx="34">
                  <c:v>0.97</c:v>
                </c:pt>
                <c:pt idx="35">
                  <c:v>0.97</c:v>
                </c:pt>
                <c:pt idx="36">
                  <c:v>0.97</c:v>
                </c:pt>
                <c:pt idx="37">
                  <c:v>0.97</c:v>
                </c:pt>
                <c:pt idx="38">
                  <c:v>0.98</c:v>
                </c:pt>
                <c:pt idx="39">
                  <c:v>0.98</c:v>
                </c:pt>
                <c:pt idx="40">
                  <c:v>0.98</c:v>
                </c:pt>
                <c:pt idx="41">
                  <c:v>0.98</c:v>
                </c:pt>
                <c:pt idx="42">
                  <c:v>0.98</c:v>
                </c:pt>
                <c:pt idx="43">
                  <c:v>0.98</c:v>
                </c:pt>
                <c:pt idx="44">
                  <c:v>0.98</c:v>
                </c:pt>
                <c:pt idx="45">
                  <c:v>0.98</c:v>
                </c:pt>
                <c:pt idx="46">
                  <c:v>0.98</c:v>
                </c:pt>
                <c:pt idx="47">
                  <c:v>0.98</c:v>
                </c:pt>
                <c:pt idx="48">
                  <c:v>0.98</c:v>
                </c:pt>
                <c:pt idx="49">
                  <c:v>0.98</c:v>
                </c:pt>
              </c:numCache>
            </c:numRef>
          </c:yVal>
          <c:smooth val="0"/>
        </c:ser>
        <c:ser>
          <c:idx val="1"/>
          <c:order val="1"/>
          <c:tx>
            <c:v>"1-10"</c:v>
          </c:tx>
          <c:spPr>
            <a:ln w="25400" cap="rnd">
              <a:noFill/>
              <a:round/>
            </a:ln>
            <a:effectLst/>
          </c:spPr>
          <c:marker>
            <c:symbol val="circle"/>
            <c:size val="5"/>
            <c:spPr>
              <a:solidFill>
                <a:schemeClr val="accent2"/>
              </a:solidFill>
              <a:ln w="9525">
                <a:solidFill>
                  <a:schemeClr val="accent2"/>
                </a:solidFill>
              </a:ln>
              <a:effectLst/>
            </c:spPr>
          </c:marker>
          <c:xVal>
            <c:numRef>
              <c:f>Sheet1!$A$54:$A$103</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Sheet1!$B$54:$B$103</c:f>
              <c:numCache>
                <c:formatCode>General</c:formatCode>
                <c:ptCount val="50"/>
                <c:pt idx="0">
                  <c:v>0</c:v>
                </c:pt>
                <c:pt idx="1">
                  <c:v>0</c:v>
                </c:pt>
                <c:pt idx="2">
                  <c:v>0</c:v>
                </c:pt>
                <c:pt idx="3">
                  <c:v>0</c:v>
                </c:pt>
                <c:pt idx="4">
                  <c:v>0</c:v>
                </c:pt>
                <c:pt idx="5">
                  <c:v>0</c:v>
                </c:pt>
                <c:pt idx="6">
                  <c:v>0.02</c:v>
                </c:pt>
                <c:pt idx="7">
                  <c:v>0.06</c:v>
                </c:pt>
                <c:pt idx="8">
                  <c:v>0.08</c:v>
                </c:pt>
                <c:pt idx="9">
                  <c:v>0.09</c:v>
                </c:pt>
                <c:pt idx="10">
                  <c:v>0.11</c:v>
                </c:pt>
                <c:pt idx="11">
                  <c:v>0.11</c:v>
                </c:pt>
                <c:pt idx="12">
                  <c:v>0.13</c:v>
                </c:pt>
                <c:pt idx="13">
                  <c:v>0.17</c:v>
                </c:pt>
                <c:pt idx="14">
                  <c:v>0.28999999999999998</c:v>
                </c:pt>
                <c:pt idx="15">
                  <c:v>0.37</c:v>
                </c:pt>
                <c:pt idx="16">
                  <c:v>0.4</c:v>
                </c:pt>
                <c:pt idx="17">
                  <c:v>0.4</c:v>
                </c:pt>
                <c:pt idx="18">
                  <c:v>0.41</c:v>
                </c:pt>
                <c:pt idx="19">
                  <c:v>0.43</c:v>
                </c:pt>
                <c:pt idx="20">
                  <c:v>0.45</c:v>
                </c:pt>
                <c:pt idx="21">
                  <c:v>0.46</c:v>
                </c:pt>
                <c:pt idx="22">
                  <c:v>0.46</c:v>
                </c:pt>
                <c:pt idx="23">
                  <c:v>0.47</c:v>
                </c:pt>
                <c:pt idx="24">
                  <c:v>0.47</c:v>
                </c:pt>
                <c:pt idx="25">
                  <c:v>0.48</c:v>
                </c:pt>
                <c:pt idx="26">
                  <c:v>0.49</c:v>
                </c:pt>
                <c:pt idx="27">
                  <c:v>0.5</c:v>
                </c:pt>
                <c:pt idx="28">
                  <c:v>0.52</c:v>
                </c:pt>
                <c:pt idx="29">
                  <c:v>0.53</c:v>
                </c:pt>
                <c:pt idx="30">
                  <c:v>0.53</c:v>
                </c:pt>
                <c:pt idx="31">
                  <c:v>0.56999999999999995</c:v>
                </c:pt>
                <c:pt idx="32">
                  <c:v>0.62</c:v>
                </c:pt>
                <c:pt idx="33">
                  <c:v>0.65</c:v>
                </c:pt>
                <c:pt idx="34">
                  <c:v>0.68</c:v>
                </c:pt>
                <c:pt idx="35">
                  <c:v>0.72</c:v>
                </c:pt>
                <c:pt idx="36">
                  <c:v>0.75</c:v>
                </c:pt>
                <c:pt idx="37">
                  <c:v>0.78</c:v>
                </c:pt>
                <c:pt idx="38">
                  <c:v>0.8</c:v>
                </c:pt>
                <c:pt idx="39">
                  <c:v>0.82</c:v>
                </c:pt>
                <c:pt idx="40">
                  <c:v>0.84</c:v>
                </c:pt>
                <c:pt idx="41">
                  <c:v>0.86</c:v>
                </c:pt>
                <c:pt idx="42">
                  <c:v>0.88</c:v>
                </c:pt>
                <c:pt idx="43">
                  <c:v>0.89</c:v>
                </c:pt>
                <c:pt idx="44">
                  <c:v>0.9</c:v>
                </c:pt>
                <c:pt idx="45">
                  <c:v>0.9</c:v>
                </c:pt>
                <c:pt idx="46">
                  <c:v>0.9</c:v>
                </c:pt>
                <c:pt idx="47">
                  <c:v>0.9</c:v>
                </c:pt>
                <c:pt idx="48">
                  <c:v>0.91</c:v>
                </c:pt>
                <c:pt idx="49">
                  <c:v>0.92</c:v>
                </c:pt>
              </c:numCache>
            </c:numRef>
          </c:yVal>
          <c:smooth val="0"/>
        </c:ser>
        <c:ser>
          <c:idx val="2"/>
          <c:order val="2"/>
          <c:tx>
            <c:v>"1-20"</c:v>
          </c:tx>
          <c:spPr>
            <a:ln w="25400" cap="rnd">
              <a:noFill/>
              <a:round/>
            </a:ln>
            <a:effectLst/>
          </c:spPr>
          <c:marker>
            <c:symbol val="circle"/>
            <c:size val="5"/>
            <c:spPr>
              <a:solidFill>
                <a:schemeClr val="accent3"/>
              </a:solidFill>
              <a:ln w="9525">
                <a:solidFill>
                  <a:schemeClr val="accent3"/>
                </a:solidFill>
              </a:ln>
              <a:effectLst/>
            </c:spPr>
          </c:marker>
          <c:xVal>
            <c:numRef>
              <c:f>Sheet1!$A$106:$A$155</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Sheet1!$B$106:$B$155</c:f>
              <c:numCache>
                <c:formatCode>General</c:formatCode>
                <c:ptCount val="50"/>
                <c:pt idx="0">
                  <c:v>0</c:v>
                </c:pt>
                <c:pt idx="1">
                  <c:v>0</c:v>
                </c:pt>
                <c:pt idx="2">
                  <c:v>0</c:v>
                </c:pt>
                <c:pt idx="3">
                  <c:v>0</c:v>
                </c:pt>
                <c:pt idx="4">
                  <c:v>0</c:v>
                </c:pt>
                <c:pt idx="5">
                  <c:v>0</c:v>
                </c:pt>
                <c:pt idx="6">
                  <c:v>0.02</c:v>
                </c:pt>
                <c:pt idx="7">
                  <c:v>0.1</c:v>
                </c:pt>
                <c:pt idx="8">
                  <c:v>0.1</c:v>
                </c:pt>
                <c:pt idx="9">
                  <c:v>0.1</c:v>
                </c:pt>
                <c:pt idx="10">
                  <c:v>0.1</c:v>
                </c:pt>
                <c:pt idx="11">
                  <c:v>0.1</c:v>
                </c:pt>
                <c:pt idx="12">
                  <c:v>0.1</c:v>
                </c:pt>
                <c:pt idx="13">
                  <c:v>0.1</c:v>
                </c:pt>
                <c:pt idx="14">
                  <c:v>0.11</c:v>
                </c:pt>
                <c:pt idx="15">
                  <c:v>0.13</c:v>
                </c:pt>
                <c:pt idx="16">
                  <c:v>0.19</c:v>
                </c:pt>
                <c:pt idx="17">
                  <c:v>0.31</c:v>
                </c:pt>
                <c:pt idx="18">
                  <c:v>0.33</c:v>
                </c:pt>
                <c:pt idx="19">
                  <c:v>0.33</c:v>
                </c:pt>
                <c:pt idx="20">
                  <c:v>0.33</c:v>
                </c:pt>
                <c:pt idx="21">
                  <c:v>0.34</c:v>
                </c:pt>
                <c:pt idx="22">
                  <c:v>0.35</c:v>
                </c:pt>
                <c:pt idx="23">
                  <c:v>0.36</c:v>
                </c:pt>
                <c:pt idx="24">
                  <c:v>0.36</c:v>
                </c:pt>
                <c:pt idx="25">
                  <c:v>0.38</c:v>
                </c:pt>
                <c:pt idx="26">
                  <c:v>0.39</c:v>
                </c:pt>
                <c:pt idx="27">
                  <c:v>0.39</c:v>
                </c:pt>
                <c:pt idx="28">
                  <c:v>0.41</c:v>
                </c:pt>
                <c:pt idx="29">
                  <c:v>0.42</c:v>
                </c:pt>
                <c:pt idx="30">
                  <c:v>0.43</c:v>
                </c:pt>
                <c:pt idx="31">
                  <c:v>0.43</c:v>
                </c:pt>
                <c:pt idx="32">
                  <c:v>0.44</c:v>
                </c:pt>
                <c:pt idx="33">
                  <c:v>0.45</c:v>
                </c:pt>
                <c:pt idx="34">
                  <c:v>0.48</c:v>
                </c:pt>
                <c:pt idx="35">
                  <c:v>0.48</c:v>
                </c:pt>
                <c:pt idx="36">
                  <c:v>0.48</c:v>
                </c:pt>
                <c:pt idx="37">
                  <c:v>0.48</c:v>
                </c:pt>
                <c:pt idx="38">
                  <c:v>0.49</c:v>
                </c:pt>
                <c:pt idx="39">
                  <c:v>0.51</c:v>
                </c:pt>
                <c:pt idx="40">
                  <c:v>0.53</c:v>
                </c:pt>
                <c:pt idx="41">
                  <c:v>0.56000000000000005</c:v>
                </c:pt>
                <c:pt idx="42">
                  <c:v>0.57999999999999996</c:v>
                </c:pt>
                <c:pt idx="43">
                  <c:v>0.59</c:v>
                </c:pt>
                <c:pt idx="44">
                  <c:v>0.6</c:v>
                </c:pt>
                <c:pt idx="45">
                  <c:v>0.61</c:v>
                </c:pt>
                <c:pt idx="46">
                  <c:v>0.62</c:v>
                </c:pt>
                <c:pt idx="47">
                  <c:v>0.64</c:v>
                </c:pt>
                <c:pt idx="48">
                  <c:v>0.65</c:v>
                </c:pt>
                <c:pt idx="49">
                  <c:v>0.65</c:v>
                </c:pt>
              </c:numCache>
            </c:numRef>
          </c:yVal>
          <c:smooth val="0"/>
        </c:ser>
        <c:ser>
          <c:idx val="3"/>
          <c:order val="3"/>
          <c:tx>
            <c:v>"10-1"</c:v>
          </c:tx>
          <c:spPr>
            <a:ln w="25400" cap="rnd">
              <a:noFill/>
              <a:round/>
            </a:ln>
            <a:effectLst/>
          </c:spPr>
          <c:marker>
            <c:symbol val="circle"/>
            <c:size val="5"/>
            <c:spPr>
              <a:solidFill>
                <a:schemeClr val="accent4"/>
              </a:solidFill>
              <a:ln w="9525">
                <a:solidFill>
                  <a:schemeClr val="accent4"/>
                </a:solidFill>
              </a:ln>
              <a:effectLst/>
            </c:spPr>
          </c:marker>
          <c:xVal>
            <c:numRef>
              <c:f>Sheet1!$A$158:$A$207</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Sheet1!$B$158:$B$207</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0.06</c:v>
                </c:pt>
                <c:pt idx="12">
                  <c:v>0.08</c:v>
                </c:pt>
                <c:pt idx="13">
                  <c:v>0.09</c:v>
                </c:pt>
                <c:pt idx="14">
                  <c:v>0.13</c:v>
                </c:pt>
                <c:pt idx="15">
                  <c:v>0.18</c:v>
                </c:pt>
                <c:pt idx="16">
                  <c:v>0.19</c:v>
                </c:pt>
                <c:pt idx="17">
                  <c:v>0.26</c:v>
                </c:pt>
                <c:pt idx="18">
                  <c:v>0.36</c:v>
                </c:pt>
                <c:pt idx="19">
                  <c:v>0.41</c:v>
                </c:pt>
                <c:pt idx="20">
                  <c:v>0.44</c:v>
                </c:pt>
                <c:pt idx="21">
                  <c:v>0.45</c:v>
                </c:pt>
                <c:pt idx="22">
                  <c:v>0.48</c:v>
                </c:pt>
                <c:pt idx="23">
                  <c:v>0.52</c:v>
                </c:pt>
                <c:pt idx="24">
                  <c:v>0.54</c:v>
                </c:pt>
                <c:pt idx="25">
                  <c:v>0.55000000000000004</c:v>
                </c:pt>
                <c:pt idx="26">
                  <c:v>0.56000000000000005</c:v>
                </c:pt>
                <c:pt idx="27">
                  <c:v>0.56000000000000005</c:v>
                </c:pt>
                <c:pt idx="28">
                  <c:v>0.57999999999999996</c:v>
                </c:pt>
                <c:pt idx="29">
                  <c:v>0.57999999999999996</c:v>
                </c:pt>
                <c:pt idx="30">
                  <c:v>0.6</c:v>
                </c:pt>
                <c:pt idx="31">
                  <c:v>0.61</c:v>
                </c:pt>
                <c:pt idx="32">
                  <c:v>0.62</c:v>
                </c:pt>
                <c:pt idx="33">
                  <c:v>0.62</c:v>
                </c:pt>
                <c:pt idx="34">
                  <c:v>0.64</c:v>
                </c:pt>
                <c:pt idx="35">
                  <c:v>0.68</c:v>
                </c:pt>
                <c:pt idx="36">
                  <c:v>0.68</c:v>
                </c:pt>
                <c:pt idx="37">
                  <c:v>0.68</c:v>
                </c:pt>
                <c:pt idx="38">
                  <c:v>0.7</c:v>
                </c:pt>
                <c:pt idx="39">
                  <c:v>0.73</c:v>
                </c:pt>
                <c:pt idx="40">
                  <c:v>0.76</c:v>
                </c:pt>
                <c:pt idx="41">
                  <c:v>0.77</c:v>
                </c:pt>
                <c:pt idx="42">
                  <c:v>0.77</c:v>
                </c:pt>
                <c:pt idx="43">
                  <c:v>0.78</c:v>
                </c:pt>
                <c:pt idx="44">
                  <c:v>0.79</c:v>
                </c:pt>
                <c:pt idx="45">
                  <c:v>0.8</c:v>
                </c:pt>
                <c:pt idx="46">
                  <c:v>0.81</c:v>
                </c:pt>
                <c:pt idx="47">
                  <c:v>0.82</c:v>
                </c:pt>
                <c:pt idx="48">
                  <c:v>0.82</c:v>
                </c:pt>
                <c:pt idx="49">
                  <c:v>0.83</c:v>
                </c:pt>
              </c:numCache>
            </c:numRef>
          </c:yVal>
          <c:smooth val="0"/>
        </c:ser>
        <c:ser>
          <c:idx val="4"/>
          <c:order val="4"/>
          <c:tx>
            <c:v>"10-10"</c:v>
          </c:tx>
          <c:spPr>
            <a:ln w="25400" cap="rnd">
              <a:noFill/>
              <a:round/>
            </a:ln>
            <a:effectLst/>
          </c:spPr>
          <c:marker>
            <c:symbol val="circle"/>
            <c:size val="5"/>
            <c:spPr>
              <a:solidFill>
                <a:schemeClr val="accent5"/>
              </a:solidFill>
              <a:ln w="9525">
                <a:solidFill>
                  <a:schemeClr val="accent5"/>
                </a:solidFill>
              </a:ln>
              <a:effectLst/>
            </c:spPr>
          </c:marker>
          <c:xVal>
            <c:numRef>
              <c:f>Sheet1!$A$210:$A$259</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Sheet1!$B$210:$B$259</c:f>
              <c:numCache>
                <c:formatCode>General</c:formatCode>
                <c:ptCount val="50"/>
                <c:pt idx="0">
                  <c:v>0</c:v>
                </c:pt>
                <c:pt idx="1">
                  <c:v>0</c:v>
                </c:pt>
                <c:pt idx="2">
                  <c:v>0</c:v>
                </c:pt>
                <c:pt idx="3">
                  <c:v>0</c:v>
                </c:pt>
                <c:pt idx="4">
                  <c:v>0</c:v>
                </c:pt>
                <c:pt idx="5">
                  <c:v>0</c:v>
                </c:pt>
                <c:pt idx="6">
                  <c:v>0</c:v>
                </c:pt>
                <c:pt idx="7">
                  <c:v>0</c:v>
                </c:pt>
                <c:pt idx="8">
                  <c:v>0.1</c:v>
                </c:pt>
                <c:pt idx="9">
                  <c:v>0.22</c:v>
                </c:pt>
                <c:pt idx="10">
                  <c:v>0.28999999999999998</c:v>
                </c:pt>
                <c:pt idx="11">
                  <c:v>0.59</c:v>
                </c:pt>
                <c:pt idx="12">
                  <c:v>0.84</c:v>
                </c:pt>
                <c:pt idx="13">
                  <c:v>0.86</c:v>
                </c:pt>
                <c:pt idx="14">
                  <c:v>0.9</c:v>
                </c:pt>
                <c:pt idx="15">
                  <c:v>0.92</c:v>
                </c:pt>
                <c:pt idx="16">
                  <c:v>0.92</c:v>
                </c:pt>
                <c:pt idx="17">
                  <c:v>0.92</c:v>
                </c:pt>
                <c:pt idx="18">
                  <c:v>0.92</c:v>
                </c:pt>
                <c:pt idx="19">
                  <c:v>0.93</c:v>
                </c:pt>
                <c:pt idx="20">
                  <c:v>0.94</c:v>
                </c:pt>
                <c:pt idx="21">
                  <c:v>0.94</c:v>
                </c:pt>
                <c:pt idx="22">
                  <c:v>0.95</c:v>
                </c:pt>
                <c:pt idx="23">
                  <c:v>0.95</c:v>
                </c:pt>
                <c:pt idx="24">
                  <c:v>0.95</c:v>
                </c:pt>
                <c:pt idx="25">
                  <c:v>0.95</c:v>
                </c:pt>
                <c:pt idx="26">
                  <c:v>0.96</c:v>
                </c:pt>
                <c:pt idx="27">
                  <c:v>0.97</c:v>
                </c:pt>
                <c:pt idx="28">
                  <c:v>0.97</c:v>
                </c:pt>
                <c:pt idx="29">
                  <c:v>0.97</c:v>
                </c:pt>
                <c:pt idx="30">
                  <c:v>0.97</c:v>
                </c:pt>
                <c:pt idx="31">
                  <c:v>0.97</c:v>
                </c:pt>
                <c:pt idx="32">
                  <c:v>0.98</c:v>
                </c:pt>
                <c:pt idx="33">
                  <c:v>0.98</c:v>
                </c:pt>
                <c:pt idx="34">
                  <c:v>0.98</c:v>
                </c:pt>
                <c:pt idx="35">
                  <c:v>0.98</c:v>
                </c:pt>
                <c:pt idx="36">
                  <c:v>0.99</c:v>
                </c:pt>
                <c:pt idx="37">
                  <c:v>0.99</c:v>
                </c:pt>
                <c:pt idx="38">
                  <c:v>0.99</c:v>
                </c:pt>
                <c:pt idx="39">
                  <c:v>0.99</c:v>
                </c:pt>
                <c:pt idx="40">
                  <c:v>0.99</c:v>
                </c:pt>
                <c:pt idx="41">
                  <c:v>0.99</c:v>
                </c:pt>
                <c:pt idx="42">
                  <c:v>0.99</c:v>
                </c:pt>
                <c:pt idx="43">
                  <c:v>0.99</c:v>
                </c:pt>
                <c:pt idx="44">
                  <c:v>0.99</c:v>
                </c:pt>
                <c:pt idx="45">
                  <c:v>0.99</c:v>
                </c:pt>
                <c:pt idx="46">
                  <c:v>0.99</c:v>
                </c:pt>
                <c:pt idx="47">
                  <c:v>0.99</c:v>
                </c:pt>
                <c:pt idx="48">
                  <c:v>1</c:v>
                </c:pt>
                <c:pt idx="49">
                  <c:v>1</c:v>
                </c:pt>
              </c:numCache>
            </c:numRef>
          </c:yVal>
          <c:smooth val="0"/>
        </c:ser>
        <c:ser>
          <c:idx val="5"/>
          <c:order val="5"/>
          <c:tx>
            <c:v>"20-10"</c:v>
          </c:tx>
          <c:spPr>
            <a:ln w="25400" cap="rnd">
              <a:noFill/>
              <a:round/>
            </a:ln>
            <a:effectLst/>
          </c:spPr>
          <c:marker>
            <c:symbol val="circle"/>
            <c:size val="5"/>
            <c:spPr>
              <a:solidFill>
                <a:schemeClr val="accent6"/>
              </a:solidFill>
              <a:ln w="9525">
                <a:solidFill>
                  <a:schemeClr val="accent6"/>
                </a:solidFill>
              </a:ln>
              <a:effectLst/>
            </c:spPr>
          </c:marker>
          <c:xVal>
            <c:numRef>
              <c:f>Sheet1!$A$262:$A$415</c:f>
              <c:numCache>
                <c:formatCode>General</c:formatCode>
                <c:ptCount val="154"/>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pt idx="52">
                  <c:v>0.1</c:v>
                </c:pt>
                <c:pt idx="53">
                  <c:v>0.6</c:v>
                </c:pt>
                <c:pt idx="54">
                  <c:v>1.1000000000000001</c:v>
                </c:pt>
                <c:pt idx="55">
                  <c:v>1.6</c:v>
                </c:pt>
                <c:pt idx="56">
                  <c:v>2.1</c:v>
                </c:pt>
                <c:pt idx="57">
                  <c:v>2.6</c:v>
                </c:pt>
                <c:pt idx="58">
                  <c:v>3.1</c:v>
                </c:pt>
                <c:pt idx="59">
                  <c:v>3.6</c:v>
                </c:pt>
                <c:pt idx="60">
                  <c:v>4.0999999999999996</c:v>
                </c:pt>
                <c:pt idx="61">
                  <c:v>4.5999999999999996</c:v>
                </c:pt>
                <c:pt idx="62">
                  <c:v>5.0999999999999996</c:v>
                </c:pt>
                <c:pt idx="63">
                  <c:v>5.6</c:v>
                </c:pt>
                <c:pt idx="64">
                  <c:v>6.1</c:v>
                </c:pt>
                <c:pt idx="65">
                  <c:v>6.6</c:v>
                </c:pt>
                <c:pt idx="66">
                  <c:v>7.1</c:v>
                </c:pt>
                <c:pt idx="67">
                  <c:v>7.6</c:v>
                </c:pt>
                <c:pt idx="68">
                  <c:v>8.1</c:v>
                </c:pt>
                <c:pt idx="69">
                  <c:v>8.6</c:v>
                </c:pt>
                <c:pt idx="70">
                  <c:v>9.1</c:v>
                </c:pt>
                <c:pt idx="71">
                  <c:v>9.6</c:v>
                </c:pt>
                <c:pt idx="72">
                  <c:v>10.1</c:v>
                </c:pt>
                <c:pt idx="73">
                  <c:v>10.6</c:v>
                </c:pt>
                <c:pt idx="74">
                  <c:v>11.1</c:v>
                </c:pt>
                <c:pt idx="75">
                  <c:v>11.6</c:v>
                </c:pt>
                <c:pt idx="76">
                  <c:v>12.1</c:v>
                </c:pt>
                <c:pt idx="77">
                  <c:v>12.6</c:v>
                </c:pt>
                <c:pt idx="78">
                  <c:v>13.1</c:v>
                </c:pt>
                <c:pt idx="79">
                  <c:v>13.6</c:v>
                </c:pt>
                <c:pt idx="80">
                  <c:v>14.1</c:v>
                </c:pt>
                <c:pt idx="81">
                  <c:v>14.6</c:v>
                </c:pt>
                <c:pt idx="82">
                  <c:v>15.1</c:v>
                </c:pt>
                <c:pt idx="83">
                  <c:v>15.6</c:v>
                </c:pt>
                <c:pt idx="84">
                  <c:v>16.100000000000001</c:v>
                </c:pt>
                <c:pt idx="85">
                  <c:v>16.600000000000001</c:v>
                </c:pt>
                <c:pt idx="86">
                  <c:v>17.100000000000001</c:v>
                </c:pt>
                <c:pt idx="87">
                  <c:v>17.600000000000001</c:v>
                </c:pt>
                <c:pt idx="88">
                  <c:v>18.100000000000001</c:v>
                </c:pt>
                <c:pt idx="89">
                  <c:v>18.600000000000001</c:v>
                </c:pt>
                <c:pt idx="90">
                  <c:v>19.100000000000001</c:v>
                </c:pt>
                <c:pt idx="91">
                  <c:v>19.600000000000001</c:v>
                </c:pt>
                <c:pt idx="92">
                  <c:v>20.100000000000001</c:v>
                </c:pt>
                <c:pt idx="93">
                  <c:v>20.6</c:v>
                </c:pt>
                <c:pt idx="94">
                  <c:v>21.1</c:v>
                </c:pt>
                <c:pt idx="95">
                  <c:v>21.6</c:v>
                </c:pt>
                <c:pt idx="96">
                  <c:v>22.1</c:v>
                </c:pt>
                <c:pt idx="97">
                  <c:v>22.6</c:v>
                </c:pt>
                <c:pt idx="98">
                  <c:v>23.1</c:v>
                </c:pt>
                <c:pt idx="99">
                  <c:v>23.6</c:v>
                </c:pt>
                <c:pt idx="100">
                  <c:v>24.1</c:v>
                </c:pt>
                <c:pt idx="101">
                  <c:v>24.6</c:v>
                </c:pt>
                <c:pt idx="104">
                  <c:v>0.1</c:v>
                </c:pt>
                <c:pt idx="105">
                  <c:v>0.6</c:v>
                </c:pt>
                <c:pt idx="106">
                  <c:v>1.1000000000000001</c:v>
                </c:pt>
                <c:pt idx="107">
                  <c:v>1.6</c:v>
                </c:pt>
                <c:pt idx="108">
                  <c:v>2.1</c:v>
                </c:pt>
                <c:pt idx="109">
                  <c:v>2.6</c:v>
                </c:pt>
                <c:pt idx="110">
                  <c:v>3.1</c:v>
                </c:pt>
                <c:pt idx="111">
                  <c:v>3.6</c:v>
                </c:pt>
                <c:pt idx="112">
                  <c:v>4.0999999999999996</c:v>
                </c:pt>
                <c:pt idx="113">
                  <c:v>4.5999999999999996</c:v>
                </c:pt>
                <c:pt idx="114">
                  <c:v>5.0999999999999996</c:v>
                </c:pt>
                <c:pt idx="115">
                  <c:v>5.6</c:v>
                </c:pt>
                <c:pt idx="116">
                  <c:v>6.1</c:v>
                </c:pt>
                <c:pt idx="117">
                  <c:v>6.6</c:v>
                </c:pt>
                <c:pt idx="118">
                  <c:v>7.1</c:v>
                </c:pt>
                <c:pt idx="119">
                  <c:v>7.6</c:v>
                </c:pt>
                <c:pt idx="120">
                  <c:v>8.1</c:v>
                </c:pt>
                <c:pt idx="121">
                  <c:v>8.6</c:v>
                </c:pt>
                <c:pt idx="122">
                  <c:v>9.1</c:v>
                </c:pt>
                <c:pt idx="123">
                  <c:v>9.6</c:v>
                </c:pt>
                <c:pt idx="124">
                  <c:v>10.1</c:v>
                </c:pt>
                <c:pt idx="125">
                  <c:v>10.6</c:v>
                </c:pt>
                <c:pt idx="126">
                  <c:v>11.1</c:v>
                </c:pt>
                <c:pt idx="127">
                  <c:v>11.6</c:v>
                </c:pt>
                <c:pt idx="128">
                  <c:v>12.1</c:v>
                </c:pt>
                <c:pt idx="129">
                  <c:v>12.6</c:v>
                </c:pt>
                <c:pt idx="130">
                  <c:v>13.1</c:v>
                </c:pt>
                <c:pt idx="131">
                  <c:v>13.6</c:v>
                </c:pt>
                <c:pt idx="132">
                  <c:v>14.1</c:v>
                </c:pt>
                <c:pt idx="133">
                  <c:v>14.6</c:v>
                </c:pt>
                <c:pt idx="134">
                  <c:v>15.1</c:v>
                </c:pt>
                <c:pt idx="135">
                  <c:v>15.6</c:v>
                </c:pt>
                <c:pt idx="136">
                  <c:v>16.100000000000001</c:v>
                </c:pt>
                <c:pt idx="137">
                  <c:v>16.600000000000001</c:v>
                </c:pt>
                <c:pt idx="138">
                  <c:v>17.100000000000001</c:v>
                </c:pt>
                <c:pt idx="139">
                  <c:v>17.600000000000001</c:v>
                </c:pt>
                <c:pt idx="140">
                  <c:v>18.100000000000001</c:v>
                </c:pt>
                <c:pt idx="141">
                  <c:v>18.600000000000001</c:v>
                </c:pt>
                <c:pt idx="142">
                  <c:v>19.100000000000001</c:v>
                </c:pt>
                <c:pt idx="143">
                  <c:v>19.600000000000001</c:v>
                </c:pt>
                <c:pt idx="144">
                  <c:v>20.100000000000001</c:v>
                </c:pt>
                <c:pt idx="145">
                  <c:v>20.6</c:v>
                </c:pt>
                <c:pt idx="146">
                  <c:v>21.1</c:v>
                </c:pt>
                <c:pt idx="147">
                  <c:v>21.6</c:v>
                </c:pt>
                <c:pt idx="148">
                  <c:v>22.1</c:v>
                </c:pt>
                <c:pt idx="149">
                  <c:v>22.6</c:v>
                </c:pt>
                <c:pt idx="150">
                  <c:v>23.1</c:v>
                </c:pt>
                <c:pt idx="151">
                  <c:v>23.6</c:v>
                </c:pt>
                <c:pt idx="152">
                  <c:v>24.1</c:v>
                </c:pt>
                <c:pt idx="153">
                  <c:v>24.6</c:v>
                </c:pt>
              </c:numCache>
            </c:numRef>
          </c:xVal>
          <c:yVal>
            <c:numRef>
              <c:f>Sheet1!$B$366:$B$415</c:f>
              <c:numCache>
                <c:formatCode>General</c:formatCode>
                <c:ptCount val="50"/>
                <c:pt idx="0">
                  <c:v>0</c:v>
                </c:pt>
                <c:pt idx="1">
                  <c:v>0</c:v>
                </c:pt>
                <c:pt idx="2">
                  <c:v>0</c:v>
                </c:pt>
                <c:pt idx="3">
                  <c:v>0</c:v>
                </c:pt>
                <c:pt idx="4">
                  <c:v>0</c:v>
                </c:pt>
                <c:pt idx="5">
                  <c:v>0</c:v>
                </c:pt>
                <c:pt idx="6">
                  <c:v>0</c:v>
                </c:pt>
                <c:pt idx="7">
                  <c:v>0.01</c:v>
                </c:pt>
                <c:pt idx="8">
                  <c:v>0.03</c:v>
                </c:pt>
                <c:pt idx="9">
                  <c:v>0.06</c:v>
                </c:pt>
                <c:pt idx="10">
                  <c:v>0.15</c:v>
                </c:pt>
                <c:pt idx="11">
                  <c:v>0.31</c:v>
                </c:pt>
                <c:pt idx="12">
                  <c:v>0.45</c:v>
                </c:pt>
                <c:pt idx="13">
                  <c:v>0.79</c:v>
                </c:pt>
                <c:pt idx="14">
                  <c:v>0.92</c:v>
                </c:pt>
                <c:pt idx="15">
                  <c:v>0.95</c:v>
                </c:pt>
                <c:pt idx="16">
                  <c:v>0.95</c:v>
                </c:pt>
                <c:pt idx="17">
                  <c:v>0.96</c:v>
                </c:pt>
                <c:pt idx="18">
                  <c:v>0.96</c:v>
                </c:pt>
                <c:pt idx="19">
                  <c:v>0.96</c:v>
                </c:pt>
                <c:pt idx="20">
                  <c:v>0.96</c:v>
                </c:pt>
                <c:pt idx="21">
                  <c:v>0.96</c:v>
                </c:pt>
                <c:pt idx="22">
                  <c:v>0.96</c:v>
                </c:pt>
                <c:pt idx="23">
                  <c:v>0.97</c:v>
                </c:pt>
                <c:pt idx="24">
                  <c:v>0.97</c:v>
                </c:pt>
                <c:pt idx="25">
                  <c:v>0.97</c:v>
                </c:pt>
                <c:pt idx="26">
                  <c:v>0.97</c:v>
                </c:pt>
                <c:pt idx="27">
                  <c:v>0.97</c:v>
                </c:pt>
                <c:pt idx="28">
                  <c:v>0.97</c:v>
                </c:pt>
                <c:pt idx="29">
                  <c:v>0.97</c:v>
                </c:pt>
                <c:pt idx="30">
                  <c:v>0.97</c:v>
                </c:pt>
                <c:pt idx="31">
                  <c:v>0.97</c:v>
                </c:pt>
                <c:pt idx="32">
                  <c:v>0.98</c:v>
                </c:pt>
                <c:pt idx="33">
                  <c:v>0.98</c:v>
                </c:pt>
                <c:pt idx="34">
                  <c:v>0.98</c:v>
                </c:pt>
                <c:pt idx="35">
                  <c:v>0.98</c:v>
                </c:pt>
                <c:pt idx="36">
                  <c:v>0.98</c:v>
                </c:pt>
                <c:pt idx="37">
                  <c:v>0.98</c:v>
                </c:pt>
                <c:pt idx="38">
                  <c:v>0.98</c:v>
                </c:pt>
                <c:pt idx="39">
                  <c:v>0.98</c:v>
                </c:pt>
                <c:pt idx="40">
                  <c:v>0.98</c:v>
                </c:pt>
                <c:pt idx="41">
                  <c:v>0.98</c:v>
                </c:pt>
                <c:pt idx="42">
                  <c:v>0.98</c:v>
                </c:pt>
                <c:pt idx="43">
                  <c:v>0.98</c:v>
                </c:pt>
                <c:pt idx="44">
                  <c:v>0.98</c:v>
                </c:pt>
                <c:pt idx="45">
                  <c:v>0.98</c:v>
                </c:pt>
                <c:pt idx="46">
                  <c:v>0.98</c:v>
                </c:pt>
                <c:pt idx="47">
                  <c:v>0.98</c:v>
                </c:pt>
                <c:pt idx="48">
                  <c:v>0.98</c:v>
                </c:pt>
                <c:pt idx="49">
                  <c:v>0.98</c:v>
                </c:pt>
              </c:numCache>
            </c:numRef>
          </c:yVal>
          <c:smooth val="0"/>
        </c:ser>
        <c:ser>
          <c:idx val="6"/>
          <c:order val="6"/>
          <c:tx>
            <c:v>"20-20"</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Sheet1!$A$418:$A$467</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Sheet1!$B$418:$B$467</c:f>
              <c:numCache>
                <c:formatCode>General</c:formatCode>
                <c:ptCount val="50"/>
                <c:pt idx="0">
                  <c:v>0</c:v>
                </c:pt>
                <c:pt idx="1">
                  <c:v>0</c:v>
                </c:pt>
                <c:pt idx="2">
                  <c:v>0</c:v>
                </c:pt>
                <c:pt idx="3">
                  <c:v>0</c:v>
                </c:pt>
                <c:pt idx="4">
                  <c:v>0</c:v>
                </c:pt>
                <c:pt idx="5">
                  <c:v>0</c:v>
                </c:pt>
                <c:pt idx="6">
                  <c:v>0</c:v>
                </c:pt>
                <c:pt idx="7">
                  <c:v>0</c:v>
                </c:pt>
                <c:pt idx="8">
                  <c:v>0.05</c:v>
                </c:pt>
                <c:pt idx="9">
                  <c:v>0.16</c:v>
                </c:pt>
                <c:pt idx="10">
                  <c:v>0.37</c:v>
                </c:pt>
                <c:pt idx="11">
                  <c:v>0.64</c:v>
                </c:pt>
                <c:pt idx="12">
                  <c:v>0.82</c:v>
                </c:pt>
                <c:pt idx="13">
                  <c:v>0.85</c:v>
                </c:pt>
                <c:pt idx="14">
                  <c:v>0.88</c:v>
                </c:pt>
                <c:pt idx="15">
                  <c:v>0.88</c:v>
                </c:pt>
                <c:pt idx="16">
                  <c:v>0.89</c:v>
                </c:pt>
                <c:pt idx="17">
                  <c:v>0.89</c:v>
                </c:pt>
                <c:pt idx="18">
                  <c:v>0.89</c:v>
                </c:pt>
                <c:pt idx="19">
                  <c:v>0.9</c:v>
                </c:pt>
                <c:pt idx="20">
                  <c:v>0.9</c:v>
                </c:pt>
                <c:pt idx="21">
                  <c:v>0.91</c:v>
                </c:pt>
                <c:pt idx="22">
                  <c:v>0.91</c:v>
                </c:pt>
                <c:pt idx="23">
                  <c:v>0.91</c:v>
                </c:pt>
                <c:pt idx="24">
                  <c:v>0.92</c:v>
                </c:pt>
                <c:pt idx="25">
                  <c:v>0.93</c:v>
                </c:pt>
                <c:pt idx="26">
                  <c:v>0.93</c:v>
                </c:pt>
                <c:pt idx="27">
                  <c:v>0.93</c:v>
                </c:pt>
                <c:pt idx="28">
                  <c:v>0.93</c:v>
                </c:pt>
                <c:pt idx="29">
                  <c:v>0.93</c:v>
                </c:pt>
                <c:pt idx="30">
                  <c:v>0.93</c:v>
                </c:pt>
                <c:pt idx="31">
                  <c:v>0.94</c:v>
                </c:pt>
                <c:pt idx="32">
                  <c:v>0.94</c:v>
                </c:pt>
                <c:pt idx="33">
                  <c:v>0.95</c:v>
                </c:pt>
                <c:pt idx="34">
                  <c:v>0.95</c:v>
                </c:pt>
                <c:pt idx="35">
                  <c:v>0.95</c:v>
                </c:pt>
                <c:pt idx="36">
                  <c:v>0.95</c:v>
                </c:pt>
                <c:pt idx="37">
                  <c:v>0.95</c:v>
                </c:pt>
                <c:pt idx="38">
                  <c:v>0.95</c:v>
                </c:pt>
                <c:pt idx="39">
                  <c:v>0.96</c:v>
                </c:pt>
                <c:pt idx="40">
                  <c:v>0.96</c:v>
                </c:pt>
                <c:pt idx="41">
                  <c:v>0.96</c:v>
                </c:pt>
                <c:pt idx="42">
                  <c:v>0.96</c:v>
                </c:pt>
                <c:pt idx="43">
                  <c:v>0.96</c:v>
                </c:pt>
                <c:pt idx="44">
                  <c:v>0.96</c:v>
                </c:pt>
                <c:pt idx="45">
                  <c:v>0.96</c:v>
                </c:pt>
                <c:pt idx="46">
                  <c:v>0.96</c:v>
                </c:pt>
                <c:pt idx="47">
                  <c:v>0.96</c:v>
                </c:pt>
                <c:pt idx="48">
                  <c:v>0.96</c:v>
                </c:pt>
                <c:pt idx="49">
                  <c:v>0.96</c:v>
                </c:pt>
              </c:numCache>
            </c:numRef>
          </c:yVal>
          <c:smooth val="0"/>
        </c:ser>
        <c:dLbls>
          <c:showLegendKey val="0"/>
          <c:showVal val="0"/>
          <c:showCatName val="0"/>
          <c:showSerName val="0"/>
          <c:showPercent val="0"/>
          <c:showBubbleSize val="0"/>
        </c:dLbls>
        <c:axId val="509017520"/>
        <c:axId val="509018080"/>
      </c:scatterChart>
      <c:valAx>
        <c:axId val="50901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018080"/>
        <c:crosses val="autoZero"/>
        <c:crossBetween val="midCat"/>
      </c:valAx>
      <c:valAx>
        <c:axId val="50901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017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 50 to 100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"50-50"</c:v>
          </c:tx>
          <c:spPr>
            <a:ln w="25400" cap="rnd">
              <a:noFill/>
              <a:round/>
            </a:ln>
            <a:effectLst/>
          </c:spPr>
          <c:marker>
            <c:symbol val="circle"/>
            <c:size val="5"/>
            <c:spPr>
              <a:solidFill>
                <a:schemeClr val="accent1"/>
              </a:solidFill>
              <a:ln w="9525">
                <a:solidFill>
                  <a:schemeClr val="accent1"/>
                </a:solidFill>
              </a:ln>
              <a:effectLst/>
            </c:spPr>
          </c:marker>
          <c:xVal>
            <c:numRef>
              <c:f>Sheet1!$F$2:$F$36</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Sheet1!$G$2:$G$36</c:f>
              <c:numCache>
                <c:formatCode>General</c:formatCode>
                <c:ptCount val="35"/>
                <c:pt idx="0">
                  <c:v>0.98</c:v>
                </c:pt>
                <c:pt idx="1">
                  <c:v>0.98</c:v>
                </c:pt>
                <c:pt idx="2">
                  <c:v>0.98</c:v>
                </c:pt>
                <c:pt idx="3">
                  <c:v>0.98</c:v>
                </c:pt>
                <c:pt idx="4">
                  <c:v>0.99</c:v>
                </c:pt>
                <c:pt idx="5">
                  <c:v>1</c:v>
                </c:pt>
                <c:pt idx="6">
                  <c:v>1</c:v>
                </c:pt>
                <c:pt idx="7">
                  <c:v>1</c:v>
                </c:pt>
                <c:pt idx="8">
                  <c:v>1</c:v>
                </c:pt>
                <c:pt idx="9">
                  <c:v>1</c:v>
                </c:pt>
                <c:pt idx="10">
                  <c:v>1</c:v>
                </c:pt>
                <c:pt idx="11">
                  <c:v>1</c:v>
                </c:pt>
                <c:pt idx="12">
                  <c:v>1</c:v>
                </c:pt>
                <c:pt idx="13">
                  <c:v>1</c:v>
                </c:pt>
                <c:pt idx="14">
                  <c:v>0.99</c:v>
                </c:pt>
                <c:pt idx="15">
                  <c:v>0.99</c:v>
                </c:pt>
                <c:pt idx="16">
                  <c:v>0.99</c:v>
                </c:pt>
                <c:pt idx="17">
                  <c:v>0.99</c:v>
                </c:pt>
                <c:pt idx="18">
                  <c:v>0.99</c:v>
                </c:pt>
                <c:pt idx="19">
                  <c:v>0.99</c:v>
                </c:pt>
                <c:pt idx="20">
                  <c:v>0.99</c:v>
                </c:pt>
                <c:pt idx="21">
                  <c:v>0.99</c:v>
                </c:pt>
                <c:pt idx="22">
                  <c:v>0.99</c:v>
                </c:pt>
                <c:pt idx="23">
                  <c:v>0.99</c:v>
                </c:pt>
                <c:pt idx="24">
                  <c:v>0.99</c:v>
                </c:pt>
                <c:pt idx="25">
                  <c:v>0.99</c:v>
                </c:pt>
                <c:pt idx="26">
                  <c:v>0.99</c:v>
                </c:pt>
                <c:pt idx="27">
                  <c:v>0.99</c:v>
                </c:pt>
                <c:pt idx="28">
                  <c:v>0.99</c:v>
                </c:pt>
                <c:pt idx="29">
                  <c:v>0.99</c:v>
                </c:pt>
                <c:pt idx="30">
                  <c:v>0.97</c:v>
                </c:pt>
                <c:pt idx="31">
                  <c:v>0.96</c:v>
                </c:pt>
                <c:pt idx="32">
                  <c:v>0.95</c:v>
                </c:pt>
                <c:pt idx="33">
                  <c:v>0.93</c:v>
                </c:pt>
                <c:pt idx="34">
                  <c:v>0.9</c:v>
                </c:pt>
              </c:numCache>
            </c:numRef>
          </c:yVal>
          <c:smooth val="0"/>
        </c:ser>
        <c:ser>
          <c:idx val="1"/>
          <c:order val="1"/>
          <c:tx>
            <c:v>"50-100"</c:v>
          </c:tx>
          <c:spPr>
            <a:ln w="25400" cap="rnd">
              <a:noFill/>
              <a:round/>
            </a:ln>
            <a:effectLst/>
          </c:spPr>
          <c:marker>
            <c:symbol val="circle"/>
            <c:size val="5"/>
            <c:spPr>
              <a:solidFill>
                <a:schemeClr val="accent2"/>
              </a:solidFill>
              <a:ln w="9525">
                <a:solidFill>
                  <a:schemeClr val="accent2"/>
                </a:solidFill>
              </a:ln>
              <a:effectLst/>
            </c:spPr>
          </c:marker>
          <c:xVal>
            <c:numRef>
              <c:f>Sheet1!$F$39:$F$73</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Sheet1!$G$39:$G$73</c:f>
              <c:numCache>
                <c:formatCode>General</c:formatCode>
                <c:ptCount val="35"/>
                <c:pt idx="0">
                  <c:v>0.95</c:v>
                </c:pt>
                <c:pt idx="1">
                  <c:v>0.96</c:v>
                </c:pt>
                <c:pt idx="2">
                  <c:v>0.97</c:v>
                </c:pt>
                <c:pt idx="3">
                  <c:v>0.97</c:v>
                </c:pt>
                <c:pt idx="4">
                  <c:v>0.97</c:v>
                </c:pt>
                <c:pt idx="5">
                  <c:v>0.97</c:v>
                </c:pt>
                <c:pt idx="6">
                  <c:v>0.98</c:v>
                </c:pt>
                <c:pt idx="7">
                  <c:v>0.98</c:v>
                </c:pt>
                <c:pt idx="8">
                  <c:v>0.98</c:v>
                </c:pt>
                <c:pt idx="9">
                  <c:v>0.98</c:v>
                </c:pt>
                <c:pt idx="10">
                  <c:v>0.98</c:v>
                </c:pt>
                <c:pt idx="11">
                  <c:v>0.98</c:v>
                </c:pt>
                <c:pt idx="12">
                  <c:v>0.98</c:v>
                </c:pt>
                <c:pt idx="13">
                  <c:v>0.98</c:v>
                </c:pt>
                <c:pt idx="14">
                  <c:v>0.98</c:v>
                </c:pt>
                <c:pt idx="15">
                  <c:v>0.98</c:v>
                </c:pt>
                <c:pt idx="16">
                  <c:v>0.98</c:v>
                </c:pt>
                <c:pt idx="17">
                  <c:v>0.98</c:v>
                </c:pt>
                <c:pt idx="18">
                  <c:v>0.97</c:v>
                </c:pt>
                <c:pt idx="19">
                  <c:v>0.97</c:v>
                </c:pt>
                <c:pt idx="20">
                  <c:v>0.96</c:v>
                </c:pt>
                <c:pt idx="21">
                  <c:v>0.96</c:v>
                </c:pt>
                <c:pt idx="22">
                  <c:v>0.96</c:v>
                </c:pt>
                <c:pt idx="23">
                  <c:v>0.96</c:v>
                </c:pt>
                <c:pt idx="24">
                  <c:v>0.96</c:v>
                </c:pt>
                <c:pt idx="25">
                  <c:v>0.96</c:v>
                </c:pt>
                <c:pt idx="26">
                  <c:v>0.96</c:v>
                </c:pt>
                <c:pt idx="27">
                  <c:v>0.96</c:v>
                </c:pt>
                <c:pt idx="28">
                  <c:v>0.92</c:v>
                </c:pt>
                <c:pt idx="29">
                  <c:v>0.92</c:v>
                </c:pt>
                <c:pt idx="30">
                  <c:v>0.92</c:v>
                </c:pt>
                <c:pt idx="31">
                  <c:v>0.92</c:v>
                </c:pt>
                <c:pt idx="32">
                  <c:v>0.91</c:v>
                </c:pt>
                <c:pt idx="33">
                  <c:v>0.91</c:v>
                </c:pt>
                <c:pt idx="34">
                  <c:v>0.9</c:v>
                </c:pt>
              </c:numCache>
            </c:numRef>
          </c:yVal>
          <c:smooth val="0"/>
        </c:ser>
        <c:ser>
          <c:idx val="2"/>
          <c:order val="2"/>
          <c:tx>
            <c:v>"100-50"</c:v>
          </c:tx>
          <c:spPr>
            <a:ln w="25400" cap="rnd">
              <a:noFill/>
              <a:round/>
            </a:ln>
            <a:effectLst/>
          </c:spPr>
          <c:marker>
            <c:symbol val="circle"/>
            <c:size val="5"/>
            <c:spPr>
              <a:solidFill>
                <a:schemeClr val="accent3"/>
              </a:solidFill>
              <a:ln w="9525">
                <a:solidFill>
                  <a:schemeClr val="accent3"/>
                </a:solidFill>
              </a:ln>
              <a:effectLst/>
            </c:spPr>
          </c:marker>
          <c:xVal>
            <c:numRef>
              <c:f>Sheet1!$F$76:$F$110</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Sheet1!$G$76:$G$110</c:f>
              <c:numCache>
                <c:formatCode>General</c:formatCode>
                <c:ptCount val="35"/>
                <c:pt idx="0">
                  <c:v>0.96</c:v>
                </c:pt>
                <c:pt idx="1">
                  <c:v>0.97</c:v>
                </c:pt>
                <c:pt idx="2">
                  <c:v>0.98</c:v>
                </c:pt>
                <c:pt idx="3">
                  <c:v>0.98</c:v>
                </c:pt>
                <c:pt idx="4">
                  <c:v>0.98</c:v>
                </c:pt>
                <c:pt idx="5">
                  <c:v>0.98</c:v>
                </c:pt>
                <c:pt idx="6">
                  <c:v>0.98</c:v>
                </c:pt>
                <c:pt idx="7">
                  <c:v>0.98</c:v>
                </c:pt>
                <c:pt idx="8">
                  <c:v>0.98</c:v>
                </c:pt>
                <c:pt idx="9">
                  <c:v>0.98</c:v>
                </c:pt>
                <c:pt idx="10">
                  <c:v>0.98</c:v>
                </c:pt>
                <c:pt idx="11">
                  <c:v>0.98</c:v>
                </c:pt>
                <c:pt idx="12">
                  <c:v>0.98</c:v>
                </c:pt>
                <c:pt idx="13">
                  <c:v>0.98</c:v>
                </c:pt>
                <c:pt idx="14">
                  <c:v>0.98</c:v>
                </c:pt>
                <c:pt idx="15">
                  <c:v>0.98</c:v>
                </c:pt>
                <c:pt idx="16">
                  <c:v>0.98</c:v>
                </c:pt>
                <c:pt idx="17">
                  <c:v>0.98</c:v>
                </c:pt>
                <c:pt idx="18">
                  <c:v>0.98</c:v>
                </c:pt>
                <c:pt idx="19">
                  <c:v>0.98</c:v>
                </c:pt>
                <c:pt idx="20">
                  <c:v>0.98</c:v>
                </c:pt>
                <c:pt idx="21">
                  <c:v>0.98</c:v>
                </c:pt>
                <c:pt idx="22">
                  <c:v>0.98</c:v>
                </c:pt>
                <c:pt idx="23">
                  <c:v>0.98</c:v>
                </c:pt>
                <c:pt idx="24">
                  <c:v>0.98</c:v>
                </c:pt>
                <c:pt idx="25">
                  <c:v>0.98</c:v>
                </c:pt>
                <c:pt idx="26">
                  <c:v>0.98</c:v>
                </c:pt>
                <c:pt idx="27">
                  <c:v>0.98</c:v>
                </c:pt>
                <c:pt idx="28">
                  <c:v>0.97</c:v>
                </c:pt>
                <c:pt idx="29">
                  <c:v>0.97</c:v>
                </c:pt>
                <c:pt idx="30">
                  <c:v>0.97</c:v>
                </c:pt>
                <c:pt idx="31">
                  <c:v>0.97</c:v>
                </c:pt>
                <c:pt idx="32">
                  <c:v>0.97</c:v>
                </c:pt>
                <c:pt idx="33">
                  <c:v>0.97</c:v>
                </c:pt>
                <c:pt idx="34">
                  <c:v>0.97</c:v>
                </c:pt>
              </c:numCache>
            </c:numRef>
          </c:yVal>
          <c:smooth val="0"/>
        </c:ser>
        <c:ser>
          <c:idx val="3"/>
          <c:order val="3"/>
          <c:tx>
            <c:v>"100-100"</c:v>
          </c:tx>
          <c:spPr>
            <a:ln w="25400" cap="rnd">
              <a:noFill/>
              <a:round/>
            </a:ln>
            <a:effectLst/>
          </c:spPr>
          <c:marker>
            <c:symbol val="circle"/>
            <c:size val="5"/>
            <c:spPr>
              <a:solidFill>
                <a:schemeClr val="accent4"/>
              </a:solidFill>
              <a:ln w="9525">
                <a:solidFill>
                  <a:schemeClr val="accent4"/>
                </a:solidFill>
              </a:ln>
              <a:effectLst/>
            </c:spPr>
          </c:marker>
          <c:xVal>
            <c:numRef>
              <c:f>Sheet1!$F$113:$F$147</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Sheet1!$G$113:$G$147</c:f>
              <c:numCache>
                <c:formatCode>General</c:formatCode>
                <c:ptCount val="35"/>
                <c:pt idx="0">
                  <c:v>0.95</c:v>
                </c:pt>
                <c:pt idx="1">
                  <c:v>0.95</c:v>
                </c:pt>
                <c:pt idx="2">
                  <c:v>0.96</c:v>
                </c:pt>
                <c:pt idx="3">
                  <c:v>0.96</c:v>
                </c:pt>
                <c:pt idx="4">
                  <c:v>0.97</c:v>
                </c:pt>
                <c:pt idx="5">
                  <c:v>0.97</c:v>
                </c:pt>
                <c:pt idx="6">
                  <c:v>0.98</c:v>
                </c:pt>
                <c:pt idx="7">
                  <c:v>0.98</c:v>
                </c:pt>
                <c:pt idx="8">
                  <c:v>0.98</c:v>
                </c:pt>
                <c:pt idx="9">
                  <c:v>0.98</c:v>
                </c:pt>
                <c:pt idx="10">
                  <c:v>0.98</c:v>
                </c:pt>
                <c:pt idx="11">
                  <c:v>0.98</c:v>
                </c:pt>
                <c:pt idx="12">
                  <c:v>0.98</c:v>
                </c:pt>
                <c:pt idx="13">
                  <c:v>0.98</c:v>
                </c:pt>
                <c:pt idx="14">
                  <c:v>0.98</c:v>
                </c:pt>
                <c:pt idx="15">
                  <c:v>0.99</c:v>
                </c:pt>
                <c:pt idx="16">
                  <c:v>0.99</c:v>
                </c:pt>
                <c:pt idx="17">
                  <c:v>0.99</c:v>
                </c:pt>
                <c:pt idx="18">
                  <c:v>0.99</c:v>
                </c:pt>
                <c:pt idx="19">
                  <c:v>0.99</c:v>
                </c:pt>
                <c:pt idx="20">
                  <c:v>0.99</c:v>
                </c:pt>
                <c:pt idx="21">
                  <c:v>0.99</c:v>
                </c:pt>
                <c:pt idx="22">
                  <c:v>0.98</c:v>
                </c:pt>
                <c:pt idx="23">
                  <c:v>0.98</c:v>
                </c:pt>
                <c:pt idx="24">
                  <c:v>0.98</c:v>
                </c:pt>
                <c:pt idx="25">
                  <c:v>0.98</c:v>
                </c:pt>
                <c:pt idx="26">
                  <c:v>0.98</c:v>
                </c:pt>
                <c:pt idx="27">
                  <c:v>0.98</c:v>
                </c:pt>
                <c:pt idx="28">
                  <c:v>0.98</c:v>
                </c:pt>
                <c:pt idx="29">
                  <c:v>0.98</c:v>
                </c:pt>
                <c:pt idx="30">
                  <c:v>0.98</c:v>
                </c:pt>
                <c:pt idx="31">
                  <c:v>0.97</c:v>
                </c:pt>
                <c:pt idx="32">
                  <c:v>0.95</c:v>
                </c:pt>
                <c:pt idx="33">
                  <c:v>0.94</c:v>
                </c:pt>
                <c:pt idx="34">
                  <c:v>0.93</c:v>
                </c:pt>
              </c:numCache>
            </c:numRef>
          </c:yVal>
          <c:smooth val="0"/>
        </c:ser>
        <c:dLbls>
          <c:showLegendKey val="0"/>
          <c:showVal val="0"/>
          <c:showCatName val="0"/>
          <c:showSerName val="0"/>
          <c:showPercent val="0"/>
          <c:showBubbleSize val="0"/>
        </c:dLbls>
        <c:axId val="504392128"/>
        <c:axId val="504392688"/>
      </c:scatterChart>
      <c:valAx>
        <c:axId val="50439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92688"/>
        <c:crosses val="autoZero"/>
        <c:crossBetween val="midCat"/>
      </c:valAx>
      <c:valAx>
        <c:axId val="50439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92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 1000 to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"1000-1000"</c:v>
          </c:tx>
          <c:spPr>
            <a:ln w="25400" cap="rnd">
              <a:noFill/>
              <a:round/>
            </a:ln>
            <a:effectLst/>
          </c:spPr>
          <c:marker>
            <c:symbol val="circle"/>
            <c:size val="5"/>
            <c:spPr>
              <a:solidFill>
                <a:schemeClr val="accent1"/>
              </a:solidFill>
              <a:ln w="9525">
                <a:solidFill>
                  <a:schemeClr val="accent1"/>
                </a:solidFill>
              </a:ln>
              <a:effectLst/>
            </c:spPr>
          </c:marker>
          <c:xVal>
            <c:numRef>
              <c:f>Sheet1!$K$2:$K$19</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numCache>
            </c:numRef>
          </c:xVal>
          <c:yVal>
            <c:numRef>
              <c:f>Sheet1!$L$2:$L$19</c:f>
              <c:numCache>
                <c:formatCode>General</c:formatCode>
                <c:ptCount val="18"/>
                <c:pt idx="0">
                  <c:v>1</c:v>
                </c:pt>
                <c:pt idx="1">
                  <c:v>0.91</c:v>
                </c:pt>
                <c:pt idx="2">
                  <c:v>0.65</c:v>
                </c:pt>
                <c:pt idx="3">
                  <c:v>0.44</c:v>
                </c:pt>
                <c:pt idx="4">
                  <c:v>0.38</c:v>
                </c:pt>
                <c:pt idx="5">
                  <c:v>0.35</c:v>
                </c:pt>
                <c:pt idx="6">
                  <c:v>0.27</c:v>
                </c:pt>
                <c:pt idx="7">
                  <c:v>0.22</c:v>
                </c:pt>
                <c:pt idx="8">
                  <c:v>0.19</c:v>
                </c:pt>
                <c:pt idx="9">
                  <c:v>0.18</c:v>
                </c:pt>
                <c:pt idx="10">
                  <c:v>0.16</c:v>
                </c:pt>
                <c:pt idx="11">
                  <c:v>0.13</c:v>
                </c:pt>
                <c:pt idx="12">
                  <c:v>0.12</c:v>
                </c:pt>
                <c:pt idx="13">
                  <c:v>0.12</c:v>
                </c:pt>
                <c:pt idx="14">
                  <c:v>0.1</c:v>
                </c:pt>
                <c:pt idx="15">
                  <c:v>0.09</c:v>
                </c:pt>
                <c:pt idx="16">
                  <c:v>7.0000000000000007E-2</c:v>
                </c:pt>
                <c:pt idx="17">
                  <c:v>0.05</c:v>
                </c:pt>
              </c:numCache>
            </c:numRef>
          </c:yVal>
          <c:smooth val="0"/>
        </c:ser>
        <c:ser>
          <c:idx val="1"/>
          <c:order val="1"/>
          <c:tx>
            <c:v>"1000-10000"</c:v>
          </c:tx>
          <c:spPr>
            <a:ln w="25400" cap="rnd">
              <a:noFill/>
              <a:round/>
            </a:ln>
            <a:effectLst/>
          </c:spPr>
          <c:marker>
            <c:symbol val="circle"/>
            <c:size val="5"/>
            <c:spPr>
              <a:solidFill>
                <a:schemeClr val="accent2"/>
              </a:solidFill>
              <a:ln w="9525">
                <a:solidFill>
                  <a:schemeClr val="accent2"/>
                </a:solidFill>
              </a:ln>
              <a:effectLst/>
            </c:spPr>
          </c:marker>
          <c:xVal>
            <c:numRef>
              <c:f>Sheet1!$K$23:$K$78</c:f>
              <c:numCache>
                <c:formatCode>General</c:formatCode>
                <c:ptCount val="56"/>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numCache>
            </c:numRef>
          </c:xVal>
          <c:yVal>
            <c:numRef>
              <c:f>Sheet1!$L$23:$L$78</c:f>
              <c:numCache>
                <c:formatCode>General</c:formatCode>
                <c:ptCount val="56"/>
                <c:pt idx="0">
                  <c:v>0</c:v>
                </c:pt>
                <c:pt idx="1">
                  <c:v>0.99</c:v>
                </c:pt>
                <c:pt idx="2">
                  <c:v>0.92</c:v>
                </c:pt>
                <c:pt idx="3">
                  <c:v>0.74</c:v>
                </c:pt>
                <c:pt idx="4">
                  <c:v>0.6</c:v>
                </c:pt>
                <c:pt idx="5">
                  <c:v>0.53</c:v>
                </c:pt>
                <c:pt idx="6">
                  <c:v>0.49</c:v>
                </c:pt>
                <c:pt idx="7">
                  <c:v>0.45</c:v>
                </c:pt>
                <c:pt idx="8">
                  <c:v>0.32</c:v>
                </c:pt>
                <c:pt idx="9">
                  <c:v>0.27</c:v>
                </c:pt>
                <c:pt idx="10">
                  <c:v>0.23</c:v>
                </c:pt>
                <c:pt idx="11">
                  <c:v>0.2</c:v>
                </c:pt>
                <c:pt idx="12">
                  <c:v>0.19</c:v>
                </c:pt>
                <c:pt idx="13">
                  <c:v>0.18</c:v>
                </c:pt>
                <c:pt idx="14">
                  <c:v>0.15</c:v>
                </c:pt>
                <c:pt idx="15">
                  <c:v>0.14000000000000001</c:v>
                </c:pt>
                <c:pt idx="16">
                  <c:v>0.14000000000000001</c:v>
                </c:pt>
                <c:pt idx="17">
                  <c:v>0.14000000000000001</c:v>
                </c:pt>
                <c:pt idx="18">
                  <c:v>0.14000000000000001</c:v>
                </c:pt>
                <c:pt idx="19">
                  <c:v>0.11</c:v>
                </c:pt>
                <c:pt idx="20">
                  <c:v>0.1</c:v>
                </c:pt>
                <c:pt idx="21">
                  <c:v>0.09</c:v>
                </c:pt>
                <c:pt idx="22">
                  <c:v>0.09</c:v>
                </c:pt>
                <c:pt idx="23">
                  <c:v>0.09</c:v>
                </c:pt>
                <c:pt idx="24">
                  <c:v>0.09</c:v>
                </c:pt>
                <c:pt idx="25">
                  <c:v>0.09</c:v>
                </c:pt>
                <c:pt idx="26">
                  <c:v>7.0000000000000007E-2</c:v>
                </c:pt>
                <c:pt idx="27">
                  <c:v>7.0000000000000007E-2</c:v>
                </c:pt>
                <c:pt idx="28">
                  <c:v>7.0000000000000007E-2</c:v>
                </c:pt>
                <c:pt idx="29">
                  <c:v>7.0000000000000007E-2</c:v>
                </c:pt>
                <c:pt idx="30">
                  <c:v>7.0000000000000007E-2</c:v>
                </c:pt>
                <c:pt idx="31">
                  <c:v>0.06</c:v>
                </c:pt>
                <c:pt idx="32">
                  <c:v>0.06</c:v>
                </c:pt>
                <c:pt idx="33">
                  <c:v>0.06</c:v>
                </c:pt>
                <c:pt idx="34">
                  <c:v>0.05</c:v>
                </c:pt>
                <c:pt idx="35">
                  <c:v>0.04</c:v>
                </c:pt>
                <c:pt idx="36">
                  <c:v>0.04</c:v>
                </c:pt>
                <c:pt idx="37">
                  <c:v>0.04</c:v>
                </c:pt>
                <c:pt idx="38">
                  <c:v>0.04</c:v>
                </c:pt>
                <c:pt idx="39">
                  <c:v>0.03</c:v>
                </c:pt>
                <c:pt idx="40">
                  <c:v>0.03</c:v>
                </c:pt>
                <c:pt idx="41">
                  <c:v>0.03</c:v>
                </c:pt>
                <c:pt idx="42">
                  <c:v>0.03</c:v>
                </c:pt>
                <c:pt idx="43">
                  <c:v>0.03</c:v>
                </c:pt>
                <c:pt idx="44">
                  <c:v>0.03</c:v>
                </c:pt>
                <c:pt idx="45">
                  <c:v>0.03</c:v>
                </c:pt>
                <c:pt idx="46">
                  <c:v>0.03</c:v>
                </c:pt>
                <c:pt idx="47">
                  <c:v>0.03</c:v>
                </c:pt>
                <c:pt idx="48">
                  <c:v>0.03</c:v>
                </c:pt>
                <c:pt idx="49">
                  <c:v>0.03</c:v>
                </c:pt>
                <c:pt idx="50">
                  <c:v>0.03</c:v>
                </c:pt>
                <c:pt idx="51">
                  <c:v>0.03</c:v>
                </c:pt>
                <c:pt idx="52">
                  <c:v>0.03</c:v>
                </c:pt>
                <c:pt idx="53">
                  <c:v>0.02</c:v>
                </c:pt>
                <c:pt idx="54">
                  <c:v>0.02</c:v>
                </c:pt>
                <c:pt idx="55">
                  <c:v>0.02</c:v>
                </c:pt>
              </c:numCache>
            </c:numRef>
          </c:yVal>
          <c:smooth val="0"/>
        </c:ser>
        <c:ser>
          <c:idx val="2"/>
          <c:order val="2"/>
          <c:tx>
            <c:v>"10000-1000"</c:v>
          </c:tx>
          <c:spPr>
            <a:ln w="25400" cap="rnd">
              <a:noFill/>
              <a:round/>
            </a:ln>
            <a:effectLst/>
          </c:spPr>
          <c:marker>
            <c:symbol val="circle"/>
            <c:size val="5"/>
            <c:spPr>
              <a:solidFill>
                <a:schemeClr val="accent3"/>
              </a:solidFill>
              <a:ln w="9525">
                <a:solidFill>
                  <a:schemeClr val="accent3"/>
                </a:solidFill>
              </a:ln>
              <a:effectLst/>
            </c:spPr>
          </c:marker>
          <c:xVal>
            <c:numRef>
              <c:f>Sheet1!$K$82:$K$158</c:f>
              <c:numCache>
                <c:formatCode>General</c:formatCode>
                <c:ptCount val="77"/>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numCache>
            </c:numRef>
          </c:xVal>
          <c:yVal>
            <c:numRef>
              <c:f>Sheet1!$L$82:$L$158</c:f>
              <c:numCache>
                <c:formatCode>General</c:formatCode>
                <c:ptCount val="77"/>
                <c:pt idx="0">
                  <c:v>0</c:v>
                </c:pt>
                <c:pt idx="1">
                  <c:v>0.98</c:v>
                </c:pt>
                <c:pt idx="2">
                  <c:v>0.98</c:v>
                </c:pt>
                <c:pt idx="3">
                  <c:v>0.81</c:v>
                </c:pt>
                <c:pt idx="4">
                  <c:v>0.62</c:v>
                </c:pt>
                <c:pt idx="5">
                  <c:v>0.55000000000000004</c:v>
                </c:pt>
                <c:pt idx="6">
                  <c:v>0.45</c:v>
                </c:pt>
                <c:pt idx="7">
                  <c:v>0.39</c:v>
                </c:pt>
                <c:pt idx="8">
                  <c:v>0.36</c:v>
                </c:pt>
                <c:pt idx="9">
                  <c:v>0.31</c:v>
                </c:pt>
                <c:pt idx="10">
                  <c:v>0.27</c:v>
                </c:pt>
                <c:pt idx="11">
                  <c:v>0.26</c:v>
                </c:pt>
                <c:pt idx="12">
                  <c:v>0.26</c:v>
                </c:pt>
                <c:pt idx="13">
                  <c:v>0.25</c:v>
                </c:pt>
                <c:pt idx="14">
                  <c:v>0.22</c:v>
                </c:pt>
                <c:pt idx="15">
                  <c:v>0.19</c:v>
                </c:pt>
                <c:pt idx="16">
                  <c:v>0.13</c:v>
                </c:pt>
                <c:pt idx="17">
                  <c:v>0.1</c:v>
                </c:pt>
                <c:pt idx="18">
                  <c:v>0.09</c:v>
                </c:pt>
                <c:pt idx="19">
                  <c:v>0.08</c:v>
                </c:pt>
                <c:pt idx="20">
                  <c:v>0.08</c:v>
                </c:pt>
                <c:pt idx="21">
                  <c:v>0.08</c:v>
                </c:pt>
                <c:pt idx="22">
                  <c:v>7.0000000000000007E-2</c:v>
                </c:pt>
                <c:pt idx="23">
                  <c:v>0.05</c:v>
                </c:pt>
                <c:pt idx="24">
                  <c:v>0.05</c:v>
                </c:pt>
                <c:pt idx="25">
                  <c:v>0.05</c:v>
                </c:pt>
                <c:pt idx="26">
                  <c:v>0.03</c:v>
                </c:pt>
                <c:pt idx="27">
                  <c:v>0.03</c:v>
                </c:pt>
                <c:pt idx="28">
                  <c:v>0.03</c:v>
                </c:pt>
                <c:pt idx="29">
                  <c:v>0.04</c:v>
                </c:pt>
                <c:pt idx="30">
                  <c:v>0.03</c:v>
                </c:pt>
                <c:pt idx="31">
                  <c:v>0.03</c:v>
                </c:pt>
                <c:pt idx="32">
                  <c:v>0.02</c:v>
                </c:pt>
                <c:pt idx="33">
                  <c:v>0.02</c:v>
                </c:pt>
                <c:pt idx="34">
                  <c:v>0.02</c:v>
                </c:pt>
                <c:pt idx="35">
                  <c:v>0.02</c:v>
                </c:pt>
                <c:pt idx="36">
                  <c:v>0.02</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numCache>
            </c:numRef>
          </c:yVal>
          <c:smooth val="0"/>
        </c:ser>
        <c:ser>
          <c:idx val="3"/>
          <c:order val="3"/>
          <c:tx>
            <c:v>"10000-10000"</c:v>
          </c:tx>
          <c:spPr>
            <a:ln w="25400" cap="rnd">
              <a:noFill/>
              <a:round/>
            </a:ln>
            <a:effectLst/>
          </c:spPr>
          <c:marker>
            <c:symbol val="circle"/>
            <c:size val="5"/>
            <c:spPr>
              <a:solidFill>
                <a:schemeClr val="accent4"/>
              </a:solidFill>
              <a:ln w="9525">
                <a:solidFill>
                  <a:schemeClr val="accent4"/>
                </a:solidFill>
              </a:ln>
              <a:effectLst/>
            </c:spPr>
          </c:marker>
          <c:xVal>
            <c:numRef>
              <c:f>Sheet1!$K$162:$K$180</c:f>
              <c:numCache>
                <c:formatCode>General</c:formatCode>
                <c:ptCount val="19"/>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numCache>
            </c:numRef>
          </c:xVal>
          <c:yVal>
            <c:numRef>
              <c:f>Sheet1!$L$162:$L$180</c:f>
              <c:numCache>
                <c:formatCode>General</c:formatCode>
                <c:ptCount val="19"/>
                <c:pt idx="0">
                  <c:v>0</c:v>
                </c:pt>
                <c:pt idx="1">
                  <c:v>0.98</c:v>
                </c:pt>
                <c:pt idx="2">
                  <c:v>0.92</c:v>
                </c:pt>
                <c:pt idx="3">
                  <c:v>0.59</c:v>
                </c:pt>
                <c:pt idx="4">
                  <c:v>0.37</c:v>
                </c:pt>
                <c:pt idx="5">
                  <c:v>0.3</c:v>
                </c:pt>
                <c:pt idx="6">
                  <c:v>0.24</c:v>
                </c:pt>
                <c:pt idx="7">
                  <c:v>0.14000000000000001</c:v>
                </c:pt>
                <c:pt idx="8">
                  <c:v>0.12</c:v>
                </c:pt>
                <c:pt idx="9">
                  <c:v>0.11</c:v>
                </c:pt>
                <c:pt idx="10">
                  <c:v>0.11</c:v>
                </c:pt>
                <c:pt idx="11">
                  <c:v>0.1</c:v>
                </c:pt>
                <c:pt idx="12">
                  <c:v>0.09</c:v>
                </c:pt>
                <c:pt idx="13">
                  <c:v>0.08</c:v>
                </c:pt>
                <c:pt idx="14">
                  <c:v>7.0000000000000007E-2</c:v>
                </c:pt>
                <c:pt idx="15">
                  <c:v>0.05</c:v>
                </c:pt>
                <c:pt idx="16">
                  <c:v>0.05</c:v>
                </c:pt>
                <c:pt idx="17">
                  <c:v>0.03</c:v>
                </c:pt>
                <c:pt idx="18">
                  <c:v>0.01</c:v>
                </c:pt>
              </c:numCache>
            </c:numRef>
          </c:yVal>
          <c:smooth val="0"/>
        </c:ser>
        <c:dLbls>
          <c:showLegendKey val="0"/>
          <c:showVal val="0"/>
          <c:showCatName val="0"/>
          <c:showSerName val="0"/>
          <c:showPercent val="0"/>
          <c:showBubbleSize val="0"/>
        </c:dLbls>
        <c:axId val="368154800"/>
        <c:axId val="379041120"/>
      </c:scatterChart>
      <c:valAx>
        <c:axId val="368154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41120"/>
        <c:crosses val="autoZero"/>
        <c:crossBetween val="midCat"/>
      </c:valAx>
      <c:valAx>
        <c:axId val="37904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54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4219</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cp:revision>
  <dcterms:created xsi:type="dcterms:W3CDTF">2019-10-25T02:19:00Z</dcterms:created>
  <dcterms:modified xsi:type="dcterms:W3CDTF">2019-10-28T00:39:00Z</dcterms:modified>
</cp:coreProperties>
</file>