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Times New Roman" w:hAnsi="Times New Roman"/>
          <w:b/>
          <w:sz w:val="26"/>
        </w:rPr>
        <w:t>BỘ GIÁO DỤC VÀ ĐÀO TẠO</w:t>
        <w:br/>
      </w:r>
      <w:r>
        <w:rPr>
          <w:rFonts w:ascii="Times New Roman" w:hAnsi="Times New Roman"/>
          <w:b/>
          <w:color w:val="002060"/>
          <w:sz w:val="28"/>
        </w:rPr>
        <w:t>TRƯỜNG ĐẠI HỌC GIAO THÔNG VẬN TẢI HÀ NỘI</w:t>
        <w:br/>
      </w:r>
      <w:r>
        <w:rPr>
          <w:rFonts w:ascii="Times New Roman" w:hAnsi="Times New Roman"/>
          <w:b/>
          <w:sz w:val="24"/>
        </w:rPr>
        <w:t>KHOA KỸ THUẬT XÂY DỰNG / KINH TẾ XÂY DỰNG</w:t>
        <w:br/>
      </w:r>
    </w:p>
    <w:p>
      <w:pPr>
        <w:spacing w:after="800"/>
        <w:jc w:val="center"/>
      </w:pPr>
      <w:r>
        <w:rPr>
          <w:color w:val="002060"/>
        </w:rPr>
        <w:t>―――――――――――――――――――――――――</w:t>
      </w:r>
    </w:p>
    <w:p>
      <w:pPr>
        <w:spacing w:after="240"/>
        <w:jc w:val="center"/>
      </w:pPr>
      <w:r>
        <w:rPr>
          <w:rFonts w:ascii="Times New Roman" w:hAnsi="Times New Roman"/>
          <w:b/>
          <w:color w:val="595959"/>
          <w:sz w:val="28"/>
        </w:rPr>
        <w:t>TIỂU LUẬN CHUYÊN ĐỀ HỌC THUẬT</w:t>
      </w:r>
    </w:p>
    <w:p>
      <w:pPr>
        <w:spacing w:after="280"/>
        <w:jc w:val="center"/>
      </w:pPr>
      <w:r>
        <w:rPr>
          <w:rFonts w:ascii="Times New Roman" w:hAnsi="Times New Roman"/>
          <w:b/>
          <w:color w:val="002060"/>
          <w:sz w:val="38"/>
        </w:rPr>
        <w:t>QUẢN LÝ DỰ ÁN ĐẦU TƯ XÂY DỰNG CÔNG TRÌNH</w:t>
      </w:r>
    </w:p>
    <w:p>
      <w:pPr>
        <w:spacing w:after="1000"/>
        <w:jc w:val="center"/>
      </w:pPr>
      <w:r>
        <w:rPr>
          <w:rFonts w:ascii="Times New Roman" w:hAnsi="Times New Roman"/>
          <w:i/>
          <w:color w:val="262626"/>
          <w:sz w:val="25"/>
        </w:rPr>
        <w:t>CHUYÊN ĐỀ: BỘ BÀI LÀM VÀ BÁO CÁO PHẢN BIỆN ĐA TẦNG 5 CÂU HỎI TRỌNG TÂM</w:t>
        <w:br/>
        <w:t>(Phân tích nhiệm vụ, Vòng đời dự án, Phối hợp chủ thể,</w:t>
        <w:br/>
        <w:t>Xử lý mất đồng bộ Cung ứng và Giải quyết tranh chấp chậm tiến độ 3 Nhà thầu)</w:t>
      </w:r>
    </w:p>
    <w:tbl>
      <w:tblPr>
        <w:tblW w:type="auto" w:w="0"/>
        <w:jc w:val="center"/>
        <w:tblLayout w:type="fixed"/>
        <w:tblLook w:firstColumn="1" w:firstRow="1" w:lastColumn="0" w:lastRow="0" w:noHBand="0" w:noVBand="1" w:val="04A0"/>
      </w:tblPr>
      <w:tblGrid>
        <w:gridCol w:w="4536"/>
        <w:gridCol w:w="4536"/>
      </w:tblGrid>
      <w:tr>
        <w:tc>
          <w:tcPr>
            <w:tcW w:type="dxa" w:w="3168"/>
            <w:tcMar>
              <w:top w:w="40" w:type="dxa"/>
              <w:left w:w="60" w:type="dxa"/>
              <w:bottom w:w="40" w:type="dxa"/>
              <w:right w:w="60" w:type="dxa"/>
            </w:tcMar>
          </w:tcPr>
          <w:p>
            <w:pPr>
              <w:spacing w:after="60"/>
              <w:jc w:val="right"/>
            </w:pPr>
            <w:r>
              <w:rPr>
                <w:rFonts w:ascii="Times New Roman" w:hAnsi="Times New Roman"/>
                <w:b/>
                <w:color w:val="002060"/>
                <w:sz w:val="24"/>
              </w:rPr>
              <w:t>Học phần / Môn học:</w:t>
            </w:r>
          </w:p>
        </w:tc>
        <w:tc>
          <w:tcPr>
            <w:tcW w:type="dxa" w:w="5760"/>
            <w:tcMar>
              <w:top w:w="40" w:type="dxa"/>
              <w:left w:w="60" w:type="dxa"/>
              <w:bottom w:w="40" w:type="dxa"/>
              <w:right w:w="60" w:type="dxa"/>
            </w:tcMar>
          </w:tcPr>
          <w:p>
            <w:pPr>
              <w:spacing w:after="60"/>
              <w:jc w:val="left"/>
            </w:pPr>
            <w:r>
              <w:rPr>
                <w:rFonts w:ascii="Times New Roman" w:hAnsi="Times New Roman"/>
                <w:color w:val="262626"/>
                <w:sz w:val="24"/>
              </w:rPr>
              <w:t>Quản lý dự án đầu tư xây dựng công trình</w:t>
            </w:r>
          </w:p>
        </w:tc>
      </w:tr>
      <w:tr>
        <w:tc>
          <w:tcPr>
            <w:tcW w:type="dxa" w:w="3168"/>
            <w:tcMar>
              <w:top w:w="40" w:type="dxa"/>
              <w:left w:w="60" w:type="dxa"/>
              <w:bottom w:w="40" w:type="dxa"/>
              <w:right w:w="60" w:type="dxa"/>
            </w:tcMar>
          </w:tcPr>
          <w:p>
            <w:pPr>
              <w:spacing w:after="60"/>
              <w:jc w:val="right"/>
            </w:pPr>
            <w:r>
              <w:rPr>
                <w:rFonts w:ascii="Times New Roman" w:hAnsi="Times New Roman"/>
                <w:b/>
                <w:color w:val="002060"/>
                <w:sz w:val="24"/>
              </w:rPr>
              <w:t>Mã học phần / Lớp:</w:t>
            </w:r>
          </w:p>
        </w:tc>
        <w:tc>
          <w:tcPr>
            <w:tcW w:type="dxa" w:w="5760"/>
            <w:tcMar>
              <w:top w:w="40" w:type="dxa"/>
              <w:left w:w="60" w:type="dxa"/>
              <w:bottom w:w="40" w:type="dxa"/>
              <w:right w:w="60" w:type="dxa"/>
            </w:tcMar>
          </w:tcPr>
          <w:p>
            <w:pPr>
              <w:spacing w:after="60"/>
              <w:jc w:val="left"/>
            </w:pPr>
            <w:r>
              <w:rPr>
                <w:rFonts w:ascii="Times New Roman" w:hAnsi="Times New Roman"/>
                <w:color w:val="262626"/>
                <w:sz w:val="24"/>
              </w:rPr>
              <w:t>Chuyên ngành Xây dựng Công trình Giao thông &amp; Dân dụng</w:t>
            </w:r>
          </w:p>
        </w:tc>
      </w:tr>
      <w:tr>
        <w:tc>
          <w:tcPr>
            <w:tcW w:type="dxa" w:w="3168"/>
            <w:tcMar>
              <w:top w:w="40" w:type="dxa"/>
              <w:left w:w="60" w:type="dxa"/>
              <w:bottom w:w="40" w:type="dxa"/>
              <w:right w:w="60" w:type="dxa"/>
            </w:tcMar>
          </w:tcPr>
          <w:p>
            <w:pPr>
              <w:spacing w:after="60"/>
              <w:jc w:val="right"/>
            </w:pPr>
            <w:r>
              <w:rPr>
                <w:rFonts w:ascii="Times New Roman" w:hAnsi="Times New Roman"/>
                <w:b/>
                <w:color w:val="002060"/>
                <w:sz w:val="24"/>
              </w:rPr>
              <w:t>Mục tiêu đánh giá:</w:t>
            </w:r>
          </w:p>
        </w:tc>
        <w:tc>
          <w:tcPr>
            <w:tcW w:type="dxa" w:w="5760"/>
            <w:tcMar>
              <w:top w:w="40" w:type="dxa"/>
              <w:left w:w="60" w:type="dxa"/>
              <w:bottom w:w="40" w:type="dxa"/>
              <w:right w:w="60" w:type="dxa"/>
            </w:tcMar>
          </w:tcPr>
          <w:p>
            <w:pPr>
              <w:spacing w:after="60"/>
              <w:jc w:val="left"/>
            </w:pPr>
            <w:r>
              <w:rPr>
                <w:rFonts w:ascii="Times New Roman" w:hAnsi="Times New Roman"/>
                <w:color w:val="262626"/>
                <w:sz w:val="24"/>
              </w:rPr>
              <w:t>Đạt điểm tối đa (10/10) - Đạt chuẩn phản biện đa tầng UTC</w:t>
            </w:r>
          </w:p>
        </w:tc>
      </w:tr>
      <w:tr>
        <w:tc>
          <w:tcPr>
            <w:tcW w:type="dxa" w:w="3168"/>
            <w:tcMar>
              <w:top w:w="40" w:type="dxa"/>
              <w:left w:w="60" w:type="dxa"/>
              <w:bottom w:w="40" w:type="dxa"/>
              <w:right w:w="60" w:type="dxa"/>
            </w:tcMar>
          </w:tcPr>
          <w:p>
            <w:pPr>
              <w:spacing w:after="60"/>
              <w:jc w:val="right"/>
            </w:pPr>
            <w:r>
              <w:rPr>
                <w:rFonts w:ascii="Times New Roman" w:hAnsi="Times New Roman"/>
                <w:b/>
                <w:color w:val="002060"/>
                <w:sz w:val="24"/>
              </w:rPr>
              <w:t>Năm học / Học kỳ:</w:t>
            </w:r>
          </w:p>
        </w:tc>
        <w:tc>
          <w:tcPr>
            <w:tcW w:type="dxa" w:w="5760"/>
            <w:tcMar>
              <w:top w:w="40" w:type="dxa"/>
              <w:left w:w="60" w:type="dxa"/>
              <w:bottom w:w="40" w:type="dxa"/>
              <w:right w:w="60" w:type="dxa"/>
            </w:tcMar>
          </w:tcPr>
          <w:p>
            <w:pPr>
              <w:spacing w:after="60"/>
              <w:jc w:val="left"/>
            </w:pPr>
            <w:r>
              <w:rPr>
                <w:rFonts w:ascii="Times New Roman" w:hAnsi="Times New Roman"/>
                <w:color w:val="262626"/>
                <w:sz w:val="24"/>
              </w:rPr>
              <w:t>Năm học 2025 - 2026</w:t>
            </w:r>
          </w:p>
        </w:tc>
      </w:tr>
    </w:tbl>
    <w:p>
      <w:pPr>
        <w:spacing w:before="1600" w:after="0"/>
        <w:jc w:val="center"/>
      </w:pPr>
      <w:r>
        <w:rPr>
          <w:rFonts w:ascii="Times New Roman" w:hAnsi="Times New Roman"/>
          <w:b/>
          <w:color w:val="002060"/>
          <w:sz w:val="24"/>
        </w:rPr>
        <w:t>HÀ NỘI, NĂM 2026</w:t>
      </w:r>
    </w:p>
    <w:p>
      <w:r>
        <w:br w:type="page"/>
      </w:r>
    </w:p>
    <w:p>
      <w:r>
        <w:br w:type="page"/>
      </w:r>
    </w:p>
    <w:p>
      <w:pPr>
        <w:keepNext/>
        <w:spacing w:before="280" w:after="200"/>
        <w:jc w:val="center"/>
      </w:pPr>
      <w:r>
        <w:rPr>
          <w:rFonts w:ascii="Times New Roman" w:hAnsi="Times New Roman"/>
          <w:b/>
          <w:color w:val="002060"/>
          <w:sz w:val="32"/>
        </w:rPr>
        <w:t>BỘ BÀI LÀM VÀ PHÂN TÍCH CHUYÊN SÂU</w:t>
      </w:r>
    </w:p>
    <w:p>
      <w:pPr>
        <w:keepNext/>
        <w:spacing w:before="240" w:after="120"/>
      </w:pPr>
      <w:r>
        <w:rPr>
          <w:rFonts w:ascii="Times New Roman" w:hAnsi="Times New Roman"/>
          <w:b/>
          <w:color w:val="002060"/>
          <w:sz w:val="28"/>
        </w:rPr>
        <w:t>MÔN: QUẢN LÝ DỰ ÁN ĐẦU TƯ XÂY DỰNG CÔNG TRÌNH</w:t>
      </w:r>
    </w:p>
    <w:p>
      <w:pPr>
        <w:spacing w:before="40" w:after="80" w:line="336" w:lineRule="auto"/>
        <w:ind w:firstLine="432"/>
      </w:pPr>
      <w:r>
        <w:rPr>
          <w:rFonts w:ascii="Times New Roman" w:hAnsi="Times New Roman"/>
          <w:b/>
          <w:i w:val="0"/>
          <w:color w:val="262626"/>
          <w:sz w:val="26"/>
        </w:rPr>
        <w:t>Cơ sở đào tạo:</w:t>
      </w:r>
      <w:r>
        <w:rPr>
          <w:rFonts w:ascii="Times New Roman" w:hAnsi="Times New Roman"/>
          <w:b w:val="0"/>
          <w:i w:val="0"/>
          <w:color w:val="262626"/>
          <w:sz w:val="26"/>
        </w:rPr>
        <w:t xml:space="preserve"> Trường Đại học Giao thông Vận tải Hà Nội (UTC)</w:t>
      </w:r>
    </w:p>
    <w:p>
      <w:pPr>
        <w:spacing w:before="40" w:after="80" w:line="336" w:lineRule="auto"/>
        <w:ind w:firstLine="432"/>
      </w:pPr>
      <w:r>
        <w:rPr>
          <w:rFonts w:ascii="Times New Roman" w:hAnsi="Times New Roman"/>
          <w:b/>
          <w:i w:val="0"/>
          <w:color w:val="262626"/>
          <w:sz w:val="26"/>
        </w:rPr>
        <w:t>Chuyên ngành:</w:t>
      </w:r>
      <w:r>
        <w:rPr>
          <w:rFonts w:ascii="Times New Roman" w:hAnsi="Times New Roman"/>
          <w:b w:val="0"/>
          <w:i w:val="0"/>
          <w:color w:val="262626"/>
          <w:sz w:val="26"/>
        </w:rPr>
        <w:t xml:space="preserve"> Quản lý Xây dựng / Kỹ thuật Xây dựng Công trình Giao thông &amp; Dân dụng</w:t>
      </w:r>
    </w:p>
    <w:p>
      <w:pPr>
        <w:spacing w:before="40" w:after="80" w:line="336" w:lineRule="auto"/>
        <w:ind w:firstLine="432"/>
      </w:pPr>
      <w:r>
        <w:rPr>
          <w:rFonts w:ascii="Times New Roman" w:hAnsi="Times New Roman"/>
          <w:b/>
          <w:i w:val="0"/>
          <w:color w:val="262626"/>
          <w:sz w:val="26"/>
        </w:rPr>
        <w:t>Khung tham chiếu pháp lý &amp; chuyên môn:</w:t>
      </w:r>
    </w:p>
    <w:p>
      <w:pPr>
        <w:spacing w:before="20" w:after="60" w:line="324" w:lineRule="auto"/>
        <w:ind w:left="360"/>
      </w:pPr>
      <w:r>
        <w:rPr>
          <w:rFonts w:ascii="Times New Roman" w:hAnsi="Times New Roman"/>
          <w:b/>
          <w:color w:val="002060"/>
          <w:sz w:val="22"/>
        </w:rPr>
        <w:t xml:space="preserve">•  </w:t>
      </w:r>
      <w:r>
        <w:rPr>
          <w:rFonts w:ascii="Times New Roman" w:hAnsi="Times New Roman"/>
          <w:b w:val="0"/>
          <w:i w:val="0"/>
          <w:color w:val="262626"/>
          <w:sz w:val="25"/>
        </w:rPr>
        <w:t>Luật Xây dựng số 50/2014/QH13 và Luật sửa đổi, bổ sung số 62/2020/QH14.</w:t>
      </w:r>
    </w:p>
    <w:p>
      <w:pPr>
        <w:spacing w:before="20" w:after="60" w:line="324" w:lineRule="auto"/>
        <w:ind w:left="360"/>
      </w:pPr>
      <w:r>
        <w:rPr>
          <w:rFonts w:ascii="Times New Roman" w:hAnsi="Times New Roman"/>
          <w:b/>
          <w:color w:val="002060"/>
          <w:sz w:val="22"/>
        </w:rPr>
        <w:t xml:space="preserve">•  </w:t>
      </w:r>
      <w:r>
        <w:rPr>
          <w:rFonts w:ascii="Times New Roman" w:hAnsi="Times New Roman"/>
          <w:b w:val="0"/>
          <w:i w:val="0"/>
          <w:color w:val="262626"/>
          <w:sz w:val="25"/>
        </w:rPr>
        <w:t>Luật Đấu thầu số 22/2023/QH15; Luật Đầu tư công số 39/2019/QH14.</w:t>
      </w:r>
    </w:p>
    <w:p>
      <w:pPr>
        <w:spacing w:before="20" w:after="60" w:line="324" w:lineRule="auto"/>
        <w:ind w:left="360"/>
      </w:pPr>
      <w:r>
        <w:rPr>
          <w:rFonts w:ascii="Times New Roman" w:hAnsi="Times New Roman"/>
          <w:b/>
          <w:color w:val="002060"/>
          <w:sz w:val="22"/>
        </w:rPr>
        <w:t xml:space="preserve">•  </w:t>
      </w:r>
      <w:r>
        <w:rPr>
          <w:rFonts w:ascii="Times New Roman" w:hAnsi="Times New Roman"/>
          <w:b w:val="0"/>
          <w:i w:val="0"/>
          <w:color w:val="262626"/>
          <w:sz w:val="25"/>
        </w:rPr>
        <w:t>Nghị định số 15/2021/NĐ-CP và Nghị định 35/2023/NĐ-CP (Quản lý dự án ĐTXD).</w:t>
      </w:r>
    </w:p>
    <w:p>
      <w:pPr>
        <w:spacing w:before="20" w:after="60" w:line="324" w:lineRule="auto"/>
        <w:ind w:left="360"/>
      </w:pPr>
      <w:r>
        <w:rPr>
          <w:rFonts w:ascii="Times New Roman" w:hAnsi="Times New Roman"/>
          <w:b/>
          <w:color w:val="002060"/>
          <w:sz w:val="22"/>
        </w:rPr>
        <w:t xml:space="preserve">•  </w:t>
      </w:r>
      <w:r>
        <w:rPr>
          <w:rFonts w:ascii="Times New Roman" w:hAnsi="Times New Roman"/>
          <w:b w:val="0"/>
          <w:i w:val="0"/>
          <w:color w:val="262626"/>
          <w:sz w:val="25"/>
        </w:rPr>
        <w:t>Nghị định số 10/2021/NĐ-CP (Quản lý chi phí ĐTXD).</w:t>
      </w:r>
    </w:p>
    <w:p>
      <w:pPr>
        <w:spacing w:before="20" w:after="60" w:line="324" w:lineRule="auto"/>
        <w:ind w:left="360"/>
      </w:pPr>
      <w:r>
        <w:rPr>
          <w:rFonts w:ascii="Times New Roman" w:hAnsi="Times New Roman"/>
          <w:b/>
          <w:color w:val="002060"/>
          <w:sz w:val="22"/>
        </w:rPr>
        <w:t xml:space="preserve">•  </w:t>
      </w:r>
      <w:r>
        <w:rPr>
          <w:rFonts w:ascii="Times New Roman" w:hAnsi="Times New Roman"/>
          <w:b w:val="0"/>
          <w:i w:val="0"/>
          <w:color w:val="262626"/>
          <w:sz w:val="25"/>
        </w:rPr>
        <w:t>Nghị định số 06/2021/NĐ-CP (Quản lý chất lượng, thi công và bảo trì công trình).</w:t>
      </w:r>
    </w:p>
    <w:p>
      <w:pPr>
        <w:spacing w:before="20" w:after="60" w:line="324" w:lineRule="auto"/>
        <w:ind w:left="360"/>
      </w:pPr>
      <w:r>
        <w:rPr>
          <w:rFonts w:ascii="Times New Roman" w:hAnsi="Times New Roman"/>
          <w:b/>
          <w:color w:val="002060"/>
          <w:sz w:val="22"/>
        </w:rPr>
        <w:t xml:space="preserve">•  </w:t>
      </w:r>
      <w:r>
        <w:rPr>
          <w:rFonts w:ascii="Times New Roman" w:hAnsi="Times New Roman"/>
          <w:b w:val="0"/>
          <w:i w:val="0"/>
          <w:color w:val="262626"/>
          <w:sz w:val="25"/>
        </w:rPr>
        <w:t>Chuẩn mực quốc tế: PMBOK (PMI), Hợp đồng mẫu FIDIC, Hệ thống Lean Construction (Last Planner System).</w:t>
      </w:r>
    </w:p>
    <w:p>
      <w:pPr>
        <w:spacing w:before="80" w:after="160"/>
        <w:jc w:val="center"/>
      </w:pPr>
      <w:r>
        <w:rPr>
          <w:color w:val="B0C4DE"/>
        </w:rPr>
        <w:t>―――――――――――――――――――――――――――――――――――</w:t>
      </w:r>
    </w:p>
    <w:p>
      <w:r>
        <w:br w:type="page"/>
      </w:r>
    </w:p>
    <w:p>
      <w:pPr>
        <w:keepNext/>
        <w:spacing w:before="280" w:after="200"/>
        <w:jc w:val="center"/>
      </w:pPr>
      <w:r>
        <w:rPr>
          <w:rFonts w:ascii="Times New Roman" w:hAnsi="Times New Roman"/>
          <w:b/>
          <w:color w:val="002060"/>
          <w:sz w:val="32"/>
        </w:rPr>
        <w:t>CÂU 1: PHÂN TÍCH CÁC NHIỆM VỤ CHỦ YẾU CỦA QUẢN LÝ DỰ ÁN ĐẦU TƯ XÂY DỰNG CÔNG TRÌNH</w:t>
      </w:r>
    </w:p>
    <w:p>
      <w:pPr>
        <w:keepNext/>
        <w:spacing w:before="240" w:after="120"/>
      </w:pPr>
      <w:r>
        <w:rPr>
          <w:rFonts w:ascii="Times New Roman" w:hAnsi="Times New Roman"/>
          <w:b/>
          <w:color w:val="002060"/>
          <w:sz w:val="28"/>
        </w:rPr>
        <w:t>1. Bổ sung ngữ cảnh chuyên ngành và cơ sở pháp lý</w:t>
      </w:r>
    </w:p>
    <w:p>
      <w:pPr>
        <w:spacing w:before="20" w:after="60" w:line="324" w:lineRule="auto"/>
        <w:ind w:left="360"/>
      </w:pPr>
      <w:r>
        <w:rPr>
          <w:rFonts w:ascii="Times New Roman" w:hAnsi="Times New Roman"/>
          <w:b/>
          <w:color w:val="002060"/>
          <w:sz w:val="22"/>
        </w:rPr>
        <w:t xml:space="preserve">•  </w:t>
      </w:r>
      <w:r>
        <w:rPr>
          <w:rFonts w:ascii="Times New Roman" w:hAnsi="Times New Roman"/>
          <w:b/>
          <w:i w:val="0"/>
          <w:color w:val="262626"/>
          <w:sz w:val="25"/>
        </w:rPr>
        <w:t>Bối cảnh ngành Xây dựng - Giao thông (UTC):</w:t>
      </w:r>
      <w:r>
        <w:rPr>
          <w:rFonts w:ascii="Times New Roman" w:hAnsi="Times New Roman"/>
          <w:b w:val="0"/>
          <w:i w:val="0"/>
          <w:color w:val="262626"/>
          <w:sz w:val="25"/>
        </w:rPr>
        <w:t xml:space="preserve"> Dự án đầu tư xây dựng (ĐTXD) là loại hình dự án có quy mô vốn lớn, thời gian thực hiện kéo dài, tính chất kỹ thuật phức tạp và chịu sự tác động mạnh mẽ của các yếu tố địa chất, thời tiết, giải phóng mặt bằng cũng như biến động thị trường.</w:t>
      </w:r>
    </w:p>
    <w:p>
      <w:pPr>
        <w:spacing w:before="20" w:after="60" w:line="324" w:lineRule="auto"/>
        <w:ind w:left="360"/>
      </w:pPr>
      <w:r>
        <w:rPr>
          <w:rFonts w:ascii="Times New Roman" w:hAnsi="Times New Roman"/>
          <w:b/>
          <w:color w:val="002060"/>
          <w:sz w:val="22"/>
        </w:rPr>
        <w:t xml:space="preserve">•  </w:t>
      </w:r>
      <w:r>
        <w:rPr>
          <w:rFonts w:ascii="Times New Roman" w:hAnsi="Times New Roman"/>
          <w:b/>
          <w:i w:val="0"/>
          <w:color w:val="262626"/>
          <w:sz w:val="25"/>
        </w:rPr>
        <w:t>Bản chất của Quản lý dự án (QLDA):</w:t>
      </w:r>
      <w:r>
        <w:rPr>
          <w:rFonts w:ascii="Times New Roman" w:hAnsi="Times New Roman"/>
          <w:b w:val="0"/>
          <w:i w:val="0"/>
          <w:color w:val="262626"/>
          <w:sz w:val="25"/>
        </w:rPr>
        <w:t xml:space="preserve"> Không đơn thuần là việc thực hiện các thủ tục hành chính, QLDA là quá trình áp dụng có hệ thống các kiến thức, kỹ năng, công cụ và kỹ thuật vào các hoạt động của dự án nhằm đạt được các mục tiêu xác định trong điều kiện ràng buộc về </w:t>
      </w:r>
      <w:r>
        <w:rPr>
          <w:rFonts w:ascii="Times New Roman" w:hAnsi="Times New Roman"/>
          <w:b/>
          <w:i w:val="0"/>
          <w:color w:val="262626"/>
          <w:sz w:val="25"/>
        </w:rPr>
        <w:t>Tiến độ, Chi phí, Chất lượng, Phạm vi và An toàn</w:t>
      </w:r>
      <w:r>
        <w:rPr>
          <w:rFonts w:ascii="Times New Roman" w:hAnsi="Times New Roman"/>
          <w:b w:val="0"/>
          <w:i w:val="0"/>
          <w:color w:val="262626"/>
          <w:sz w:val="25"/>
        </w:rPr>
        <w:t xml:space="preserve"> (Tam giác mục tiêu mở rộng).</w:t>
      </w:r>
    </w:p>
    <w:p>
      <w:pPr>
        <w:spacing w:before="20" w:after="60" w:line="324" w:lineRule="auto"/>
        <w:ind w:left="360"/>
      </w:pPr>
      <w:r>
        <w:rPr>
          <w:rFonts w:ascii="Times New Roman" w:hAnsi="Times New Roman"/>
          <w:b/>
          <w:color w:val="002060"/>
          <w:sz w:val="22"/>
        </w:rPr>
        <w:t xml:space="preserve">•  </w:t>
      </w:r>
      <w:r>
        <w:rPr>
          <w:rFonts w:ascii="Times New Roman" w:hAnsi="Times New Roman"/>
          <w:b/>
          <w:i w:val="0"/>
          <w:color w:val="262626"/>
          <w:sz w:val="25"/>
        </w:rPr>
        <w:t>Căn cứ pháp lý:</w:t>
      </w:r>
      <w:r>
        <w:rPr>
          <w:rFonts w:ascii="Times New Roman" w:hAnsi="Times New Roman"/>
          <w:b w:val="0"/>
          <w:i w:val="0"/>
          <w:color w:val="262626"/>
          <w:sz w:val="25"/>
        </w:rPr>
        <w:t xml:space="preserve"> Điều 66 Luật Xây dựng 2014 (sửa đổi 2020) và Điều 11 Nghị định 15/2021/NĐ-CP quy định nội dung quản lý dự án bao gồm quản lý về phạm vi, kế hoạch tiến độ, khối lượng, chất lượng, chi phí, an toàn trong thi công, bảo vệ môi trường, lựa chọn nhà thầu, quản lý hợp đồng và rủi ro.</w:t>
      </w:r>
    </w:p>
    <w:p>
      <w:pPr>
        <w:spacing w:before="80" w:after="160"/>
        <w:jc w:val="center"/>
      </w:pPr>
      <w:r>
        <w:rPr>
          <w:color w:val="B0C4DE"/>
        </w:rPr>
        <w:t>―――――――――――――――――――――――――――――――――――</w:t>
      </w:r>
    </w:p>
    <w:p>
      <w:pPr>
        <w:keepNext/>
        <w:spacing w:before="240" w:after="120"/>
      </w:pPr>
      <w:r>
        <w:rPr>
          <w:rFonts w:ascii="Times New Roman" w:hAnsi="Times New Roman"/>
          <w:b/>
          <w:color w:val="002060"/>
          <w:sz w:val="28"/>
        </w:rPr>
        <w:t>2. Phân tích chi tiết 8 nhiệm vụ cốt lõi của Quản lý dự án</w:t>
      </w:r>
    </w:p>
    <w:p>
      <w:pPr>
        <w:keepNext/>
        <w:spacing w:before="160" w:after="80"/>
      </w:pPr>
      <w:r>
        <w:rPr>
          <w:rFonts w:ascii="Times New Roman" w:hAnsi="Times New Roman"/>
          <w:b/>
          <w:color w:val="1F4E79"/>
          <w:sz w:val="26"/>
        </w:rPr>
        <w:t>2.1. Quản lý phạm vi dự án (Scope Management)</w:t>
      </w:r>
    </w:p>
    <w:p>
      <w:pPr>
        <w:spacing w:before="20" w:after="60" w:line="324" w:lineRule="auto"/>
        <w:ind w:left="360"/>
      </w:pPr>
      <w:r>
        <w:rPr>
          <w:rFonts w:ascii="Times New Roman" w:hAnsi="Times New Roman"/>
          <w:b/>
          <w:color w:val="002060"/>
          <w:sz w:val="22"/>
        </w:rPr>
        <w:t xml:space="preserve">•  </w:t>
      </w:r>
      <w:r>
        <w:rPr>
          <w:rFonts w:ascii="Times New Roman" w:hAnsi="Times New Roman"/>
          <w:b/>
          <w:i w:val="0"/>
          <w:color w:val="262626"/>
          <w:sz w:val="25"/>
        </w:rPr>
        <w:t>Nội dung:</w:t>
      </w:r>
      <w:r>
        <w:rPr>
          <w:rFonts w:ascii="Times New Roman" w:hAnsi="Times New Roman"/>
          <w:b w:val="0"/>
          <w:i w:val="0"/>
          <w:color w:val="262626"/>
          <w:sz w:val="25"/>
        </w:rPr>
        <w:t xml:space="preserve"> Xác định rõ ràng công trình bao gồm những hạng mục gì và không bao gồm những hạng mục gì. Lập cấu trúc phân chia công việc (Work Breakdown Structure - WBS) từ cấp độ toàn dự án xuống đến các gói thầu, hạng mục, công tác xây lắp cụ thể.</w:t>
      </w:r>
    </w:p>
    <w:p>
      <w:pPr>
        <w:spacing w:before="20" w:after="60" w:line="324" w:lineRule="auto"/>
        <w:ind w:left="360"/>
      </w:pPr>
      <w:r>
        <w:rPr>
          <w:rFonts w:ascii="Times New Roman" w:hAnsi="Times New Roman"/>
          <w:b/>
          <w:color w:val="002060"/>
          <w:sz w:val="22"/>
        </w:rPr>
        <w:t xml:space="preserve">•  </w:t>
      </w:r>
      <w:r>
        <w:rPr>
          <w:rFonts w:ascii="Times New Roman" w:hAnsi="Times New Roman"/>
          <w:b/>
          <w:i w:val="0"/>
          <w:color w:val="262626"/>
          <w:sz w:val="25"/>
        </w:rPr>
        <w:t>Nhiệm vụ của Ban QLDA:</w:t>
      </w:r>
    </w:p>
    <w:p>
      <w:pPr>
        <w:spacing w:before="20" w:after="60" w:line="324" w:lineRule="auto"/>
        <w:ind w:left="360"/>
      </w:pPr>
      <w:r>
        <w:rPr>
          <w:rFonts w:ascii="Times New Roman" w:hAnsi="Times New Roman"/>
          <w:b/>
          <w:color w:val="002060"/>
          <w:sz w:val="22"/>
        </w:rPr>
        <w:t xml:space="preserve">•  </w:t>
      </w:r>
      <w:r>
        <w:rPr>
          <w:rFonts w:ascii="Times New Roman" w:hAnsi="Times New Roman"/>
          <w:b w:val="0"/>
          <w:i w:val="0"/>
          <w:color w:val="262626"/>
          <w:sz w:val="25"/>
        </w:rPr>
        <w:t>Kiểm soát việc tuân thủ quy mô đầu tư, diện tích sàn, cấp công trình, công suất thiết kế đã được phê duyệt trong Báo cáo nghiên cứu khả thi (F/S).</w:t>
      </w:r>
    </w:p>
    <w:p>
      <w:pPr>
        <w:spacing w:before="20" w:after="60" w:line="324" w:lineRule="auto"/>
        <w:ind w:left="360"/>
      </w:pPr>
      <w:r>
        <w:rPr>
          <w:rFonts w:ascii="Times New Roman" w:hAnsi="Times New Roman"/>
          <w:b/>
          <w:color w:val="002060"/>
          <w:sz w:val="22"/>
        </w:rPr>
        <w:t xml:space="preserve">•  </w:t>
      </w:r>
      <w:r>
        <w:rPr>
          <w:rFonts w:ascii="Times New Roman" w:hAnsi="Times New Roman"/>
          <w:b w:val="0"/>
          <w:i w:val="0"/>
          <w:color w:val="262626"/>
          <w:sz w:val="25"/>
        </w:rPr>
        <w:t>Ngăn chặn hiện tượng "phình phạm vi" (Scope Creep) – việc tự ý bổ sung các hạng mục phát sinh ngoài chủ trương đầu tư làm vượt tổng mức đầu tư và kéo dài tiến độ.</w:t>
      </w:r>
    </w:p>
    <w:p>
      <w:pPr>
        <w:keepNext/>
        <w:spacing w:before="160" w:after="80"/>
      </w:pPr>
      <w:r>
        <w:rPr>
          <w:rFonts w:ascii="Times New Roman" w:hAnsi="Times New Roman"/>
          <w:b/>
          <w:color w:val="1F4E79"/>
          <w:sz w:val="26"/>
        </w:rPr>
        <w:t>2.2. Quản lý tiến độ dự án (Time / Schedule Management)</w:t>
      </w:r>
    </w:p>
    <w:p>
      <w:pPr>
        <w:spacing w:before="20" w:after="60" w:line="324" w:lineRule="auto"/>
        <w:ind w:left="360"/>
      </w:pPr>
      <w:r>
        <w:rPr>
          <w:rFonts w:ascii="Times New Roman" w:hAnsi="Times New Roman"/>
          <w:b/>
          <w:color w:val="002060"/>
          <w:sz w:val="22"/>
        </w:rPr>
        <w:t xml:space="preserve">•  </w:t>
      </w:r>
      <w:r>
        <w:rPr>
          <w:rFonts w:ascii="Times New Roman" w:hAnsi="Times New Roman"/>
          <w:b/>
          <w:i w:val="0"/>
          <w:color w:val="262626"/>
          <w:sz w:val="25"/>
        </w:rPr>
        <w:t>Nội dung:</w:t>
      </w:r>
      <w:r>
        <w:rPr>
          <w:rFonts w:ascii="Times New Roman" w:hAnsi="Times New Roman"/>
          <w:b w:val="0"/>
          <w:i w:val="0"/>
          <w:color w:val="262626"/>
          <w:sz w:val="25"/>
        </w:rPr>
        <w:t xml:space="preserve"> Lập kế hoạch, theo dõi, điều phối và kiểm soát thời gian hoàn thành từng công tác, từng mốc kiểm soát (milestones) và toàn bộ dự án.</w:t>
      </w:r>
    </w:p>
    <w:p>
      <w:pPr>
        <w:spacing w:before="20" w:after="60" w:line="324" w:lineRule="auto"/>
        <w:ind w:left="360"/>
      </w:pPr>
      <w:r>
        <w:rPr>
          <w:rFonts w:ascii="Times New Roman" w:hAnsi="Times New Roman"/>
          <w:b/>
          <w:color w:val="002060"/>
          <w:sz w:val="22"/>
        </w:rPr>
        <w:t xml:space="preserve">•  </w:t>
      </w:r>
      <w:r>
        <w:rPr>
          <w:rFonts w:ascii="Times New Roman" w:hAnsi="Times New Roman"/>
          <w:b/>
          <w:i w:val="0"/>
          <w:color w:val="262626"/>
          <w:sz w:val="25"/>
        </w:rPr>
        <w:t>Công cụ &amp; Phương pháp:</w:t>
      </w:r>
    </w:p>
    <w:p>
      <w:pPr>
        <w:spacing w:before="20" w:after="60" w:line="324" w:lineRule="auto"/>
        <w:ind w:left="360"/>
      </w:pPr>
      <w:r>
        <w:rPr>
          <w:rFonts w:ascii="Times New Roman" w:hAnsi="Times New Roman"/>
          <w:b/>
          <w:color w:val="002060"/>
          <w:sz w:val="22"/>
        </w:rPr>
        <w:t xml:space="preserve">•  </w:t>
      </w:r>
      <w:r>
        <w:rPr>
          <w:rFonts w:ascii="Times New Roman" w:hAnsi="Times New Roman"/>
          <w:b w:val="0"/>
          <w:i w:val="0"/>
          <w:color w:val="262626"/>
          <w:sz w:val="25"/>
        </w:rPr>
        <w:t>Phương pháp đường găng (Critical Path Method - CPM): Xác định các công tác có thời gian dự trữ bằng không ($TF = 0$). Bất kỳ sự chậm trễ nào trên đường găng đều làm chậm tiến độ toàn dự án.</w:t>
      </w:r>
    </w:p>
    <w:p>
      <w:pPr>
        <w:spacing w:before="20" w:after="60" w:line="324" w:lineRule="auto"/>
        <w:ind w:left="360"/>
      </w:pPr>
      <w:r>
        <w:rPr>
          <w:rFonts w:ascii="Times New Roman" w:hAnsi="Times New Roman"/>
          <w:b/>
          <w:color w:val="002060"/>
          <w:sz w:val="22"/>
        </w:rPr>
        <w:t xml:space="preserve">•  </w:t>
      </w:r>
      <w:r>
        <w:rPr>
          <w:rFonts w:ascii="Times New Roman" w:hAnsi="Times New Roman"/>
          <w:b w:val="0"/>
          <w:i w:val="0"/>
          <w:color w:val="262626"/>
          <w:sz w:val="25"/>
        </w:rPr>
        <w:t>Sơ đồ ngang Gantt, biểu đồ nhân lực, thiết bị và tiến độ dòng tiền.</w:t>
      </w:r>
    </w:p>
    <w:p>
      <w:pPr>
        <w:spacing w:before="20" w:after="60" w:line="324" w:lineRule="auto"/>
        <w:ind w:left="360"/>
      </w:pPr>
      <w:r>
        <w:rPr>
          <w:rFonts w:ascii="Times New Roman" w:hAnsi="Times New Roman"/>
          <w:b/>
          <w:color w:val="002060"/>
          <w:sz w:val="22"/>
        </w:rPr>
        <w:t xml:space="preserve">•  </w:t>
      </w:r>
      <w:r>
        <w:rPr>
          <w:rFonts w:ascii="Times New Roman" w:hAnsi="Times New Roman"/>
          <w:b w:val="0"/>
          <w:i w:val="0"/>
          <w:color w:val="262626"/>
          <w:sz w:val="25"/>
        </w:rPr>
        <w:t>Áp dụng mô hình thông tin công trình BIM 4D (tích hợp 3D với trục thời gian).</w:t>
      </w:r>
    </w:p>
    <w:p>
      <w:pPr>
        <w:spacing w:before="20" w:after="60" w:line="324" w:lineRule="auto"/>
        <w:ind w:left="360"/>
      </w:pPr>
      <w:r>
        <w:rPr>
          <w:rFonts w:ascii="Times New Roman" w:hAnsi="Times New Roman"/>
          <w:b/>
          <w:color w:val="002060"/>
          <w:sz w:val="22"/>
        </w:rPr>
        <w:t xml:space="preserve">•  </w:t>
      </w:r>
      <w:r>
        <w:rPr>
          <w:rFonts w:ascii="Times New Roman" w:hAnsi="Times New Roman"/>
          <w:b/>
          <w:i w:val="0"/>
          <w:color w:val="262626"/>
          <w:sz w:val="25"/>
        </w:rPr>
        <w:t>Nhiệm vụ trọng tâm:</w:t>
      </w:r>
      <w:r>
        <w:rPr>
          <w:rFonts w:ascii="Times New Roman" w:hAnsi="Times New Roman"/>
          <w:b w:val="0"/>
          <w:i w:val="0"/>
          <w:color w:val="262626"/>
          <w:sz w:val="25"/>
        </w:rPr>
        <w:t xml:space="preserve"> Thường xuyên so sánh tiến độ thực tế (Actual Schedule) với đường cơ sở (Baseline Schedule). Khi xuất hiện độ trễ (delay), phải kích hoạt ngay các biện pháp bù tiến độ (Fast-tracking - gối đầu công việc, hoặc Crashing - nén tiến độ bằng tăng ca, tăng thiết bị).</w:t>
      </w:r>
    </w:p>
    <w:p>
      <w:pPr>
        <w:keepNext/>
        <w:spacing w:before="160" w:after="80"/>
      </w:pPr>
      <w:r>
        <w:rPr>
          <w:rFonts w:ascii="Times New Roman" w:hAnsi="Times New Roman"/>
          <w:b/>
          <w:color w:val="1F4E79"/>
          <w:sz w:val="26"/>
        </w:rPr>
        <w:t>2.3. Quản lý chi phí đầu tư xây dựng (Cost Management)</w:t>
      </w:r>
    </w:p>
    <w:p>
      <w:pPr>
        <w:spacing w:before="20" w:after="60" w:line="324" w:lineRule="auto"/>
        <w:ind w:left="360"/>
      </w:pPr>
      <w:r>
        <w:rPr>
          <w:rFonts w:ascii="Times New Roman" w:hAnsi="Times New Roman"/>
          <w:b/>
          <w:color w:val="002060"/>
          <w:sz w:val="22"/>
        </w:rPr>
        <w:t xml:space="preserve">•  </w:t>
      </w:r>
      <w:r>
        <w:rPr>
          <w:rFonts w:ascii="Times New Roman" w:hAnsi="Times New Roman"/>
          <w:b/>
          <w:i w:val="0"/>
          <w:color w:val="262626"/>
          <w:sz w:val="25"/>
        </w:rPr>
        <w:t>Căn cứ:</w:t>
      </w:r>
      <w:r>
        <w:rPr>
          <w:rFonts w:ascii="Times New Roman" w:hAnsi="Times New Roman"/>
          <w:b w:val="0"/>
          <w:i w:val="0"/>
          <w:color w:val="262626"/>
          <w:sz w:val="25"/>
        </w:rPr>
        <w:t xml:space="preserve"> Nghị định số 10/2021/NĐ-CP của Chính phủ.</w:t>
      </w:r>
    </w:p>
    <w:p>
      <w:pPr>
        <w:spacing w:before="20" w:after="60" w:line="324" w:lineRule="auto"/>
        <w:ind w:left="360"/>
      </w:pPr>
      <w:r>
        <w:rPr>
          <w:rFonts w:ascii="Times New Roman" w:hAnsi="Times New Roman"/>
          <w:b/>
          <w:color w:val="002060"/>
          <w:sz w:val="22"/>
        </w:rPr>
        <w:t xml:space="preserve">•  </w:t>
      </w:r>
      <w:r>
        <w:rPr>
          <w:rFonts w:ascii="Times New Roman" w:hAnsi="Times New Roman"/>
          <w:b/>
          <w:i w:val="0"/>
          <w:color w:val="262626"/>
          <w:sz w:val="25"/>
        </w:rPr>
        <w:t>Nội dung:</w:t>
      </w:r>
      <w:r>
        <w:rPr>
          <w:rFonts w:ascii="Times New Roman" w:hAnsi="Times New Roman"/>
          <w:b w:val="0"/>
          <w:i w:val="0"/>
          <w:color w:val="262626"/>
          <w:sz w:val="25"/>
        </w:rPr>
        <w:t xml:space="preserve"> Kiểm soát toàn bộ dòng vốn từ khâu lập Tổng mức đầu tư (TMĐT), lập Dự toán xây dựng công trình, Dự toán gói thầu đến khâu giải ngân, thanh toán khối lượng hoàn thành và quyết toán vốn đầu tư.</w:t>
      </w:r>
    </w:p>
    <w:p>
      <w:pPr>
        <w:spacing w:before="20" w:after="60" w:line="324" w:lineRule="auto"/>
        <w:ind w:left="360"/>
      </w:pPr>
      <w:r>
        <w:rPr>
          <w:rFonts w:ascii="Times New Roman" w:hAnsi="Times New Roman"/>
          <w:b/>
          <w:color w:val="002060"/>
          <w:sz w:val="22"/>
        </w:rPr>
        <w:t xml:space="preserve">•  </w:t>
      </w:r>
      <w:r>
        <w:rPr>
          <w:rFonts w:ascii="Times New Roman" w:hAnsi="Times New Roman"/>
          <w:b/>
          <w:i w:val="0"/>
          <w:color w:val="262626"/>
          <w:sz w:val="25"/>
        </w:rPr>
        <w:t>Nhiệm vụ trọng tâm:</w:t>
      </w:r>
    </w:p>
    <w:p>
      <w:pPr>
        <w:spacing w:before="20" w:after="60" w:line="324" w:lineRule="auto"/>
        <w:ind w:left="360"/>
      </w:pPr>
      <w:r>
        <w:rPr>
          <w:rFonts w:ascii="Times New Roman" w:hAnsi="Times New Roman"/>
          <w:b/>
          <w:color w:val="002060"/>
          <w:sz w:val="22"/>
        </w:rPr>
        <w:t xml:space="preserve">•  </w:t>
      </w:r>
      <w:r>
        <w:rPr>
          <w:rFonts w:ascii="Times New Roman" w:hAnsi="Times New Roman"/>
          <w:b w:val="0"/>
          <w:i w:val="0"/>
          <w:color w:val="262626"/>
          <w:sz w:val="25"/>
        </w:rPr>
        <w:t>Kiểm soát không để chi phí thực tế vượt Tổng mức đầu tư được duyệt.</w:t>
      </w:r>
    </w:p>
    <w:p>
      <w:pPr>
        <w:spacing w:before="20" w:after="60" w:line="324" w:lineRule="auto"/>
        <w:ind w:left="360"/>
      </w:pPr>
      <w:r>
        <w:rPr>
          <w:rFonts w:ascii="Times New Roman" w:hAnsi="Times New Roman"/>
          <w:b/>
          <w:color w:val="002060"/>
          <w:sz w:val="22"/>
        </w:rPr>
        <w:t xml:space="preserve">•  </w:t>
      </w:r>
      <w:r>
        <w:rPr>
          <w:rFonts w:ascii="Times New Roman" w:hAnsi="Times New Roman"/>
          <w:b w:val="0"/>
          <w:i w:val="0"/>
          <w:color w:val="262626"/>
          <w:sz w:val="25"/>
        </w:rPr>
        <w:t>Sử dụng phương pháp Phân tích giá trị thu được (Earned Value Management - EVM) với các chỉ số:</w:t>
      </w:r>
    </w:p>
    <w:p>
      <w:pPr>
        <w:spacing w:before="20" w:after="60" w:line="324" w:lineRule="auto"/>
        <w:ind w:left="360"/>
      </w:pPr>
      <w:r>
        <w:rPr>
          <w:rFonts w:ascii="Times New Roman" w:hAnsi="Times New Roman"/>
          <w:b/>
          <w:color w:val="002060"/>
          <w:sz w:val="22"/>
        </w:rPr>
        <w:t xml:space="preserve">•  </w:t>
      </w:r>
      <w:r>
        <w:rPr>
          <w:rFonts w:ascii="Times New Roman" w:hAnsi="Times New Roman"/>
          <w:b w:val="0"/>
          <w:i w:val="0"/>
          <w:color w:val="262626"/>
          <w:sz w:val="25"/>
        </w:rPr>
        <w:t>Chỉ số hiệu quả chi phí: $CPI = \frac{EV}{AC}$ (Nếu $CPI &lt; 1$: dự án đang bị vượt ngân sách).</w:t>
      </w:r>
    </w:p>
    <w:p>
      <w:pPr>
        <w:spacing w:before="20" w:after="60" w:line="324" w:lineRule="auto"/>
        <w:ind w:left="360"/>
      </w:pPr>
      <w:r>
        <w:rPr>
          <w:rFonts w:ascii="Times New Roman" w:hAnsi="Times New Roman"/>
          <w:b/>
          <w:color w:val="002060"/>
          <w:sz w:val="22"/>
        </w:rPr>
        <w:t xml:space="preserve">•  </w:t>
      </w:r>
      <w:r>
        <w:rPr>
          <w:rFonts w:ascii="Times New Roman" w:hAnsi="Times New Roman"/>
          <w:b w:val="0"/>
          <w:i w:val="0"/>
          <w:color w:val="262626"/>
          <w:sz w:val="25"/>
        </w:rPr>
        <w:t>Chỉ số hiệu quả tiến độ: $SPI = \frac{EV}{PV}$ (Nếu $SPI &lt; 1$: dự án đang chậm tiến độ).</w:t>
      </w:r>
    </w:p>
    <w:p>
      <w:pPr>
        <w:spacing w:before="20" w:after="60" w:line="324" w:lineRule="auto"/>
        <w:ind w:left="360"/>
      </w:pPr>
      <w:r>
        <w:rPr>
          <w:rFonts w:ascii="Times New Roman" w:hAnsi="Times New Roman"/>
          <w:b/>
          <w:color w:val="002060"/>
          <w:sz w:val="22"/>
        </w:rPr>
        <w:t xml:space="preserve">•  </w:t>
      </w:r>
      <w:r>
        <w:rPr>
          <w:rFonts w:ascii="Times New Roman" w:hAnsi="Times New Roman"/>
          <w:b w:val="0"/>
          <w:i w:val="0"/>
          <w:color w:val="262626"/>
          <w:sz w:val="25"/>
        </w:rPr>
        <w:t>Kiểm soát chặt chẽ các khối lượng phát sinh ngoài hợp đồng và kiểm toán đơn giá điều chỉnh.</w:t>
      </w:r>
    </w:p>
    <w:p>
      <w:pPr>
        <w:keepNext/>
        <w:spacing w:before="160" w:after="80"/>
      </w:pPr>
      <w:r>
        <w:rPr>
          <w:rFonts w:ascii="Times New Roman" w:hAnsi="Times New Roman"/>
          <w:b/>
          <w:color w:val="1F4E79"/>
          <w:sz w:val="26"/>
        </w:rPr>
        <w:t>2.4. Quản lý chất lượng công trình (Quality Management)</w:t>
      </w:r>
    </w:p>
    <w:p>
      <w:pPr>
        <w:spacing w:before="20" w:after="60" w:line="324" w:lineRule="auto"/>
        <w:ind w:left="360"/>
      </w:pPr>
      <w:r>
        <w:rPr>
          <w:rFonts w:ascii="Times New Roman" w:hAnsi="Times New Roman"/>
          <w:b/>
          <w:color w:val="002060"/>
          <w:sz w:val="22"/>
        </w:rPr>
        <w:t xml:space="preserve">•  </w:t>
      </w:r>
      <w:r>
        <w:rPr>
          <w:rFonts w:ascii="Times New Roman" w:hAnsi="Times New Roman"/>
          <w:b/>
          <w:i w:val="0"/>
          <w:color w:val="262626"/>
          <w:sz w:val="25"/>
        </w:rPr>
        <w:t>Căn cứ:</w:t>
      </w:r>
      <w:r>
        <w:rPr>
          <w:rFonts w:ascii="Times New Roman" w:hAnsi="Times New Roman"/>
          <w:b w:val="0"/>
          <w:i w:val="0"/>
          <w:color w:val="262626"/>
          <w:sz w:val="25"/>
        </w:rPr>
        <w:t xml:space="preserve"> Nghị định số 06/2021/NĐ-CP của Chính phủ.</w:t>
      </w:r>
    </w:p>
    <w:p>
      <w:pPr>
        <w:spacing w:before="20" w:after="60" w:line="324" w:lineRule="auto"/>
        <w:ind w:left="360"/>
      </w:pPr>
      <w:r>
        <w:rPr>
          <w:rFonts w:ascii="Times New Roman" w:hAnsi="Times New Roman"/>
          <w:b/>
          <w:color w:val="002060"/>
          <w:sz w:val="22"/>
        </w:rPr>
        <w:t xml:space="preserve">•  </w:t>
      </w:r>
      <w:r>
        <w:rPr>
          <w:rFonts w:ascii="Times New Roman" w:hAnsi="Times New Roman"/>
          <w:b/>
          <w:i w:val="0"/>
          <w:color w:val="262626"/>
          <w:sz w:val="25"/>
        </w:rPr>
        <w:t>Nội dung:</w:t>
      </w:r>
      <w:r>
        <w:rPr>
          <w:rFonts w:ascii="Times New Roman" w:hAnsi="Times New Roman"/>
          <w:b w:val="0"/>
          <w:i w:val="0"/>
          <w:color w:val="262626"/>
          <w:sz w:val="25"/>
        </w:rPr>
        <w:t xml:space="preserve"> Thiết lập và vận hành hệ thống quản lý chất lượng xuyên suốt từ khảo sát, thiết kế, thí nghiệm vật liệu đầu vào, giám sát thi công đến nghiệm thu giai đoạn và nghiệm thu hoàn thành đưa vào sử dụng.</w:t>
      </w:r>
    </w:p>
    <w:p>
      <w:pPr>
        <w:spacing w:before="20" w:after="60" w:line="324" w:lineRule="auto"/>
        <w:ind w:left="360"/>
      </w:pPr>
      <w:r>
        <w:rPr>
          <w:rFonts w:ascii="Times New Roman" w:hAnsi="Times New Roman"/>
          <w:b/>
          <w:color w:val="002060"/>
          <w:sz w:val="22"/>
        </w:rPr>
        <w:t xml:space="preserve">•  </w:t>
      </w:r>
      <w:r>
        <w:rPr>
          <w:rFonts w:ascii="Times New Roman" w:hAnsi="Times New Roman"/>
          <w:b/>
          <w:i w:val="0"/>
          <w:color w:val="262626"/>
          <w:sz w:val="25"/>
        </w:rPr>
        <w:t>Quy trình kiểm soát:</w:t>
      </w:r>
    </w:p>
    <w:p>
      <w:pPr>
        <w:spacing w:before="20" w:after="60" w:line="324" w:lineRule="auto"/>
        <w:ind w:left="360"/>
      </w:pPr>
      <w:r>
        <w:rPr>
          <w:rFonts w:ascii="Times New Roman" w:hAnsi="Times New Roman"/>
          <w:b/>
          <w:color w:val="002060"/>
          <w:sz w:val="22"/>
        </w:rPr>
        <w:t xml:space="preserve">•  </w:t>
      </w:r>
      <w:r>
        <w:rPr>
          <w:rFonts w:ascii="Times New Roman" w:hAnsi="Times New Roman"/>
          <w:b w:val="0"/>
          <w:i w:val="0"/>
          <w:color w:val="262626"/>
          <w:sz w:val="25"/>
        </w:rPr>
        <w:t>Kiểm soát chất lượng vật liệu, cấu kiện, thiết bị: Chứng chỉ xuất xưởng, kết quả thí nghiệm kiểm định (Las-XD) đạt chuẩn trước khi đưa vào công trình.</w:t>
      </w:r>
    </w:p>
    <w:p>
      <w:pPr>
        <w:spacing w:before="20" w:after="60" w:line="324" w:lineRule="auto"/>
        <w:ind w:left="360"/>
      </w:pPr>
      <w:r>
        <w:rPr>
          <w:rFonts w:ascii="Times New Roman" w:hAnsi="Times New Roman"/>
          <w:b/>
          <w:color w:val="002060"/>
          <w:sz w:val="22"/>
        </w:rPr>
        <w:t xml:space="preserve">•  </w:t>
      </w:r>
      <w:r>
        <w:rPr>
          <w:rFonts w:ascii="Times New Roman" w:hAnsi="Times New Roman"/>
          <w:b w:val="0"/>
          <w:i w:val="0"/>
          <w:color w:val="262626"/>
          <w:sz w:val="25"/>
        </w:rPr>
        <w:t>Nghiệm thu công việc xây dựng: Kiểm tra theo bản vẽ thiết kế bản vẽ thi công (TKBVTC) và quy chuẩn kỹ thuật; lập biên bản nghiệm thu trước khi chuyển bước thi công.</w:t>
      </w:r>
    </w:p>
    <w:p>
      <w:pPr>
        <w:spacing w:before="20" w:after="60" w:line="324" w:lineRule="auto"/>
        <w:ind w:left="360"/>
      </w:pPr>
      <w:r>
        <w:rPr>
          <w:rFonts w:ascii="Times New Roman" w:hAnsi="Times New Roman"/>
          <w:b/>
          <w:color w:val="002060"/>
          <w:sz w:val="22"/>
        </w:rPr>
        <w:t xml:space="preserve">•  </w:t>
      </w:r>
      <w:r>
        <w:rPr>
          <w:rFonts w:ascii="Times New Roman" w:hAnsi="Times New Roman"/>
          <w:b w:val="0"/>
          <w:i w:val="0"/>
          <w:color w:val="262626"/>
          <w:sz w:val="25"/>
        </w:rPr>
        <w:t>Quản lý công tác quan trắc lún, chuyển vị đối với các công trình phức tạp (cầu dầm, hầm, móng cọc sâu).</w:t>
      </w:r>
    </w:p>
    <w:p>
      <w:pPr>
        <w:keepNext/>
        <w:spacing w:before="160" w:after="80"/>
      </w:pPr>
      <w:r>
        <w:rPr>
          <w:rFonts w:ascii="Times New Roman" w:hAnsi="Times New Roman"/>
          <w:b/>
          <w:color w:val="1F4E79"/>
          <w:sz w:val="26"/>
        </w:rPr>
        <w:t>2.5. Quản lý hợp đồng xây dựng và lựa chọn nhà thầu (Procurement &amp; Contract Management)</w:t>
      </w:r>
    </w:p>
    <w:p>
      <w:pPr>
        <w:spacing w:before="20" w:after="60" w:line="324" w:lineRule="auto"/>
        <w:ind w:left="360"/>
      </w:pPr>
      <w:r>
        <w:rPr>
          <w:rFonts w:ascii="Times New Roman" w:hAnsi="Times New Roman"/>
          <w:b/>
          <w:color w:val="002060"/>
          <w:sz w:val="22"/>
        </w:rPr>
        <w:t xml:space="preserve">•  </w:t>
      </w:r>
      <w:r>
        <w:rPr>
          <w:rFonts w:ascii="Times New Roman" w:hAnsi="Times New Roman"/>
          <w:b/>
          <w:i w:val="0"/>
          <w:color w:val="262626"/>
          <w:sz w:val="25"/>
        </w:rPr>
        <w:t>Căn cứ:</w:t>
      </w:r>
      <w:r>
        <w:rPr>
          <w:rFonts w:ascii="Times New Roman" w:hAnsi="Times New Roman"/>
          <w:b w:val="0"/>
          <w:i w:val="0"/>
          <w:color w:val="262626"/>
          <w:sz w:val="25"/>
        </w:rPr>
        <w:t xml:space="preserve"> Luật Đấu thầu số 22/2023/QH15, Nghị định 37/2015/NĐ-CP và Nghị định 50/2021/NĐ-CP.</w:t>
      </w:r>
    </w:p>
    <w:p>
      <w:pPr>
        <w:spacing w:before="20" w:after="60" w:line="324" w:lineRule="auto"/>
        <w:ind w:left="360"/>
      </w:pPr>
      <w:r>
        <w:rPr>
          <w:rFonts w:ascii="Times New Roman" w:hAnsi="Times New Roman"/>
          <w:b/>
          <w:color w:val="002060"/>
          <w:sz w:val="22"/>
        </w:rPr>
        <w:t xml:space="preserve">•  </w:t>
      </w:r>
      <w:r>
        <w:rPr>
          <w:rFonts w:ascii="Times New Roman" w:hAnsi="Times New Roman"/>
          <w:b/>
          <w:i w:val="0"/>
          <w:color w:val="262626"/>
          <w:sz w:val="25"/>
        </w:rPr>
        <w:t>Nội dung:</w:t>
      </w:r>
    </w:p>
    <w:p>
      <w:pPr>
        <w:spacing w:before="20" w:after="60" w:line="324" w:lineRule="auto"/>
        <w:ind w:left="360"/>
      </w:pPr>
      <w:r>
        <w:rPr>
          <w:rFonts w:ascii="Times New Roman" w:hAnsi="Times New Roman"/>
          <w:b/>
          <w:color w:val="002060"/>
          <w:sz w:val="22"/>
        </w:rPr>
        <w:t xml:space="preserve">•  </w:t>
      </w:r>
      <w:r>
        <w:rPr>
          <w:rFonts w:ascii="Times New Roman" w:hAnsi="Times New Roman"/>
          <w:b w:val="0"/>
          <w:i w:val="0"/>
          <w:color w:val="262626"/>
          <w:sz w:val="25"/>
        </w:rPr>
        <w:t>Tổ chức lập E-HSMT, thẩm định, phê duyệt và lựa chọn nhà thầu minh bạch, đúng luật.</w:t>
      </w:r>
    </w:p>
    <w:p>
      <w:pPr>
        <w:spacing w:before="20" w:after="60" w:line="324" w:lineRule="auto"/>
        <w:ind w:left="360"/>
      </w:pPr>
      <w:r>
        <w:rPr>
          <w:rFonts w:ascii="Times New Roman" w:hAnsi="Times New Roman"/>
          <w:b/>
          <w:color w:val="002060"/>
          <w:sz w:val="22"/>
        </w:rPr>
        <w:t xml:space="preserve">•  </w:t>
      </w:r>
      <w:r>
        <w:rPr>
          <w:rFonts w:ascii="Times New Roman" w:hAnsi="Times New Roman"/>
          <w:b w:val="0"/>
          <w:i w:val="0"/>
          <w:color w:val="262626"/>
          <w:sz w:val="25"/>
        </w:rPr>
        <w:t>Quản lý việc thực hiện hợp đồng: Quản lý bảo lãnh tạm ứng, bảo lãnh thực hiện hợp đồng, điều chỉnh giá hợp đồng (hợp đồng trọn gói, đơn giá cố định, đơn giá điều chỉnh).</w:t>
      </w:r>
    </w:p>
    <w:p>
      <w:pPr>
        <w:spacing w:before="20" w:after="60" w:line="324" w:lineRule="auto"/>
        <w:ind w:left="360"/>
      </w:pPr>
      <w:r>
        <w:rPr>
          <w:rFonts w:ascii="Times New Roman" w:hAnsi="Times New Roman"/>
          <w:b/>
          <w:color w:val="002060"/>
          <w:sz w:val="22"/>
        </w:rPr>
        <w:t xml:space="preserve">•  </w:t>
      </w:r>
      <w:r>
        <w:rPr>
          <w:rFonts w:ascii="Times New Roman" w:hAnsi="Times New Roman"/>
          <w:b w:val="0"/>
          <w:i w:val="0"/>
          <w:color w:val="262626"/>
          <w:sz w:val="25"/>
        </w:rPr>
        <w:t>Xử lý kịp thời các khiếu nại (claims) của nhà thầu và các tranh chấp phát sinh, bảo vệ quyền lợi hợp pháp của Chủ đầu tư nhưng không làm ngưng trệ công trường.</w:t>
      </w:r>
    </w:p>
    <w:p>
      <w:pPr>
        <w:keepNext/>
        <w:spacing w:before="160" w:after="80"/>
      </w:pPr>
      <w:r>
        <w:rPr>
          <w:rFonts w:ascii="Times New Roman" w:hAnsi="Times New Roman"/>
          <w:b/>
          <w:color w:val="1F4E79"/>
          <w:sz w:val="26"/>
        </w:rPr>
        <w:t>2.6. Quản lý an toàn lao động và bảo vệ môi trường (HSE Management)</w:t>
      </w:r>
    </w:p>
    <w:p>
      <w:pPr>
        <w:spacing w:before="20" w:after="60" w:line="324" w:lineRule="auto"/>
        <w:ind w:left="360"/>
      </w:pPr>
      <w:r>
        <w:rPr>
          <w:rFonts w:ascii="Times New Roman" w:hAnsi="Times New Roman"/>
          <w:b/>
          <w:color w:val="002060"/>
          <w:sz w:val="22"/>
        </w:rPr>
        <w:t xml:space="preserve">•  </w:t>
      </w:r>
      <w:r>
        <w:rPr>
          <w:rFonts w:ascii="Times New Roman" w:hAnsi="Times New Roman"/>
          <w:b/>
          <w:i w:val="0"/>
          <w:color w:val="262626"/>
          <w:sz w:val="25"/>
        </w:rPr>
        <w:t>Nội dung:</w:t>
      </w:r>
      <w:r>
        <w:rPr>
          <w:rFonts w:ascii="Times New Roman" w:hAnsi="Times New Roman"/>
          <w:b w:val="0"/>
          <w:i w:val="0"/>
          <w:color w:val="262626"/>
          <w:sz w:val="25"/>
        </w:rPr>
        <w:t xml:space="preserve"> Bảo đảm tính mạng, sức khỏe cho người lao động trên công trường và hạn chế tối đa tác động tiêu cực đến môi trường xung quanh.</w:t>
      </w:r>
    </w:p>
    <w:p>
      <w:pPr>
        <w:spacing w:before="20" w:after="60" w:line="324" w:lineRule="auto"/>
        <w:ind w:left="360"/>
      </w:pPr>
      <w:r>
        <w:rPr>
          <w:rFonts w:ascii="Times New Roman" w:hAnsi="Times New Roman"/>
          <w:b/>
          <w:color w:val="002060"/>
          <w:sz w:val="22"/>
        </w:rPr>
        <w:t xml:space="preserve">•  </w:t>
      </w:r>
      <w:r>
        <w:rPr>
          <w:rFonts w:ascii="Times New Roman" w:hAnsi="Times New Roman"/>
          <w:b/>
          <w:i w:val="0"/>
          <w:color w:val="262626"/>
          <w:sz w:val="25"/>
        </w:rPr>
        <w:t>Nhiệm vụ:</w:t>
      </w:r>
    </w:p>
    <w:p>
      <w:pPr>
        <w:spacing w:before="20" w:after="60" w:line="324" w:lineRule="auto"/>
        <w:ind w:left="360"/>
      </w:pPr>
      <w:r>
        <w:rPr>
          <w:rFonts w:ascii="Times New Roman" w:hAnsi="Times New Roman"/>
          <w:b/>
          <w:color w:val="002060"/>
          <w:sz w:val="22"/>
        </w:rPr>
        <w:t xml:space="preserve">•  </w:t>
      </w:r>
      <w:r>
        <w:rPr>
          <w:rFonts w:ascii="Times New Roman" w:hAnsi="Times New Roman"/>
          <w:b w:val="0"/>
          <w:i w:val="0"/>
          <w:color w:val="262626"/>
          <w:sz w:val="25"/>
        </w:rPr>
        <w:t>Bắt buộc nhà thầu lập Kế hoạch an toàn lao động, biện pháp thi công có chỉ dẫn an toàn cụ thể (biện pháp thi công trên cao, trong hố móng sâu, an toàn điện, an toàn cẩu lắp).</w:t>
      </w:r>
    </w:p>
    <w:p>
      <w:pPr>
        <w:spacing w:before="20" w:after="60" w:line="324" w:lineRule="auto"/>
        <w:ind w:left="360"/>
      </w:pPr>
      <w:r>
        <w:rPr>
          <w:rFonts w:ascii="Times New Roman" w:hAnsi="Times New Roman"/>
          <w:b/>
          <w:color w:val="002060"/>
          <w:sz w:val="22"/>
        </w:rPr>
        <w:t xml:space="preserve">•  </w:t>
      </w:r>
      <w:r>
        <w:rPr>
          <w:rFonts w:ascii="Times New Roman" w:hAnsi="Times New Roman"/>
          <w:b w:val="0"/>
          <w:i w:val="0"/>
          <w:color w:val="262626"/>
          <w:sz w:val="25"/>
        </w:rPr>
        <w:t>Kiểm soát rác thải xây dựng, nước thải thi công, tiếng ồn và bụi theo tiêu chuẩn môi trường Việt Nam.</w:t>
      </w:r>
    </w:p>
    <w:p>
      <w:pPr>
        <w:keepNext/>
        <w:spacing w:before="160" w:after="80"/>
      </w:pPr>
      <w:r>
        <w:rPr>
          <w:rFonts w:ascii="Times New Roman" w:hAnsi="Times New Roman"/>
          <w:b/>
          <w:color w:val="1F4E79"/>
          <w:sz w:val="26"/>
        </w:rPr>
        <w:t>2.7. Quản lý rủi ro dự án (Risk Management)</w:t>
      </w:r>
    </w:p>
    <w:p>
      <w:pPr>
        <w:spacing w:before="20" w:after="60" w:line="324" w:lineRule="auto"/>
        <w:ind w:left="360"/>
      </w:pPr>
      <w:r>
        <w:rPr>
          <w:rFonts w:ascii="Times New Roman" w:hAnsi="Times New Roman"/>
          <w:b/>
          <w:color w:val="002060"/>
          <w:sz w:val="22"/>
        </w:rPr>
        <w:t xml:space="preserve">•  </w:t>
      </w:r>
      <w:r>
        <w:rPr>
          <w:rFonts w:ascii="Times New Roman" w:hAnsi="Times New Roman"/>
          <w:b/>
          <w:i w:val="0"/>
          <w:color w:val="262626"/>
          <w:sz w:val="25"/>
        </w:rPr>
        <w:t>Nội dung:</w:t>
      </w:r>
      <w:r>
        <w:rPr>
          <w:rFonts w:ascii="Times New Roman" w:hAnsi="Times New Roman"/>
          <w:b w:val="0"/>
          <w:i w:val="0"/>
          <w:color w:val="262626"/>
          <w:sz w:val="25"/>
        </w:rPr>
        <w:t xml:space="preserve"> Nhận diện, phân tích định tính/định lượng, xây dựng kế hoạch ứng phó và giám sát các yếu tố không chắc chắn có thể ảnh hưởng đến dự án.</w:t>
      </w:r>
    </w:p>
    <w:p>
      <w:pPr>
        <w:spacing w:before="20" w:after="60" w:line="324" w:lineRule="auto"/>
        <w:ind w:left="360"/>
      </w:pPr>
      <w:r>
        <w:rPr>
          <w:rFonts w:ascii="Times New Roman" w:hAnsi="Times New Roman"/>
          <w:b/>
          <w:color w:val="002060"/>
          <w:sz w:val="22"/>
        </w:rPr>
        <w:t xml:space="preserve">•  </w:t>
      </w:r>
      <w:r>
        <w:rPr>
          <w:rFonts w:ascii="Times New Roman" w:hAnsi="Times New Roman"/>
          <w:b/>
          <w:i w:val="0"/>
          <w:color w:val="262626"/>
          <w:sz w:val="25"/>
        </w:rPr>
        <w:t>Các nhóm rủi ro đặc thù:</w:t>
      </w:r>
    </w:p>
    <w:p>
      <w:pPr>
        <w:spacing w:before="20" w:after="60" w:line="324" w:lineRule="auto"/>
        <w:ind w:left="360"/>
      </w:pPr>
      <w:r>
        <w:rPr>
          <w:rFonts w:ascii="Times New Roman" w:hAnsi="Times New Roman"/>
          <w:b/>
          <w:color w:val="002060"/>
          <w:sz w:val="22"/>
        </w:rPr>
        <w:t xml:space="preserve">•  </w:t>
      </w:r>
      <w:r>
        <w:rPr>
          <w:rFonts w:ascii="Times New Roman" w:hAnsi="Times New Roman"/>
          <w:b w:val="0"/>
          <w:i w:val="0"/>
          <w:color w:val="262626"/>
          <w:sz w:val="25"/>
        </w:rPr>
        <w:t>Rủi ro mặt bằng: Chậm trễ giải phóng mặt bằng (GPMB) và di dời hạ tầng kỹ thuật.</w:t>
      </w:r>
    </w:p>
    <w:p>
      <w:pPr>
        <w:spacing w:before="20" w:after="60" w:line="324" w:lineRule="auto"/>
        <w:ind w:left="360"/>
      </w:pPr>
      <w:r>
        <w:rPr>
          <w:rFonts w:ascii="Times New Roman" w:hAnsi="Times New Roman"/>
          <w:b/>
          <w:color w:val="002060"/>
          <w:sz w:val="22"/>
        </w:rPr>
        <w:t xml:space="preserve">•  </w:t>
      </w:r>
      <w:r>
        <w:rPr>
          <w:rFonts w:ascii="Times New Roman" w:hAnsi="Times New Roman"/>
          <w:b w:val="0"/>
          <w:i w:val="0"/>
          <w:color w:val="262626"/>
          <w:sz w:val="25"/>
        </w:rPr>
        <w:t>Rủi ro thị trường: Biến động giá vật tư chiến lược (thép, xi măng, cát, đá, nhiên liệu).</w:t>
      </w:r>
    </w:p>
    <w:p>
      <w:pPr>
        <w:spacing w:before="20" w:after="60" w:line="324" w:lineRule="auto"/>
        <w:ind w:left="360"/>
      </w:pPr>
      <w:r>
        <w:rPr>
          <w:rFonts w:ascii="Times New Roman" w:hAnsi="Times New Roman"/>
          <w:b/>
          <w:color w:val="002060"/>
          <w:sz w:val="22"/>
        </w:rPr>
        <w:t xml:space="preserve">•  </w:t>
      </w:r>
      <w:r>
        <w:rPr>
          <w:rFonts w:ascii="Times New Roman" w:hAnsi="Times New Roman"/>
          <w:b w:val="0"/>
          <w:i w:val="0"/>
          <w:color w:val="262626"/>
          <w:sz w:val="25"/>
        </w:rPr>
        <w:t>Rủi ro tự nhiên: Địa chất sai khác so với khảo sát, mưa bão, lũ lụt kéo dài.</w:t>
      </w:r>
    </w:p>
    <w:p>
      <w:pPr>
        <w:spacing w:before="20" w:after="60" w:line="324" w:lineRule="auto"/>
        <w:ind w:left="360"/>
      </w:pPr>
      <w:r>
        <w:rPr>
          <w:rFonts w:ascii="Times New Roman" w:hAnsi="Times New Roman"/>
          <w:b/>
          <w:color w:val="002060"/>
          <w:sz w:val="22"/>
        </w:rPr>
        <w:t xml:space="preserve">•  </w:t>
      </w:r>
      <w:r>
        <w:rPr>
          <w:rFonts w:ascii="Times New Roman" w:hAnsi="Times New Roman"/>
          <w:b w:val="0"/>
          <w:i w:val="0"/>
          <w:color w:val="262626"/>
          <w:sz w:val="25"/>
        </w:rPr>
        <w:t>Rủi ro pháp lý: Thay đổi quy định pháp luật, điều chỉnh quy hoạch tổng thể.</w:t>
      </w:r>
    </w:p>
    <w:p>
      <w:pPr>
        <w:keepNext/>
        <w:spacing w:before="160" w:after="80"/>
      </w:pPr>
      <w:r>
        <w:rPr>
          <w:rFonts w:ascii="Times New Roman" w:hAnsi="Times New Roman"/>
          <w:b/>
          <w:color w:val="1F4E79"/>
          <w:sz w:val="26"/>
        </w:rPr>
        <w:t>2.8. Quản lý thông tin, truyền thông và phối hợp (Information &amp; Interface Management)</w:t>
      </w:r>
    </w:p>
    <w:p>
      <w:pPr>
        <w:spacing w:before="20" w:after="60" w:line="324" w:lineRule="auto"/>
        <w:ind w:left="360"/>
      </w:pPr>
      <w:r>
        <w:rPr>
          <w:rFonts w:ascii="Times New Roman" w:hAnsi="Times New Roman"/>
          <w:b/>
          <w:color w:val="002060"/>
          <w:sz w:val="22"/>
        </w:rPr>
        <w:t xml:space="preserve">•  </w:t>
      </w:r>
      <w:r>
        <w:rPr>
          <w:rFonts w:ascii="Times New Roman" w:hAnsi="Times New Roman"/>
          <w:b/>
          <w:i w:val="0"/>
          <w:color w:val="262626"/>
          <w:sz w:val="25"/>
        </w:rPr>
        <w:t>Nội dung:</w:t>
      </w:r>
      <w:r>
        <w:rPr>
          <w:rFonts w:ascii="Times New Roman" w:hAnsi="Times New Roman"/>
          <w:b w:val="0"/>
          <w:i w:val="0"/>
          <w:color w:val="262626"/>
          <w:sz w:val="25"/>
        </w:rPr>
        <w:t xml:space="preserve"> Thiết lập luồng thông tin chuẩn xác, kịp thời giữa tất cả các bên tham gia; quản lý hồ sơ tài liệu dự án, nhật ký thi công điện tử và áp dụng Môi trường dữ liệu chung (Common Data Environment - CDE).</w:t>
      </w:r>
    </w:p>
    <w:p>
      <w:pPr>
        <w:spacing w:before="80" w:after="160"/>
        <w:jc w:val="center"/>
      </w:pPr>
      <w:r>
        <w:rPr>
          <w:color w:val="B0C4DE"/>
        </w:rPr>
        <w:t>―――――――――――――――――――――――――――――――――――</w:t>
      </w:r>
    </w:p>
    <w:p>
      <w:pPr>
        <w:keepNext/>
        <w:spacing w:before="240" w:after="120"/>
      </w:pPr>
      <w:r>
        <w:rPr>
          <w:rFonts w:ascii="Times New Roman" w:hAnsi="Times New Roman"/>
          <w:b/>
          <w:color w:val="002060"/>
          <w:sz w:val="28"/>
        </w:rPr>
        <w:t>3. Mối quan hệ tương hỗ và sự đánh đổi (Trade-offs)</w:t>
      </w:r>
    </w:p>
    <w:p>
      <w:pPr>
        <w:spacing w:before="40" w:after="80" w:line="336" w:lineRule="auto"/>
        <w:ind w:firstLine="432"/>
      </w:pPr>
      <w:r>
        <w:rPr>
          <w:rFonts w:ascii="Times New Roman" w:hAnsi="Times New Roman"/>
          <w:b w:val="0"/>
          <w:i w:val="0"/>
          <w:color w:val="262626"/>
          <w:sz w:val="26"/>
        </w:rPr>
        <w:t>Các nhiệm vụ quản lý không tồn tại độc lập mà tương tác chặt chẽ theo quan hệ biện chứng:</w:t>
      </w:r>
    </w:p>
    <w:p>
      <w:pPr>
        <w:spacing w:before="20" w:after="60" w:line="324" w:lineRule="auto"/>
        <w:ind w:left="360"/>
      </w:pPr>
      <w:r>
        <w:rPr>
          <w:rFonts w:ascii="Times New Roman" w:hAnsi="Times New Roman"/>
          <w:b/>
          <w:color w:val="002060"/>
          <w:sz w:val="22"/>
        </w:rPr>
        <w:t xml:space="preserve">•  </w:t>
      </w:r>
      <w:r>
        <w:rPr>
          <w:rFonts w:ascii="Times New Roman" w:hAnsi="Times New Roman"/>
          <w:b/>
          <w:i w:val="0"/>
          <w:color w:val="262626"/>
          <w:sz w:val="25"/>
        </w:rPr>
        <w:t>Tiến độ vs. Chi phí:</w:t>
      </w:r>
      <w:r>
        <w:rPr>
          <w:rFonts w:ascii="Times New Roman" w:hAnsi="Times New Roman"/>
          <w:b w:val="0"/>
          <w:i w:val="0"/>
          <w:color w:val="262626"/>
          <w:sz w:val="25"/>
        </w:rPr>
        <w:t xml:space="preserve"> Ép tiến độ về đích sớm thường đòi hỏi tăng chi phí (tăng ca đêm, huy động máy móc công suất lớn hơn, thưởng vượt tiến độ). Ngược lại, chậm tiến độ làm phát sinh chi phí quản lý dự án, chi phí lãi vay và chi phí chờ đợi của nhà thầu.</w:t>
      </w:r>
    </w:p>
    <w:p>
      <w:pPr>
        <w:spacing w:before="20" w:after="60" w:line="324" w:lineRule="auto"/>
        <w:ind w:left="360"/>
      </w:pPr>
      <w:r>
        <w:rPr>
          <w:rFonts w:ascii="Times New Roman" w:hAnsi="Times New Roman"/>
          <w:b/>
          <w:color w:val="002060"/>
          <w:sz w:val="22"/>
        </w:rPr>
        <w:t xml:space="preserve">•  </w:t>
      </w:r>
      <w:r>
        <w:rPr>
          <w:rFonts w:ascii="Times New Roman" w:hAnsi="Times New Roman"/>
          <w:b/>
          <w:i w:val="0"/>
          <w:color w:val="262626"/>
          <w:sz w:val="25"/>
        </w:rPr>
        <w:t>Chất lượng vs. Chi phí &amp; Tiến độ:</w:t>
      </w:r>
      <w:r>
        <w:rPr>
          <w:rFonts w:ascii="Times New Roman" w:hAnsi="Times New Roman"/>
          <w:b w:val="0"/>
          <w:i w:val="0"/>
          <w:color w:val="262626"/>
          <w:sz w:val="25"/>
        </w:rPr>
        <w:t xml:space="preserve"> Hạ thấp tiêu chuẩn chất lượng có thể giảm chi phí trước mắt và rút ngắn tiến độ tức thời, nhưng sẽ dẫn đến nguy cơ sửa chữa, đập phá làm lại, đẩy chi phí vòng đời (Life-Cycle Cost) tăng vọt và làm gián đoạn toàn bộ dự án.</w:t>
      </w:r>
    </w:p>
    <w:tbl>
      <w:tblPr>
        <w:tblW w:type="auto" w:w="0"/>
        <w:jc w:val="center"/>
        <w:tblLook w:firstColumn="1" w:firstRow="1" w:lastColumn="0" w:lastRow="0" w:noHBand="0" w:noVBand="1" w:val="04A0"/>
      </w:tblPr>
      <w:tblGrid>
        <w:gridCol w:w="9072"/>
      </w:tblGrid>
      <w:tr>
        <w:tc>
          <w:tcPr>
            <w:tcW w:type="dxa" w:w="9072"/>
            <w:tcBorders>
              <w:top w:val="none"/>
              <w:left w:val="single" w:sz="24" w:space="0" w:color="002060"/>
              <w:bottom w:val="none"/>
              <w:right w:val="none"/>
            </w:tcBorders>
            <w:shd w:val="clear" w:color="auto" w:fill="F4F6F9"/>
            <w:tcMar>
              <w:top w:w="100" w:type="dxa"/>
              <w:left w:w="150" w:type="dxa"/>
              <w:bottom w:w="100" w:type="dxa"/>
              <w:right w:w="150" w:type="dxa"/>
            </w:tcMar>
          </w:tcPr>
          <w:p>
            <w:pPr>
              <w:spacing w:before="40" w:after="40" w:line="312" w:lineRule="auto"/>
            </w:pPr>
            <w:r>
              <w:rPr>
                <w:rFonts w:ascii="Times New Roman" w:hAnsi="Times New Roman"/>
                <w:b/>
                <w:i/>
                <w:color w:val="262626"/>
                <w:sz w:val="23"/>
              </w:rPr>
              <w:t>Tổng kết câu 1:</w:t>
            </w:r>
            <w:r>
              <w:rPr>
                <w:rFonts w:ascii="Times New Roman" w:hAnsi="Times New Roman"/>
                <w:b w:val="0"/>
                <w:i/>
                <w:color w:val="262626"/>
                <w:sz w:val="23"/>
              </w:rPr>
              <w:t xml:space="preserve"> Nhiệm vụ của người làm Quản lý dự án là tối ưu hóa hệ thống, tìm điểm cân bằng hài hòa giữa các mục tiêu ràng buộc thông qua các công cụ kỹ thuật và khung pháp trị vững chắc.</w:t>
            </w:r>
          </w:p>
        </w:tc>
      </w:tr>
    </w:tbl>
    <w:p>
      <w:pPr>
        <w:spacing w:before="0" w:after="80"/>
      </w:pPr>
    </w:p>
    <w:p>
      <w:pPr>
        <w:spacing w:before="80" w:after="160"/>
        <w:jc w:val="center"/>
      </w:pPr>
      <w:r>
        <w:rPr>
          <w:color w:val="B0C4DE"/>
        </w:rPr>
        <w:t>―――――――――――――――――――――――――――――――――――</w:t>
      </w:r>
    </w:p>
    <w:p>
      <w:r>
        <w:br w:type="page"/>
      </w:r>
    </w:p>
    <w:p>
      <w:pPr>
        <w:keepNext/>
        <w:spacing w:before="280" w:after="200"/>
        <w:jc w:val="center"/>
      </w:pPr>
      <w:r>
        <w:rPr>
          <w:rFonts w:ascii="Times New Roman" w:hAnsi="Times New Roman"/>
          <w:b/>
          <w:color w:val="002060"/>
          <w:sz w:val="32"/>
        </w:rPr>
        <w:t>CÂU 2: PHÂN TÍCH SỰ THAY ĐỔI NHIỆM VỤ QUẢN LÝ THEO CÁC GIAI ĐOẠN DỰ ÁN</w:t>
      </w:r>
    </w:p>
    <w:p>
      <w:pPr>
        <w:keepNext/>
        <w:spacing w:before="240" w:after="120"/>
      </w:pPr>
      <w:r>
        <w:rPr>
          <w:rFonts w:ascii="Times New Roman" w:hAnsi="Times New Roman"/>
          <w:b/>
          <w:color w:val="002060"/>
          <w:sz w:val="28"/>
        </w:rPr>
        <w:t>1. Bổ sung ngữ cảnh phân kỳ vòng đời dự án đầu tư xây dựng</w:t>
      </w:r>
    </w:p>
    <w:p>
      <w:pPr>
        <w:spacing w:before="20" w:after="60" w:line="324" w:lineRule="auto"/>
        <w:ind w:left="360"/>
      </w:pPr>
      <w:r>
        <w:rPr>
          <w:rFonts w:ascii="Times New Roman" w:hAnsi="Times New Roman"/>
          <w:b/>
          <w:color w:val="002060"/>
          <w:sz w:val="22"/>
        </w:rPr>
        <w:t xml:space="preserve">•  </w:t>
      </w:r>
      <w:r>
        <w:rPr>
          <w:rFonts w:ascii="Times New Roman" w:hAnsi="Times New Roman"/>
          <w:b w:val="0"/>
          <w:i w:val="0"/>
          <w:color w:val="262626"/>
          <w:sz w:val="25"/>
        </w:rPr>
        <w:t xml:space="preserve">Theo quy định tại </w:t>
      </w:r>
      <w:r>
        <w:rPr>
          <w:rFonts w:ascii="Times New Roman" w:hAnsi="Times New Roman"/>
          <w:b/>
          <w:i w:val="0"/>
          <w:color w:val="262626"/>
          <w:sz w:val="25"/>
        </w:rPr>
        <w:t>Điều 50 Luật Xây dựng 2014</w:t>
      </w:r>
      <w:r>
        <w:rPr>
          <w:rFonts w:ascii="Times New Roman" w:hAnsi="Times New Roman"/>
          <w:b w:val="0"/>
          <w:i w:val="0"/>
          <w:color w:val="262626"/>
          <w:sz w:val="25"/>
        </w:rPr>
        <w:t xml:space="preserve">, dự án đầu tư xây dựng công trình được phân chia thành </w:t>
      </w:r>
      <w:r>
        <w:rPr>
          <w:rFonts w:ascii="Times New Roman" w:hAnsi="Times New Roman"/>
          <w:b/>
          <w:i w:val="0"/>
          <w:color w:val="262626"/>
          <w:sz w:val="25"/>
        </w:rPr>
        <w:t>03 giai đoạn liên hoàn</w:t>
      </w:r>
      <w:r>
        <w:rPr>
          <w:rFonts w:ascii="Times New Roman" w:hAnsi="Times New Roman"/>
          <w:b w:val="0"/>
          <w:i w:val="0"/>
          <w:color w:val="262626"/>
          <w:sz w:val="25"/>
        </w:rPr>
        <w:t>:</w:t>
      </w:r>
    </w:p>
    <w:p>
      <w:pPr>
        <w:spacing w:before="40" w:after="80" w:line="324" w:lineRule="auto"/>
        <w:ind w:left="360"/>
      </w:pPr>
      <w:r>
        <w:rPr>
          <w:rFonts w:ascii="Times New Roman" w:hAnsi="Times New Roman"/>
          <w:b/>
          <w:color w:val="002060"/>
          <w:sz w:val="25"/>
        </w:rPr>
        <w:t xml:space="preserve">1. </w:t>
      </w:r>
      <w:r>
        <w:rPr>
          <w:rFonts w:ascii="Times New Roman" w:hAnsi="Times New Roman"/>
          <w:b w:val="0"/>
          <w:i w:val="0"/>
          <w:color w:val="262626"/>
          <w:sz w:val="25"/>
        </w:rPr>
        <w:t>Giai đoạn Chuẩn bị dự án.</w:t>
      </w:r>
    </w:p>
    <w:p>
      <w:pPr>
        <w:spacing w:before="40" w:after="80" w:line="324" w:lineRule="auto"/>
        <w:ind w:left="360"/>
      </w:pPr>
      <w:r>
        <w:rPr>
          <w:rFonts w:ascii="Times New Roman" w:hAnsi="Times New Roman"/>
          <w:b/>
          <w:color w:val="002060"/>
          <w:sz w:val="25"/>
        </w:rPr>
        <w:t xml:space="preserve">2. </w:t>
      </w:r>
      <w:r>
        <w:rPr>
          <w:rFonts w:ascii="Times New Roman" w:hAnsi="Times New Roman"/>
          <w:b w:val="0"/>
          <w:i w:val="0"/>
          <w:color w:val="262626"/>
          <w:sz w:val="25"/>
        </w:rPr>
        <w:t>Giai đoạn Thực hiện dự án.</w:t>
      </w:r>
    </w:p>
    <w:p>
      <w:pPr>
        <w:spacing w:before="40" w:after="80" w:line="324" w:lineRule="auto"/>
        <w:ind w:left="360"/>
      </w:pPr>
      <w:r>
        <w:rPr>
          <w:rFonts w:ascii="Times New Roman" w:hAnsi="Times New Roman"/>
          <w:b/>
          <w:color w:val="002060"/>
          <w:sz w:val="25"/>
        </w:rPr>
        <w:t xml:space="preserve">3. </w:t>
      </w:r>
      <w:r>
        <w:rPr>
          <w:rFonts w:ascii="Times New Roman" w:hAnsi="Times New Roman"/>
          <w:b w:val="0"/>
          <w:i w:val="0"/>
          <w:color w:val="262626"/>
          <w:sz w:val="25"/>
        </w:rPr>
        <w:t>Giai đoạn Kết thúc xây dựng đưa công trình vào khai thác sử dụng.</w:t>
      </w:r>
    </w:p>
    <w:p>
      <w:pPr>
        <w:spacing w:before="20" w:after="60" w:line="324" w:lineRule="auto"/>
        <w:ind w:left="360"/>
      </w:pPr>
      <w:r>
        <w:rPr>
          <w:rFonts w:ascii="Times New Roman" w:hAnsi="Times New Roman"/>
          <w:b/>
          <w:color w:val="002060"/>
          <w:sz w:val="22"/>
        </w:rPr>
        <w:t xml:space="preserve">•  </w:t>
      </w:r>
      <w:r>
        <w:rPr>
          <w:rFonts w:ascii="Times New Roman" w:hAnsi="Times New Roman"/>
          <w:b/>
          <w:i w:val="0"/>
          <w:color w:val="262626"/>
          <w:sz w:val="25"/>
        </w:rPr>
        <w:t>Quy luật Paulson (Paulson's Curve / Project Life-Cycle Cost Influence):</w:t>
      </w:r>
    </w:p>
    <w:p>
      <w:pPr>
        <w:spacing w:before="20" w:after="60" w:line="324" w:lineRule="auto"/>
        <w:ind w:left="360"/>
      </w:pPr>
      <w:r>
        <w:rPr>
          <w:rFonts w:ascii="Times New Roman" w:hAnsi="Times New Roman"/>
          <w:b/>
          <w:color w:val="002060"/>
          <w:sz w:val="22"/>
        </w:rPr>
        <w:t xml:space="preserve">•  </w:t>
      </w:r>
      <w:r>
        <w:rPr>
          <w:rFonts w:ascii="Times New Roman" w:hAnsi="Times New Roman"/>
          <w:b w:val="0"/>
          <w:i w:val="0"/>
          <w:color w:val="262626"/>
          <w:sz w:val="25"/>
        </w:rPr>
        <w:t xml:space="preserve">Ở giai đoạn chuẩn bị: Mức độ tác động đến chi phí và khả năng thay đổi thiết kế là </w:t>
      </w:r>
      <w:r>
        <w:rPr>
          <w:rFonts w:ascii="Times New Roman" w:hAnsi="Times New Roman"/>
          <w:b/>
          <w:i w:val="0"/>
          <w:color w:val="262626"/>
          <w:sz w:val="25"/>
        </w:rPr>
        <w:t>cao nhất</w:t>
      </w:r>
      <w:r>
        <w:rPr>
          <w:rFonts w:ascii="Times New Roman" w:hAnsi="Times New Roman"/>
          <w:b w:val="0"/>
          <w:i w:val="0"/>
          <w:color w:val="262626"/>
          <w:sz w:val="25"/>
        </w:rPr>
        <w:t xml:space="preserve"> (lên tới 70-80%), trong khi chi phí thực tế đã bỏ ra là </w:t>
      </w:r>
      <w:r>
        <w:rPr>
          <w:rFonts w:ascii="Times New Roman" w:hAnsi="Times New Roman"/>
          <w:b/>
          <w:i w:val="0"/>
          <w:color w:val="262626"/>
          <w:sz w:val="25"/>
        </w:rPr>
        <w:t>thấp nhất</w:t>
      </w:r>
      <w:r>
        <w:rPr>
          <w:rFonts w:ascii="Times New Roman" w:hAnsi="Times New Roman"/>
          <w:b w:val="0"/>
          <w:i w:val="0"/>
          <w:color w:val="262626"/>
          <w:sz w:val="25"/>
        </w:rPr>
        <w:t>.</w:t>
      </w:r>
    </w:p>
    <w:p>
      <w:pPr>
        <w:spacing w:before="20" w:after="60" w:line="324" w:lineRule="auto"/>
        <w:ind w:left="360"/>
      </w:pPr>
      <w:r>
        <w:rPr>
          <w:rFonts w:ascii="Times New Roman" w:hAnsi="Times New Roman"/>
          <w:b/>
          <w:color w:val="002060"/>
          <w:sz w:val="22"/>
        </w:rPr>
        <w:t xml:space="preserve">•  </w:t>
      </w:r>
      <w:r>
        <w:rPr>
          <w:rFonts w:ascii="Times New Roman" w:hAnsi="Times New Roman"/>
          <w:b w:val="0"/>
          <w:i w:val="0"/>
          <w:color w:val="262626"/>
          <w:sz w:val="25"/>
        </w:rPr>
        <w:t>Càng về các giai đoạn sau: Khả năng tác động thay đổi giảm mạnh, nhưng chi phí để thực hiện một sự thay đổi (Cost of Changes) lại tăng theo hàm số mũ.</w:t>
      </w:r>
    </w:p>
    <w:p>
      <w:pPr>
        <w:spacing w:before="80" w:after="120" w:line="264" w:lineRule="auto"/>
        <w:ind w:left="288"/>
      </w:pPr>
      <w:r>
        <w:rPr>
          <w:rFonts w:ascii="Consolas" w:hAnsi="Consolas"/>
          <w:color w:val="282828"/>
          <w:sz w:val="20"/>
        </w:rPr>
        <w:t>Mức độ ảnh hưởng / Chi phí</w:t>
        <w:br/>
        <w:t xml:space="preserve"> ^</w:t>
        <w:br/>
        <w:t xml:space="preserve"> | [Khả năng tác động đến chi phí và chất lượng] (Giảm dần)</w:t>
        <w:br/>
        <w:t xml:space="preserve"> | \</w:t>
        <w:br/>
        <w:t xml:space="preserve"> |  \</w:t>
        <w:br/>
        <w:t xml:space="preserve"> |   \</w:t>
        <w:br/>
        <w:t xml:space="preserve"> |    \         [Chi phí thực tế bỏ ra &amp; Chi phí thay đổi] (Tăng dần)</w:t>
        <w:br/>
        <w:t xml:space="preserve"> |     \       /</w:t>
        <w:br/>
        <w:t xml:space="preserve"> |      \     /</w:t>
        <w:br/>
        <w:t xml:space="preserve"> |       \   /</w:t>
        <w:br/>
        <w:t xml:space="preserve"> |        \ /</w:t>
        <w:br/>
        <w:t xml:space="preserve"> 0--------------------------------------------------------------------&gt; Thời gian</w:t>
        <w:br/>
        <w:t xml:space="preserve">   Chuẩn bị dự án      Thực hiện dự án       Kết thúc &amp; Đưa vào sử dụng</w:t>
      </w:r>
    </w:p>
    <w:p>
      <w:pPr>
        <w:spacing w:before="80" w:after="160"/>
        <w:jc w:val="center"/>
      </w:pPr>
      <w:r>
        <w:rPr>
          <w:color w:val="B0C4DE"/>
        </w:rPr>
        <w:t>―――――――――――――――――――――――――――――――――――</w:t>
      </w:r>
    </w:p>
    <w:p>
      <w:pPr>
        <w:keepNext/>
        <w:spacing w:before="240" w:after="120"/>
      </w:pPr>
      <w:r>
        <w:rPr>
          <w:rFonts w:ascii="Times New Roman" w:hAnsi="Times New Roman"/>
          <w:b/>
          <w:color w:val="002060"/>
          <w:sz w:val="28"/>
        </w:rPr>
        <w:t>2. Phân tích sự chuyển dịch nhiệm vụ quản lý qua từng giai đoạn</w:t>
      </w:r>
    </w:p>
    <w:p>
      <w:pPr>
        <w:keepNext/>
        <w:spacing w:before="160" w:after="80"/>
      </w:pPr>
      <w:r>
        <w:rPr>
          <w:rFonts w:ascii="Times New Roman" w:hAnsi="Times New Roman"/>
          <w:b/>
          <w:color w:val="1F4E79"/>
          <w:sz w:val="26"/>
        </w:rPr>
        <w:t>2.1. Giai đoạn Chuẩn bị dự án (Pre-construction / Planning Phase)</w:t>
      </w:r>
    </w:p>
    <w:p>
      <w:pPr>
        <w:spacing w:before="20" w:after="60" w:line="324" w:lineRule="auto"/>
        <w:ind w:left="360"/>
      </w:pPr>
      <w:r>
        <w:rPr>
          <w:rFonts w:ascii="Times New Roman" w:hAnsi="Times New Roman"/>
          <w:b/>
          <w:color w:val="002060"/>
          <w:sz w:val="22"/>
        </w:rPr>
        <w:t xml:space="preserve">•  </w:t>
      </w:r>
      <w:r>
        <w:rPr>
          <w:rFonts w:ascii="Times New Roman" w:hAnsi="Times New Roman"/>
          <w:b/>
          <w:i w:val="0"/>
          <w:color w:val="262626"/>
          <w:sz w:val="25"/>
        </w:rPr>
        <w:t>Bản chất giai đoạn:</w:t>
      </w:r>
      <w:r>
        <w:rPr>
          <w:rFonts w:ascii="Times New Roman" w:hAnsi="Times New Roman"/>
          <w:b w:val="0"/>
          <w:i w:val="0"/>
          <w:color w:val="262626"/>
          <w:sz w:val="25"/>
        </w:rPr>
        <w:t xml:space="preserve"> Chuyển hóa ý tưởng đầu tư thành một dự án khả thi về mặt kỹ thuật, kinh tế, xã hội và pháp lý.</w:t>
      </w:r>
    </w:p>
    <w:p>
      <w:pPr>
        <w:spacing w:before="20" w:after="60" w:line="324" w:lineRule="auto"/>
        <w:ind w:left="360"/>
      </w:pPr>
      <w:r>
        <w:rPr>
          <w:rFonts w:ascii="Times New Roman" w:hAnsi="Times New Roman"/>
          <w:b/>
          <w:color w:val="002060"/>
          <w:sz w:val="22"/>
        </w:rPr>
        <w:t xml:space="preserve">•  </w:t>
      </w:r>
      <w:r>
        <w:rPr>
          <w:rFonts w:ascii="Times New Roman" w:hAnsi="Times New Roman"/>
          <w:b/>
          <w:i w:val="0"/>
          <w:color w:val="262626"/>
          <w:sz w:val="25"/>
        </w:rPr>
        <w:t>Trọng tâm nhiệm vụ quản lý:</w:t>
      </w:r>
    </w:p>
    <w:p>
      <w:pPr>
        <w:spacing w:before="20" w:after="60" w:line="324" w:lineRule="auto"/>
        <w:ind w:left="360"/>
      </w:pPr>
      <w:r>
        <w:rPr>
          <w:rFonts w:ascii="Times New Roman" w:hAnsi="Times New Roman"/>
          <w:b/>
          <w:color w:val="002060"/>
          <w:sz w:val="22"/>
        </w:rPr>
        <w:t xml:space="preserve">•  </w:t>
      </w:r>
      <w:r>
        <w:rPr>
          <w:rFonts w:ascii="Times New Roman" w:hAnsi="Times New Roman"/>
          <w:b/>
          <w:i w:val="0"/>
          <w:color w:val="262626"/>
          <w:sz w:val="25"/>
        </w:rPr>
        <w:t>Nghiên cứu cơ hội đầu tư &amp; Lập Báo cáo nghiên cứu khả thi (F/S) hoặc Báo cáo kinh tế - kỹ thuật:</w:t>
      </w:r>
      <w:r>
        <w:rPr>
          <w:rFonts w:ascii="Times New Roman" w:hAnsi="Times New Roman"/>
          <w:b w:val="0"/>
          <w:i w:val="0"/>
          <w:color w:val="262626"/>
          <w:sz w:val="25"/>
        </w:rPr>
        <w:t xml:space="preserve"> Phân tích sự cần thiết đầu tư, quy mô, địa điểm, phương án thiết kế cơ sở, đánh giá hiệu quả kinh tế - tài chính (NPV, IRR, B/C).</w:t>
      </w:r>
    </w:p>
    <w:p>
      <w:pPr>
        <w:spacing w:before="20" w:after="60" w:line="324" w:lineRule="auto"/>
        <w:ind w:left="360"/>
      </w:pPr>
      <w:r>
        <w:rPr>
          <w:rFonts w:ascii="Times New Roman" w:hAnsi="Times New Roman"/>
          <w:b/>
          <w:color w:val="002060"/>
          <w:sz w:val="22"/>
        </w:rPr>
        <w:t xml:space="preserve">•  </w:t>
      </w:r>
      <w:r>
        <w:rPr>
          <w:rFonts w:ascii="Times New Roman" w:hAnsi="Times New Roman"/>
          <w:b/>
          <w:i w:val="0"/>
          <w:color w:val="262626"/>
          <w:sz w:val="25"/>
        </w:rPr>
        <w:t>Quản lý thủ tục pháp lý đầu vào:</w:t>
      </w:r>
      <w:r>
        <w:rPr>
          <w:rFonts w:ascii="Times New Roman" w:hAnsi="Times New Roman"/>
          <w:b w:val="0"/>
          <w:i w:val="0"/>
          <w:color w:val="262626"/>
          <w:sz w:val="25"/>
        </w:rPr>
        <w:t xml:space="preserve"> Xin chủ trương đầu tư, thẩm định Báo cáo đánh giá tác động môi trường (ĐTM), thẩm duyệt phương án Phòng cháy chữa cháy (PCCC), thỏa thuận cấp điện, cấp thoát nước, tĩnh không sân bay...</w:t>
      </w:r>
    </w:p>
    <w:p>
      <w:pPr>
        <w:spacing w:before="20" w:after="60" w:line="324" w:lineRule="auto"/>
        <w:ind w:left="360"/>
      </w:pPr>
      <w:r>
        <w:rPr>
          <w:rFonts w:ascii="Times New Roman" w:hAnsi="Times New Roman"/>
          <w:b/>
          <w:color w:val="002060"/>
          <w:sz w:val="22"/>
        </w:rPr>
        <w:t xml:space="preserve">•  </w:t>
      </w:r>
      <w:r>
        <w:rPr>
          <w:rFonts w:ascii="Times New Roman" w:hAnsi="Times New Roman"/>
          <w:b/>
          <w:i w:val="0"/>
          <w:color w:val="262626"/>
          <w:sz w:val="25"/>
        </w:rPr>
        <w:t>Quản lý công tác giải phóng mặt bằng (GPMB):</w:t>
      </w:r>
      <w:r>
        <w:rPr>
          <w:rFonts w:ascii="Times New Roman" w:hAnsi="Times New Roman"/>
          <w:b w:val="0"/>
          <w:i w:val="0"/>
          <w:color w:val="262626"/>
          <w:sz w:val="25"/>
        </w:rPr>
        <w:t xml:space="preserve"> Phối hợp với địa phương cắm mốc ranh giới, lập phương án bồi thường, hỗ trợ tái định cư. Đây là "nút thắt cổ chai" lớn nhất tại các dự án giao thông ở Việt Nam.</w:t>
      </w:r>
    </w:p>
    <w:p>
      <w:pPr>
        <w:spacing w:before="20" w:after="60" w:line="324" w:lineRule="auto"/>
        <w:ind w:left="360"/>
      </w:pPr>
      <w:r>
        <w:rPr>
          <w:rFonts w:ascii="Times New Roman" w:hAnsi="Times New Roman"/>
          <w:b/>
          <w:color w:val="002060"/>
          <w:sz w:val="22"/>
        </w:rPr>
        <w:t xml:space="preserve">•  </w:t>
      </w:r>
      <w:r>
        <w:rPr>
          <w:rFonts w:ascii="Times New Roman" w:hAnsi="Times New Roman"/>
          <w:b/>
          <w:i w:val="0"/>
          <w:color w:val="262626"/>
          <w:sz w:val="25"/>
        </w:rPr>
        <w:t>Xác lập Tổng mức đầu tư (TMĐT):</w:t>
      </w:r>
      <w:r>
        <w:rPr>
          <w:rFonts w:ascii="Times New Roman" w:hAnsi="Times New Roman"/>
          <w:b w:val="0"/>
          <w:i w:val="0"/>
          <w:color w:val="262626"/>
          <w:sz w:val="25"/>
        </w:rPr>
        <w:t xml:space="preserve"> Xác định trần ngân sách tối đa theo Nghị định 10/2021/NĐ-CP; cơ cấu vốn và kế hoạch vốn trung hạn/hàng năm.</w:t>
      </w:r>
    </w:p>
    <w:p>
      <w:pPr>
        <w:spacing w:before="20" w:after="60" w:line="324" w:lineRule="auto"/>
        <w:ind w:left="360"/>
      </w:pPr>
      <w:r>
        <w:rPr>
          <w:rFonts w:ascii="Times New Roman" w:hAnsi="Times New Roman"/>
          <w:b/>
          <w:color w:val="002060"/>
          <w:sz w:val="22"/>
        </w:rPr>
        <w:t xml:space="preserve">•  </w:t>
      </w:r>
      <w:r>
        <w:rPr>
          <w:rFonts w:ascii="Times New Roman" w:hAnsi="Times New Roman"/>
          <w:b/>
          <w:i w:val="0"/>
          <w:color w:val="262626"/>
          <w:sz w:val="25"/>
        </w:rPr>
        <w:t>Đặc trưng quản lý:</w:t>
      </w:r>
      <w:r>
        <w:rPr>
          <w:rFonts w:ascii="Times New Roman" w:hAnsi="Times New Roman"/>
          <w:b w:val="0"/>
          <w:i w:val="0"/>
          <w:color w:val="262626"/>
          <w:sz w:val="25"/>
        </w:rPr>
        <w:t xml:space="preserve"> Quản trị chiến lược, làm việc với các cơ quan quản lý nhà nước, mức độ bất định (uncertainty) cao nhất.</w:t>
      </w:r>
    </w:p>
    <w:p>
      <w:pPr>
        <w:keepNext/>
        <w:spacing w:before="160" w:after="80"/>
      </w:pPr>
      <w:r>
        <w:rPr>
          <w:rFonts w:ascii="Times New Roman" w:hAnsi="Times New Roman"/>
          <w:b/>
          <w:color w:val="1F4E79"/>
          <w:sz w:val="26"/>
        </w:rPr>
        <w:t>2.2. Giai đoạn Thực hiện dự án (Implementation / Construction Phase)</w:t>
      </w:r>
    </w:p>
    <w:p>
      <w:pPr>
        <w:spacing w:before="20" w:after="60" w:line="324" w:lineRule="auto"/>
        <w:ind w:left="360"/>
      </w:pPr>
      <w:r>
        <w:rPr>
          <w:rFonts w:ascii="Times New Roman" w:hAnsi="Times New Roman"/>
          <w:b/>
          <w:color w:val="002060"/>
          <w:sz w:val="22"/>
        </w:rPr>
        <w:t xml:space="preserve">•  </w:t>
      </w:r>
      <w:r>
        <w:rPr>
          <w:rFonts w:ascii="Times New Roman" w:hAnsi="Times New Roman"/>
          <w:b/>
          <w:i w:val="0"/>
          <w:color w:val="262626"/>
          <w:sz w:val="25"/>
        </w:rPr>
        <w:t>Bản chất giai đoạn:</w:t>
      </w:r>
      <w:r>
        <w:rPr>
          <w:rFonts w:ascii="Times New Roman" w:hAnsi="Times New Roman"/>
          <w:b w:val="0"/>
          <w:i w:val="0"/>
          <w:color w:val="262626"/>
          <w:sz w:val="25"/>
        </w:rPr>
        <w:t xml:space="preserve"> Hiện thực hóa hồ sơ thiết kế thành công trình vật chất cụ thể trên hiện trường. Đây là giai đoạn tiêu tốn nhiều thời gian, nhân lực và nguồn vốn nhất (khoảng 80-85% ngân sách).</w:t>
      </w:r>
    </w:p>
    <w:p>
      <w:pPr>
        <w:spacing w:before="20" w:after="60" w:line="324" w:lineRule="auto"/>
        <w:ind w:left="360"/>
      </w:pPr>
      <w:r>
        <w:rPr>
          <w:rFonts w:ascii="Times New Roman" w:hAnsi="Times New Roman"/>
          <w:b/>
          <w:color w:val="002060"/>
          <w:sz w:val="22"/>
        </w:rPr>
        <w:t xml:space="preserve">•  </w:t>
      </w:r>
      <w:r>
        <w:rPr>
          <w:rFonts w:ascii="Times New Roman" w:hAnsi="Times New Roman"/>
          <w:b/>
          <w:i w:val="0"/>
          <w:color w:val="262626"/>
          <w:sz w:val="25"/>
        </w:rPr>
        <w:t>Trọng tâm nhiệm vụ quản lý:</w:t>
      </w:r>
    </w:p>
    <w:p>
      <w:pPr>
        <w:spacing w:before="20" w:after="60" w:line="324" w:lineRule="auto"/>
        <w:ind w:left="360"/>
      </w:pPr>
      <w:r>
        <w:rPr>
          <w:rFonts w:ascii="Times New Roman" w:hAnsi="Times New Roman"/>
          <w:b/>
          <w:color w:val="002060"/>
          <w:sz w:val="22"/>
        </w:rPr>
        <w:t xml:space="preserve">•  </w:t>
      </w:r>
      <w:r>
        <w:rPr>
          <w:rFonts w:ascii="Times New Roman" w:hAnsi="Times New Roman"/>
          <w:b/>
          <w:i w:val="0"/>
          <w:color w:val="262626"/>
          <w:sz w:val="25"/>
        </w:rPr>
        <w:t>Quản lý thiết kế chi tiết (TKBVTC):</w:t>
      </w:r>
      <w:r>
        <w:rPr>
          <w:rFonts w:ascii="Times New Roman" w:hAnsi="Times New Roman"/>
          <w:b w:val="0"/>
          <w:i w:val="0"/>
          <w:color w:val="262626"/>
          <w:sz w:val="25"/>
        </w:rPr>
        <w:t xml:space="preserve"> Tổ chức thẩm tra, thẩm định, phê duyệt thiết kế bản vẽ thi công và dự toán gói thầu. Xử lý kịp thời các sai khác giữa hồ sơ thiết kế và địa chất/hiện trường thực tế.</w:t>
      </w:r>
    </w:p>
    <w:p>
      <w:pPr>
        <w:spacing w:before="20" w:after="60" w:line="324" w:lineRule="auto"/>
        <w:ind w:left="360"/>
      </w:pPr>
      <w:r>
        <w:rPr>
          <w:rFonts w:ascii="Times New Roman" w:hAnsi="Times New Roman"/>
          <w:b/>
          <w:color w:val="002060"/>
          <w:sz w:val="22"/>
        </w:rPr>
        <w:t xml:space="preserve">•  </w:t>
      </w:r>
      <w:r>
        <w:rPr>
          <w:rFonts w:ascii="Times New Roman" w:hAnsi="Times New Roman"/>
          <w:b/>
          <w:i w:val="0"/>
          <w:color w:val="262626"/>
          <w:sz w:val="25"/>
        </w:rPr>
        <w:t>Tổ chức đấu thầu và ký kết hợp đồng:</w:t>
      </w:r>
      <w:r>
        <w:rPr>
          <w:rFonts w:ascii="Times New Roman" w:hAnsi="Times New Roman"/>
          <w:b w:val="0"/>
          <w:i w:val="0"/>
          <w:color w:val="262626"/>
          <w:sz w:val="25"/>
        </w:rPr>
        <w:t xml:space="preserve"> Đấu thầu qua mạng theo Luật Đấu thầu 2023; đàm phán hợp đồng chặt chẽ về tiến độ, chất lượng, tạm ứng và điều kiện phạt vi phạm.</w:t>
      </w:r>
    </w:p>
    <w:p>
      <w:pPr>
        <w:spacing w:before="20" w:after="60" w:line="324" w:lineRule="auto"/>
        <w:ind w:left="360"/>
      </w:pPr>
      <w:r>
        <w:rPr>
          <w:rFonts w:ascii="Times New Roman" w:hAnsi="Times New Roman"/>
          <w:b/>
          <w:color w:val="002060"/>
          <w:sz w:val="22"/>
        </w:rPr>
        <w:t xml:space="preserve">•  </w:t>
      </w:r>
      <w:r>
        <w:rPr>
          <w:rFonts w:ascii="Times New Roman" w:hAnsi="Times New Roman"/>
          <w:b/>
          <w:i w:val="0"/>
          <w:color w:val="262626"/>
          <w:sz w:val="25"/>
        </w:rPr>
        <w:t>Điều hành và kiểm soát thi công hiện trường (Site Supervision &amp; Control):</w:t>
      </w:r>
    </w:p>
    <w:p>
      <w:pPr>
        <w:spacing w:before="20" w:after="60" w:line="324" w:lineRule="auto"/>
        <w:ind w:left="360"/>
      </w:pPr>
      <w:r>
        <w:rPr>
          <w:rFonts w:ascii="Times New Roman" w:hAnsi="Times New Roman"/>
          <w:b/>
          <w:color w:val="002060"/>
          <w:sz w:val="22"/>
        </w:rPr>
        <w:t xml:space="preserve">•  </w:t>
      </w:r>
      <w:r>
        <w:rPr>
          <w:rFonts w:ascii="Times New Roman" w:hAnsi="Times New Roman"/>
          <w:b w:val="0"/>
          <w:i w:val="0"/>
          <w:color w:val="262626"/>
          <w:sz w:val="25"/>
        </w:rPr>
        <w:t>Kiểm soát đường găng tiến độ CPM: Kiểm tra tiến độ ngày, tuần, tháng của các nhà thầu.</w:t>
      </w:r>
    </w:p>
    <w:p>
      <w:pPr>
        <w:spacing w:before="20" w:after="60" w:line="324" w:lineRule="auto"/>
        <w:ind w:left="360"/>
      </w:pPr>
      <w:r>
        <w:rPr>
          <w:rFonts w:ascii="Times New Roman" w:hAnsi="Times New Roman"/>
          <w:b/>
          <w:color w:val="002060"/>
          <w:sz w:val="22"/>
        </w:rPr>
        <w:t xml:space="preserve">•  </w:t>
      </w:r>
      <w:r>
        <w:rPr>
          <w:rFonts w:ascii="Times New Roman" w:hAnsi="Times New Roman"/>
          <w:b w:val="0"/>
          <w:i w:val="0"/>
          <w:color w:val="262626"/>
          <w:sz w:val="25"/>
        </w:rPr>
        <w:t>Kiểm soát chất lượng theo NĐ 06/2021: Giám sát quy trình thí nghiệm, nghiệm thu chuyển bước, xử lý không phù hợp (NCR).</w:t>
      </w:r>
    </w:p>
    <w:p>
      <w:pPr>
        <w:spacing w:before="20" w:after="60" w:line="324" w:lineRule="auto"/>
        <w:ind w:left="360"/>
      </w:pPr>
      <w:r>
        <w:rPr>
          <w:rFonts w:ascii="Times New Roman" w:hAnsi="Times New Roman"/>
          <w:b/>
          <w:color w:val="002060"/>
          <w:sz w:val="22"/>
        </w:rPr>
        <w:t xml:space="preserve">•  </w:t>
      </w:r>
      <w:r>
        <w:rPr>
          <w:rFonts w:ascii="Times New Roman" w:hAnsi="Times New Roman"/>
          <w:b w:val="0"/>
          <w:i w:val="0"/>
          <w:color w:val="262626"/>
          <w:sz w:val="25"/>
        </w:rPr>
        <w:t>Quản lý khối lượng và dòng tiền: Nghiệm thu khối lượng hoàn thành định kỳ, xác nhận phiếu giá thanh toán, đối chiếu với tiến độ giải ngân.</w:t>
      </w:r>
    </w:p>
    <w:p>
      <w:pPr>
        <w:spacing w:before="20" w:after="60" w:line="324" w:lineRule="auto"/>
        <w:ind w:left="360"/>
      </w:pPr>
      <w:r>
        <w:rPr>
          <w:rFonts w:ascii="Times New Roman" w:hAnsi="Times New Roman"/>
          <w:b/>
          <w:color w:val="002060"/>
          <w:sz w:val="22"/>
        </w:rPr>
        <w:t xml:space="preserve">•  </w:t>
      </w:r>
      <w:r>
        <w:rPr>
          <w:rFonts w:ascii="Times New Roman" w:hAnsi="Times New Roman"/>
          <w:b/>
          <w:i w:val="0"/>
          <w:color w:val="262626"/>
          <w:sz w:val="25"/>
        </w:rPr>
        <w:t>Quản lý giao diện và giải quyết xung đột:</w:t>
      </w:r>
      <w:r>
        <w:rPr>
          <w:rFonts w:ascii="Times New Roman" w:hAnsi="Times New Roman"/>
          <w:b w:val="0"/>
          <w:i w:val="0"/>
          <w:color w:val="262626"/>
          <w:sz w:val="25"/>
        </w:rPr>
        <w:t xml:space="preserve"> Điều phối mặt bằng thi công giữa các nhà thầu xây lắp, nhà thầu cơ điện, nhà thầu phụ.</w:t>
      </w:r>
    </w:p>
    <w:p>
      <w:pPr>
        <w:spacing w:before="20" w:after="60" w:line="324" w:lineRule="auto"/>
        <w:ind w:left="360"/>
      </w:pPr>
      <w:r>
        <w:rPr>
          <w:rFonts w:ascii="Times New Roman" w:hAnsi="Times New Roman"/>
          <w:b/>
          <w:color w:val="002060"/>
          <w:sz w:val="22"/>
        </w:rPr>
        <w:t xml:space="preserve">•  </w:t>
      </w:r>
      <w:r>
        <w:rPr>
          <w:rFonts w:ascii="Times New Roman" w:hAnsi="Times New Roman"/>
          <w:b/>
          <w:i w:val="0"/>
          <w:color w:val="262626"/>
          <w:sz w:val="25"/>
        </w:rPr>
        <w:t>Đặc trưng quản lý:</w:t>
      </w:r>
      <w:r>
        <w:rPr>
          <w:rFonts w:ascii="Times New Roman" w:hAnsi="Times New Roman"/>
          <w:b w:val="0"/>
          <w:i w:val="0"/>
          <w:color w:val="262626"/>
          <w:sz w:val="25"/>
        </w:rPr>
        <w:t xml:space="preserve"> Quản trị tác nghiệp, điều hành thực tế, xử lý khủng hoảng tại hiện trường, bảo đảm an toàn lao động và bảo vệ môi trường.</w:t>
      </w:r>
    </w:p>
    <w:p>
      <w:pPr>
        <w:keepNext/>
        <w:spacing w:before="160" w:after="80"/>
      </w:pPr>
      <w:r>
        <w:rPr>
          <w:rFonts w:ascii="Times New Roman" w:hAnsi="Times New Roman"/>
          <w:b/>
          <w:color w:val="1F4E79"/>
          <w:sz w:val="26"/>
        </w:rPr>
        <w:t>2.3. Giai đoạn Kết thúc xây dựng đưa công trình vào khai thác sử dụng (Close-out &amp; Commissioning Phase)</w:t>
      </w:r>
    </w:p>
    <w:p>
      <w:pPr>
        <w:spacing w:before="20" w:after="60" w:line="324" w:lineRule="auto"/>
        <w:ind w:left="360"/>
      </w:pPr>
      <w:r>
        <w:rPr>
          <w:rFonts w:ascii="Times New Roman" w:hAnsi="Times New Roman"/>
          <w:b/>
          <w:color w:val="002060"/>
          <w:sz w:val="22"/>
        </w:rPr>
        <w:t xml:space="preserve">•  </w:t>
      </w:r>
      <w:r>
        <w:rPr>
          <w:rFonts w:ascii="Times New Roman" w:hAnsi="Times New Roman"/>
          <w:b/>
          <w:i w:val="0"/>
          <w:color w:val="262626"/>
          <w:sz w:val="25"/>
        </w:rPr>
        <w:t>Bản chất giai đoạn:</w:t>
      </w:r>
      <w:r>
        <w:rPr>
          <w:rFonts w:ascii="Times New Roman" w:hAnsi="Times New Roman"/>
          <w:b w:val="0"/>
          <w:i w:val="0"/>
          <w:color w:val="262626"/>
          <w:sz w:val="25"/>
        </w:rPr>
        <w:t xml:space="preserve"> Khép lại quá trình xây dựng, chuyển giao quyền quản lý/vận hành và hoàn tất các nghĩa vụ pháp lý, tài chính.</w:t>
      </w:r>
    </w:p>
    <w:p>
      <w:pPr>
        <w:spacing w:before="20" w:after="60" w:line="324" w:lineRule="auto"/>
        <w:ind w:left="360"/>
      </w:pPr>
      <w:r>
        <w:rPr>
          <w:rFonts w:ascii="Times New Roman" w:hAnsi="Times New Roman"/>
          <w:b/>
          <w:color w:val="002060"/>
          <w:sz w:val="22"/>
        </w:rPr>
        <w:t xml:space="preserve">•  </w:t>
      </w:r>
      <w:r>
        <w:rPr>
          <w:rFonts w:ascii="Times New Roman" w:hAnsi="Times New Roman"/>
          <w:b/>
          <w:i w:val="0"/>
          <w:color w:val="262626"/>
          <w:sz w:val="25"/>
        </w:rPr>
        <w:t>Trọng tâm nhiệm vụ quản lý:</w:t>
      </w:r>
    </w:p>
    <w:p>
      <w:pPr>
        <w:spacing w:before="20" w:after="60" w:line="324" w:lineRule="auto"/>
        <w:ind w:left="360"/>
      </w:pPr>
      <w:r>
        <w:rPr>
          <w:rFonts w:ascii="Times New Roman" w:hAnsi="Times New Roman"/>
          <w:b/>
          <w:color w:val="002060"/>
          <w:sz w:val="22"/>
        </w:rPr>
        <w:t xml:space="preserve">•  </w:t>
      </w:r>
      <w:r>
        <w:rPr>
          <w:rFonts w:ascii="Times New Roman" w:hAnsi="Times New Roman"/>
          <w:b/>
          <w:i w:val="0"/>
          <w:color w:val="262626"/>
          <w:sz w:val="25"/>
        </w:rPr>
        <w:t>Nghiệm thu hoàn thành hạng mục / toàn bộ công trình:</w:t>
      </w:r>
      <w:r>
        <w:rPr>
          <w:rFonts w:ascii="Times New Roman" w:hAnsi="Times New Roman"/>
          <w:b w:val="0"/>
          <w:i w:val="0"/>
          <w:color w:val="262626"/>
          <w:sz w:val="25"/>
        </w:rPr>
        <w:t xml:space="preserve"> Tổ chức chạy thử đơn động, liên động có tải/không tải; nghiệm thu PCCC, nghiệm thu bảo vệ môi trường; chuẩn bị hồ sơ phục vụ công tác kiểm tra của Cơ quan chuyên môn về xây dựng (Cục Giám định - Bộ Xây dựng hoặc Sở Xây dựng/Sở GTVT) theo Điều 24 Nghị định 06/2021/NĐ-CP.</w:t>
      </w:r>
    </w:p>
    <w:p>
      <w:pPr>
        <w:spacing w:before="20" w:after="60" w:line="324" w:lineRule="auto"/>
        <w:ind w:left="360"/>
      </w:pPr>
      <w:r>
        <w:rPr>
          <w:rFonts w:ascii="Times New Roman" w:hAnsi="Times New Roman"/>
          <w:b/>
          <w:color w:val="002060"/>
          <w:sz w:val="22"/>
        </w:rPr>
        <w:t xml:space="preserve">•  </w:t>
      </w:r>
      <w:r>
        <w:rPr>
          <w:rFonts w:ascii="Times New Roman" w:hAnsi="Times New Roman"/>
          <w:b/>
          <w:i w:val="0"/>
          <w:color w:val="262626"/>
          <w:sz w:val="25"/>
        </w:rPr>
        <w:t>Quản lý hồ sơ hoàn công và cấp chứng nhận sở hữu:</w:t>
      </w:r>
      <w:r>
        <w:rPr>
          <w:rFonts w:ascii="Times New Roman" w:hAnsi="Times New Roman"/>
          <w:b w:val="0"/>
          <w:i w:val="0"/>
          <w:color w:val="262626"/>
          <w:sz w:val="25"/>
        </w:rPr>
        <w:t xml:space="preserve"> Thu thập, kiểm tra bản vẽ hoàn công, lý lịch thiết bị, biên bản nghiệm thu; lập danh mục hồ sơ lưu trữ theo quy định.</w:t>
      </w:r>
    </w:p>
    <w:p>
      <w:pPr>
        <w:spacing w:before="20" w:after="60" w:line="324" w:lineRule="auto"/>
        <w:ind w:left="360"/>
      </w:pPr>
      <w:r>
        <w:rPr>
          <w:rFonts w:ascii="Times New Roman" w:hAnsi="Times New Roman"/>
          <w:b/>
          <w:color w:val="002060"/>
          <w:sz w:val="22"/>
        </w:rPr>
        <w:t xml:space="preserve">•  </w:t>
      </w:r>
      <w:r>
        <w:rPr>
          <w:rFonts w:ascii="Times New Roman" w:hAnsi="Times New Roman"/>
          <w:b/>
          <w:i w:val="0"/>
          <w:color w:val="262626"/>
          <w:sz w:val="25"/>
        </w:rPr>
        <w:t>Bàn giao công trình cho đơn vị khai thác:</w:t>
      </w:r>
      <w:r>
        <w:rPr>
          <w:rFonts w:ascii="Times New Roman" w:hAnsi="Times New Roman"/>
          <w:b w:val="0"/>
          <w:i w:val="0"/>
          <w:color w:val="262626"/>
          <w:sz w:val="25"/>
        </w:rPr>
        <w:t xml:space="preserve"> Ký biên bản bàn giao, đào tạo chuyển giao công nghệ vận hành và bảo trì.</w:t>
      </w:r>
    </w:p>
    <w:p>
      <w:pPr>
        <w:spacing w:before="20" w:after="60" w:line="324" w:lineRule="auto"/>
        <w:ind w:left="360"/>
      </w:pPr>
      <w:r>
        <w:rPr>
          <w:rFonts w:ascii="Times New Roman" w:hAnsi="Times New Roman"/>
          <w:b/>
          <w:color w:val="002060"/>
          <w:sz w:val="22"/>
        </w:rPr>
        <w:t xml:space="preserve">•  </w:t>
      </w:r>
      <w:r>
        <w:rPr>
          <w:rFonts w:ascii="Times New Roman" w:hAnsi="Times New Roman"/>
          <w:b/>
          <w:i w:val="0"/>
          <w:color w:val="262626"/>
          <w:sz w:val="25"/>
        </w:rPr>
        <w:t>Quyết toán vốn đầu tư công trình hoàn thành:</w:t>
      </w:r>
      <w:r>
        <w:rPr>
          <w:rFonts w:ascii="Times New Roman" w:hAnsi="Times New Roman"/>
          <w:b w:val="0"/>
          <w:i w:val="0"/>
          <w:color w:val="262626"/>
          <w:sz w:val="25"/>
        </w:rPr>
        <w:t xml:space="preserve"> Đối chiếu công nợ, quyết toán hợp đồng với từng nhà thầu; lập Báo cáo quyết toán dự án hoàn thành trình cơ quan có thẩm quyền phê duyệt theo quy định của Bộ Tài chính; giải tỏa bảo lãnh hợp đồng, chuyển sang bảo lãnh bảo hành.</w:t>
      </w:r>
    </w:p>
    <w:p>
      <w:pPr>
        <w:spacing w:before="20" w:after="60" w:line="324" w:lineRule="auto"/>
        <w:ind w:left="360"/>
      </w:pPr>
      <w:r>
        <w:rPr>
          <w:rFonts w:ascii="Times New Roman" w:hAnsi="Times New Roman"/>
          <w:b/>
          <w:color w:val="002060"/>
          <w:sz w:val="22"/>
        </w:rPr>
        <w:t xml:space="preserve">•  </w:t>
      </w:r>
      <w:r>
        <w:rPr>
          <w:rFonts w:ascii="Times New Roman" w:hAnsi="Times New Roman"/>
          <w:b/>
          <w:i w:val="0"/>
          <w:color w:val="262626"/>
          <w:sz w:val="25"/>
        </w:rPr>
        <w:t>Quản lý bảo hành và đánh giá sau dự án (Post-project Evaluation):</w:t>
      </w:r>
      <w:r>
        <w:rPr>
          <w:rFonts w:ascii="Times New Roman" w:hAnsi="Times New Roman"/>
          <w:b w:val="0"/>
          <w:i w:val="0"/>
          <w:color w:val="262626"/>
          <w:sz w:val="25"/>
        </w:rPr>
        <w:t xml:space="preserve"> Giám sát trách nhiệm bảo hành của nhà thầu (12 - 24 tháng); tổng kết bài học kinh nghiệm (Lessons Learned).</w:t>
      </w:r>
    </w:p>
    <w:p>
      <w:pPr>
        <w:spacing w:before="20" w:after="60" w:line="324" w:lineRule="auto"/>
        <w:ind w:left="360"/>
      </w:pPr>
      <w:r>
        <w:rPr>
          <w:rFonts w:ascii="Times New Roman" w:hAnsi="Times New Roman"/>
          <w:b/>
          <w:color w:val="002060"/>
          <w:sz w:val="22"/>
        </w:rPr>
        <w:t xml:space="preserve">•  </w:t>
      </w:r>
      <w:r>
        <w:rPr>
          <w:rFonts w:ascii="Times New Roman" w:hAnsi="Times New Roman"/>
          <w:b/>
          <w:i w:val="0"/>
          <w:color w:val="262626"/>
          <w:sz w:val="25"/>
        </w:rPr>
        <w:t>Đặc trưng quản lý:</w:t>
      </w:r>
      <w:r>
        <w:rPr>
          <w:rFonts w:ascii="Times New Roman" w:hAnsi="Times New Roman"/>
          <w:b w:val="0"/>
          <w:i w:val="0"/>
          <w:color w:val="262626"/>
          <w:sz w:val="25"/>
        </w:rPr>
        <w:t xml:space="preserve"> Quản trị pháp lý khép kín, kiểm toán, hành chính - tài chính.</w:t>
      </w:r>
    </w:p>
    <w:p>
      <w:pPr>
        <w:spacing w:before="80" w:after="160"/>
        <w:jc w:val="center"/>
      </w:pPr>
      <w:r>
        <w:rPr>
          <w:color w:val="B0C4DE"/>
        </w:rPr>
        <w:t>―――――――――――――――――――――――――――――――――――</w:t>
      </w:r>
    </w:p>
    <w:p>
      <w:pPr>
        <w:keepNext/>
        <w:spacing w:before="240" w:after="120"/>
      </w:pPr>
      <w:r>
        <w:rPr>
          <w:rFonts w:ascii="Times New Roman" w:hAnsi="Times New Roman"/>
          <w:b/>
          <w:color w:val="002060"/>
          <w:sz w:val="28"/>
        </w:rPr>
        <w:t>3. Bảng so sánh tổng hợp sự thay đổi nhiệm vụ</w:t>
      </w:r>
    </w:p>
    <w:tbl>
      <w:tblPr>
        <w:tblW w:type="auto" w:w="0"/>
        <w:jc w:val="center"/>
        <w:tblBorders>
          <w:top w:val="single" w:sz="6" w:space="0" w:color="B0C4DE"/>
          <w:left w:val="none"/>
          <w:bottom w:val="single" w:sz="8" w:space="0" w:color="002060"/>
          <w:right w:val="none"/>
          <w:insideH w:val="single" w:sz="4" w:space="0" w:color="B0C4DE"/>
          <w:insideV w:val="none"/>
        </w:tblBorders>
        <w:tblLayout w:type="fixed"/>
        <w:tblLook w:firstColumn="1" w:firstRow="1" w:lastColumn="0" w:lastRow="0" w:noHBand="0" w:noVBand="1" w:val="04A0"/>
      </w:tblPr>
      <w:tblGrid>
        <w:gridCol w:w="2268"/>
        <w:gridCol w:w="2268"/>
        <w:gridCol w:w="2268"/>
        <w:gridCol w:w="2268"/>
      </w:tblGrid>
      <w:tr>
        <w:tc>
          <w:tcPr>
            <w:tcW w:type="dxa" w:w="2268"/>
            <w:shd w:val="clear" w:color="auto" w:fill="EBF1F5"/>
            <w:tcMar>
              <w:top w:w="60" w:type="dxa"/>
              <w:left w:w="100" w:type="dxa"/>
              <w:bottom w:w="60" w:type="dxa"/>
              <w:right w:w="100" w:type="dxa"/>
            </w:tcMar>
          </w:tcPr>
          <w:p>
            <w:pPr>
              <w:spacing w:before="60" w:after="60" w:line="276" w:lineRule="auto"/>
              <w:jc w:val="center"/>
            </w:pPr>
            <w:r>
              <w:rPr>
                <w:rFonts w:ascii="Times New Roman" w:hAnsi="Times New Roman"/>
                <w:b/>
                <w:i w:val="0"/>
                <w:color w:val="002060"/>
                <w:sz w:val="22"/>
              </w:rPr>
              <w:t>Tiêu chí</w:t>
            </w:r>
          </w:p>
        </w:tc>
        <w:tc>
          <w:tcPr>
            <w:tcW w:type="dxa" w:w="2268"/>
            <w:shd w:val="clear" w:color="auto" w:fill="EBF1F5"/>
            <w:tcMar>
              <w:top w:w="60" w:type="dxa"/>
              <w:left w:w="100" w:type="dxa"/>
              <w:bottom w:w="60" w:type="dxa"/>
              <w:right w:w="100" w:type="dxa"/>
            </w:tcMar>
          </w:tcPr>
          <w:p>
            <w:pPr>
              <w:spacing w:before="60" w:after="60" w:line="276" w:lineRule="auto"/>
              <w:jc w:val="center"/>
            </w:pPr>
            <w:r>
              <w:rPr>
                <w:rFonts w:ascii="Times New Roman" w:hAnsi="Times New Roman"/>
                <w:b/>
                <w:i w:val="0"/>
                <w:color w:val="002060"/>
                <w:sz w:val="22"/>
              </w:rPr>
              <w:t>Giai đoạn Chuẩn bị dự án</w:t>
            </w:r>
          </w:p>
        </w:tc>
        <w:tc>
          <w:tcPr>
            <w:tcW w:type="dxa" w:w="2268"/>
            <w:shd w:val="clear" w:color="auto" w:fill="EBF1F5"/>
            <w:tcMar>
              <w:top w:w="60" w:type="dxa"/>
              <w:left w:w="100" w:type="dxa"/>
              <w:bottom w:w="60" w:type="dxa"/>
              <w:right w:w="100" w:type="dxa"/>
            </w:tcMar>
          </w:tcPr>
          <w:p>
            <w:pPr>
              <w:spacing w:before="60" w:after="60" w:line="276" w:lineRule="auto"/>
              <w:jc w:val="center"/>
            </w:pPr>
            <w:r>
              <w:rPr>
                <w:rFonts w:ascii="Times New Roman" w:hAnsi="Times New Roman"/>
                <w:b/>
                <w:i w:val="0"/>
                <w:color w:val="002060"/>
                <w:sz w:val="22"/>
              </w:rPr>
              <w:t>Giai đoạn Thực hiện dự án</w:t>
            </w:r>
          </w:p>
        </w:tc>
        <w:tc>
          <w:tcPr>
            <w:tcW w:type="dxa" w:w="2268"/>
            <w:shd w:val="clear" w:color="auto" w:fill="EBF1F5"/>
            <w:tcMar>
              <w:top w:w="60" w:type="dxa"/>
              <w:left w:w="100" w:type="dxa"/>
              <w:bottom w:w="60" w:type="dxa"/>
              <w:right w:w="100" w:type="dxa"/>
            </w:tcMar>
          </w:tcPr>
          <w:p>
            <w:pPr>
              <w:spacing w:before="60" w:after="60" w:line="276" w:lineRule="auto"/>
              <w:jc w:val="center"/>
            </w:pPr>
            <w:r>
              <w:rPr>
                <w:rFonts w:ascii="Times New Roman" w:hAnsi="Times New Roman"/>
                <w:b/>
                <w:i w:val="0"/>
                <w:color w:val="002060"/>
                <w:sz w:val="22"/>
              </w:rPr>
              <w:t>Giai đoạn Kết thúc dự án</w:t>
            </w:r>
          </w:p>
        </w:tc>
      </w:tr>
      <w:tr>
        <w:tc>
          <w:tcPr>
            <w:tcW w:type="dxa" w:w="2268"/>
            <w:shd w:val="clear" w:color="auto" w:fill="F9FBFC"/>
            <w:tcMar>
              <w:top w:w="60" w:type="dxa"/>
              <w:left w:w="100" w:type="dxa"/>
              <w:bottom w:w="60" w:type="dxa"/>
              <w:right w:w="100" w:type="dxa"/>
            </w:tcMar>
          </w:tcPr>
          <w:p>
            <w:pPr>
              <w:spacing w:before="60" w:after="60" w:line="276" w:lineRule="auto"/>
              <w:jc w:val="left"/>
            </w:pPr>
            <w:r>
              <w:rPr>
                <w:rFonts w:ascii="Times New Roman" w:hAnsi="Times New Roman"/>
                <w:b/>
                <w:i w:val="0"/>
                <w:color w:val="262626"/>
                <w:sz w:val="22"/>
              </w:rPr>
              <w:t>Mục tiêu then chốt</w:t>
            </w:r>
          </w:p>
        </w:tc>
        <w:tc>
          <w:tcPr>
            <w:tcW w:type="dxa" w:w="2268"/>
            <w:shd w:val="clear" w:color="auto" w:fill="F9FBFC"/>
            <w:tcMar>
              <w:top w:w="60" w:type="dxa"/>
              <w:left w:w="100" w:type="dxa"/>
              <w:bottom w:w="60" w:type="dxa"/>
              <w:right w:w="100" w:type="dxa"/>
            </w:tcMar>
          </w:tcPr>
          <w:p>
            <w:pPr>
              <w:spacing w:before="60" w:after="60" w:line="276" w:lineRule="auto"/>
              <w:jc w:val="left"/>
            </w:pPr>
            <w:r>
              <w:rPr>
                <w:rFonts w:ascii="Times New Roman" w:hAnsi="Times New Roman"/>
                <w:b w:val="0"/>
                <w:i w:val="0"/>
                <w:color w:val="262626"/>
                <w:sz w:val="22"/>
              </w:rPr>
              <w:t>Tính khả thi, phê duyệt quy hoạch, giải phóng mặt bằng</w:t>
            </w:r>
          </w:p>
        </w:tc>
        <w:tc>
          <w:tcPr>
            <w:tcW w:type="dxa" w:w="2268"/>
            <w:shd w:val="clear" w:color="auto" w:fill="F9FBFC"/>
            <w:tcMar>
              <w:top w:w="60" w:type="dxa"/>
              <w:left w:w="100" w:type="dxa"/>
              <w:bottom w:w="60" w:type="dxa"/>
              <w:right w:w="100" w:type="dxa"/>
            </w:tcMar>
          </w:tcPr>
          <w:p>
            <w:pPr>
              <w:spacing w:before="60" w:after="60" w:line="276" w:lineRule="auto"/>
              <w:jc w:val="left"/>
            </w:pPr>
            <w:r>
              <w:rPr>
                <w:rFonts w:ascii="Times New Roman" w:hAnsi="Times New Roman"/>
                <w:b w:val="0"/>
                <w:i w:val="0"/>
                <w:color w:val="262626"/>
                <w:sz w:val="22"/>
              </w:rPr>
              <w:t>Bàn giao công trình đúng tiến độ, chi phí, chất lượng</w:t>
            </w:r>
          </w:p>
        </w:tc>
        <w:tc>
          <w:tcPr>
            <w:tcW w:type="dxa" w:w="2268"/>
            <w:shd w:val="clear" w:color="auto" w:fill="F9FBFC"/>
            <w:tcMar>
              <w:top w:w="60" w:type="dxa"/>
              <w:left w:w="100" w:type="dxa"/>
              <w:bottom w:w="60" w:type="dxa"/>
              <w:right w:w="100" w:type="dxa"/>
            </w:tcMar>
          </w:tcPr>
          <w:p>
            <w:pPr>
              <w:spacing w:before="60" w:after="60" w:line="276" w:lineRule="auto"/>
              <w:jc w:val="left"/>
            </w:pPr>
            <w:r>
              <w:rPr>
                <w:rFonts w:ascii="Times New Roman" w:hAnsi="Times New Roman"/>
                <w:b w:val="0"/>
                <w:i w:val="0"/>
                <w:color w:val="262626"/>
                <w:sz w:val="22"/>
              </w:rPr>
              <w:t>Nghiệm thu đưa vào sử dụng, quyết toán vốn đầu tư</w:t>
            </w:r>
          </w:p>
        </w:tc>
      </w:tr>
      <w:tr>
        <w:tc>
          <w:tcPr>
            <w:tcW w:type="dxa" w:w="2268"/>
            <w:tcMar>
              <w:top w:w="60" w:type="dxa"/>
              <w:left w:w="100" w:type="dxa"/>
              <w:bottom w:w="60" w:type="dxa"/>
              <w:right w:w="100" w:type="dxa"/>
            </w:tcMar>
          </w:tcPr>
          <w:p>
            <w:pPr>
              <w:spacing w:before="60" w:after="60" w:line="276" w:lineRule="auto"/>
              <w:jc w:val="left"/>
            </w:pPr>
            <w:r>
              <w:rPr>
                <w:rFonts w:ascii="Times New Roman" w:hAnsi="Times New Roman"/>
                <w:b/>
                <w:i w:val="0"/>
                <w:color w:val="262626"/>
                <w:sz w:val="22"/>
              </w:rPr>
              <w:t>Văn bản pháp lý trọng tâm</w:t>
            </w:r>
          </w:p>
        </w:tc>
        <w:tc>
          <w:tcPr>
            <w:tcW w:type="dxa" w:w="2268"/>
            <w:tcMar>
              <w:top w:w="60" w:type="dxa"/>
              <w:left w:w="100" w:type="dxa"/>
              <w:bottom w:w="60" w:type="dxa"/>
              <w:right w:w="100" w:type="dxa"/>
            </w:tcMar>
          </w:tcPr>
          <w:p>
            <w:pPr>
              <w:spacing w:before="60" w:after="60" w:line="276" w:lineRule="auto"/>
              <w:jc w:val="left"/>
            </w:pPr>
            <w:r>
              <w:rPr>
                <w:rFonts w:ascii="Times New Roman" w:hAnsi="Times New Roman"/>
                <w:b w:val="0"/>
                <w:i w:val="0"/>
                <w:color w:val="262626"/>
                <w:sz w:val="22"/>
              </w:rPr>
              <w:t>Luật Đầu tư công, NĐ 15/2021 (Điều 12-19)</w:t>
            </w:r>
          </w:p>
        </w:tc>
        <w:tc>
          <w:tcPr>
            <w:tcW w:type="dxa" w:w="2268"/>
            <w:tcMar>
              <w:top w:w="60" w:type="dxa"/>
              <w:left w:w="100" w:type="dxa"/>
              <w:bottom w:w="60" w:type="dxa"/>
              <w:right w:w="100" w:type="dxa"/>
            </w:tcMar>
          </w:tcPr>
          <w:p>
            <w:pPr>
              <w:spacing w:before="60" w:after="60" w:line="276" w:lineRule="auto"/>
              <w:jc w:val="left"/>
            </w:pPr>
            <w:r>
              <w:rPr>
                <w:rFonts w:ascii="Times New Roman" w:hAnsi="Times New Roman"/>
                <w:b w:val="0"/>
                <w:i w:val="0"/>
                <w:color w:val="262626"/>
                <w:sz w:val="22"/>
              </w:rPr>
              <w:t>Luật Đấu thầu 2023, NĐ 06/2021, NĐ 10/2021, NĐ 37/2015</w:t>
            </w:r>
          </w:p>
        </w:tc>
        <w:tc>
          <w:tcPr>
            <w:tcW w:type="dxa" w:w="2268"/>
            <w:tcMar>
              <w:top w:w="60" w:type="dxa"/>
              <w:left w:w="100" w:type="dxa"/>
              <w:bottom w:w="60" w:type="dxa"/>
              <w:right w:w="100" w:type="dxa"/>
            </w:tcMar>
          </w:tcPr>
          <w:p>
            <w:pPr>
              <w:spacing w:before="60" w:after="60" w:line="276" w:lineRule="auto"/>
              <w:jc w:val="left"/>
            </w:pPr>
            <w:r>
              <w:rPr>
                <w:rFonts w:ascii="Times New Roman" w:hAnsi="Times New Roman"/>
                <w:b w:val="0"/>
                <w:i w:val="0"/>
                <w:color w:val="262626"/>
                <w:sz w:val="22"/>
              </w:rPr>
              <w:t>Thông tư Bộ Tài chính về quyết toán, NĐ 06/2021 (Điều 23-24)</w:t>
            </w:r>
          </w:p>
        </w:tc>
      </w:tr>
      <w:tr>
        <w:tc>
          <w:tcPr>
            <w:tcW w:type="dxa" w:w="2268"/>
            <w:shd w:val="clear" w:color="auto" w:fill="F9FBFC"/>
            <w:tcMar>
              <w:top w:w="60" w:type="dxa"/>
              <w:left w:w="100" w:type="dxa"/>
              <w:bottom w:w="60" w:type="dxa"/>
              <w:right w:w="100" w:type="dxa"/>
            </w:tcMar>
          </w:tcPr>
          <w:p>
            <w:pPr>
              <w:spacing w:before="60" w:after="60" w:line="276" w:lineRule="auto"/>
              <w:jc w:val="left"/>
            </w:pPr>
            <w:r>
              <w:rPr>
                <w:rFonts w:ascii="Times New Roman" w:hAnsi="Times New Roman"/>
                <w:b/>
                <w:i w:val="0"/>
                <w:color w:val="262626"/>
                <w:sz w:val="22"/>
              </w:rPr>
              <w:t>Bản chất hoạt động</w:t>
            </w:r>
          </w:p>
        </w:tc>
        <w:tc>
          <w:tcPr>
            <w:tcW w:type="dxa" w:w="2268"/>
            <w:shd w:val="clear" w:color="auto" w:fill="F9FBFC"/>
            <w:tcMar>
              <w:top w:w="60" w:type="dxa"/>
              <w:left w:w="100" w:type="dxa"/>
              <w:bottom w:w="60" w:type="dxa"/>
              <w:right w:w="100" w:type="dxa"/>
            </w:tcMar>
          </w:tcPr>
          <w:p>
            <w:pPr>
              <w:spacing w:before="60" w:after="60" w:line="276" w:lineRule="auto"/>
              <w:jc w:val="left"/>
            </w:pPr>
            <w:r>
              <w:rPr>
                <w:rFonts w:ascii="Times New Roman" w:hAnsi="Times New Roman"/>
                <w:b w:val="0"/>
                <w:i w:val="0"/>
                <w:color w:val="262626"/>
                <w:sz w:val="22"/>
              </w:rPr>
              <w:t>Nghiên cứu, tính toán, thỏa thuận, phê duyệt</w:t>
            </w:r>
          </w:p>
        </w:tc>
        <w:tc>
          <w:tcPr>
            <w:tcW w:type="dxa" w:w="2268"/>
            <w:shd w:val="clear" w:color="auto" w:fill="F9FBFC"/>
            <w:tcMar>
              <w:top w:w="60" w:type="dxa"/>
              <w:left w:w="100" w:type="dxa"/>
              <w:bottom w:w="60" w:type="dxa"/>
              <w:right w:w="100" w:type="dxa"/>
            </w:tcMar>
          </w:tcPr>
          <w:p>
            <w:pPr>
              <w:spacing w:before="60" w:after="60" w:line="276" w:lineRule="auto"/>
              <w:jc w:val="left"/>
            </w:pPr>
            <w:r>
              <w:rPr>
                <w:rFonts w:ascii="Times New Roman" w:hAnsi="Times New Roman"/>
                <w:b w:val="0"/>
                <w:i w:val="0"/>
                <w:color w:val="262626"/>
                <w:sz w:val="22"/>
              </w:rPr>
              <w:t>Thi công, lắp đặt, giám sát, nghiệm thu hiện trường</w:t>
            </w:r>
          </w:p>
        </w:tc>
        <w:tc>
          <w:tcPr>
            <w:tcW w:type="dxa" w:w="2268"/>
            <w:shd w:val="clear" w:color="auto" w:fill="F9FBFC"/>
            <w:tcMar>
              <w:top w:w="60" w:type="dxa"/>
              <w:left w:w="100" w:type="dxa"/>
              <w:bottom w:w="60" w:type="dxa"/>
              <w:right w:w="100" w:type="dxa"/>
            </w:tcMar>
          </w:tcPr>
          <w:p>
            <w:pPr>
              <w:spacing w:before="60" w:after="60" w:line="276" w:lineRule="auto"/>
              <w:jc w:val="left"/>
            </w:pPr>
            <w:r>
              <w:rPr>
                <w:rFonts w:ascii="Times New Roman" w:hAnsi="Times New Roman"/>
                <w:b w:val="0"/>
                <w:i w:val="0"/>
                <w:color w:val="262626"/>
                <w:sz w:val="22"/>
              </w:rPr>
              <w:t>Kiểm toán, đo đạc hoàn công, chuyển giao tài sản</w:t>
            </w:r>
          </w:p>
        </w:tc>
      </w:tr>
      <w:tr>
        <w:tc>
          <w:tcPr>
            <w:tcW w:type="dxa" w:w="2268"/>
            <w:tcMar>
              <w:top w:w="60" w:type="dxa"/>
              <w:left w:w="100" w:type="dxa"/>
              <w:bottom w:w="60" w:type="dxa"/>
              <w:right w:w="100" w:type="dxa"/>
            </w:tcMar>
          </w:tcPr>
          <w:p>
            <w:pPr>
              <w:spacing w:before="60" w:after="60" w:line="276" w:lineRule="auto"/>
              <w:jc w:val="left"/>
            </w:pPr>
            <w:r>
              <w:rPr>
                <w:rFonts w:ascii="Times New Roman" w:hAnsi="Times New Roman"/>
                <w:b/>
                <w:i w:val="0"/>
                <w:color w:val="262626"/>
                <w:sz w:val="22"/>
              </w:rPr>
              <w:t>Chủ thể tương tác chính</w:t>
            </w:r>
          </w:p>
        </w:tc>
        <w:tc>
          <w:tcPr>
            <w:tcW w:type="dxa" w:w="2268"/>
            <w:tcMar>
              <w:top w:w="60" w:type="dxa"/>
              <w:left w:w="100" w:type="dxa"/>
              <w:bottom w:w="60" w:type="dxa"/>
              <w:right w:w="100" w:type="dxa"/>
            </w:tcMar>
          </w:tcPr>
          <w:p>
            <w:pPr>
              <w:spacing w:before="60" w:after="60" w:line="276" w:lineRule="auto"/>
              <w:jc w:val="left"/>
            </w:pPr>
            <w:r>
              <w:rPr>
                <w:rFonts w:ascii="Times New Roman" w:hAnsi="Times New Roman"/>
                <w:b w:val="0"/>
                <w:i w:val="0"/>
                <w:color w:val="262626"/>
                <w:sz w:val="22"/>
              </w:rPr>
              <w:t>Chủ đầu tư, Cơ quan thẩm định, Tư vấn lập F/S</w:t>
            </w:r>
          </w:p>
        </w:tc>
        <w:tc>
          <w:tcPr>
            <w:tcW w:type="dxa" w:w="2268"/>
            <w:tcMar>
              <w:top w:w="60" w:type="dxa"/>
              <w:left w:w="100" w:type="dxa"/>
              <w:bottom w:w="60" w:type="dxa"/>
              <w:right w:w="100" w:type="dxa"/>
            </w:tcMar>
          </w:tcPr>
          <w:p>
            <w:pPr>
              <w:spacing w:before="60" w:after="60" w:line="276" w:lineRule="auto"/>
              <w:jc w:val="left"/>
            </w:pPr>
            <w:r>
              <w:rPr>
                <w:rFonts w:ascii="Times New Roman" w:hAnsi="Times New Roman"/>
                <w:b w:val="0"/>
                <w:i w:val="0"/>
                <w:color w:val="262626"/>
                <w:sz w:val="22"/>
              </w:rPr>
              <w:t>Ban QLDA, TVGS, Nhà thầu thi công, Nhà cung ứng</w:t>
            </w:r>
          </w:p>
        </w:tc>
        <w:tc>
          <w:tcPr>
            <w:tcW w:type="dxa" w:w="2268"/>
            <w:tcMar>
              <w:top w:w="60" w:type="dxa"/>
              <w:left w:w="100" w:type="dxa"/>
              <w:bottom w:w="60" w:type="dxa"/>
              <w:right w:w="100" w:type="dxa"/>
            </w:tcMar>
          </w:tcPr>
          <w:p>
            <w:pPr>
              <w:spacing w:before="60" w:after="60" w:line="276" w:lineRule="auto"/>
              <w:jc w:val="left"/>
            </w:pPr>
            <w:r>
              <w:rPr>
                <w:rFonts w:ascii="Times New Roman" w:hAnsi="Times New Roman"/>
                <w:b w:val="0"/>
                <w:i w:val="0"/>
                <w:color w:val="262626"/>
                <w:sz w:val="22"/>
              </w:rPr>
              <w:t>Hội đồng nghiệm thu nhà nước, Kiểm toán, Đơn vị vận hành</w:t>
            </w:r>
          </w:p>
        </w:tc>
      </w:tr>
      <w:tr>
        <w:tc>
          <w:tcPr>
            <w:tcW w:type="dxa" w:w="2268"/>
            <w:shd w:val="clear" w:color="auto" w:fill="F9FBFC"/>
            <w:tcMar>
              <w:top w:w="60" w:type="dxa"/>
              <w:left w:w="100" w:type="dxa"/>
              <w:bottom w:w="60" w:type="dxa"/>
              <w:right w:w="100" w:type="dxa"/>
            </w:tcMar>
          </w:tcPr>
          <w:p>
            <w:pPr>
              <w:spacing w:before="60" w:after="60" w:line="276" w:lineRule="auto"/>
              <w:jc w:val="left"/>
            </w:pPr>
            <w:r>
              <w:rPr>
                <w:rFonts w:ascii="Times New Roman" w:hAnsi="Times New Roman"/>
                <w:b/>
                <w:i w:val="0"/>
                <w:color w:val="262626"/>
                <w:sz w:val="22"/>
              </w:rPr>
              <w:t>Tỷ trọng giải ngân vốn</w:t>
            </w:r>
          </w:p>
        </w:tc>
        <w:tc>
          <w:tcPr>
            <w:tcW w:type="dxa" w:w="2268"/>
            <w:shd w:val="clear" w:color="auto" w:fill="F9FBFC"/>
            <w:tcMar>
              <w:top w:w="60" w:type="dxa"/>
              <w:left w:w="100" w:type="dxa"/>
              <w:bottom w:w="60" w:type="dxa"/>
              <w:right w:w="100" w:type="dxa"/>
            </w:tcMar>
          </w:tcPr>
          <w:p>
            <w:pPr>
              <w:spacing w:before="60" w:after="60" w:line="276" w:lineRule="auto"/>
              <w:jc w:val="left"/>
            </w:pPr>
            <w:r>
              <w:rPr>
                <w:rFonts w:ascii="Times New Roman" w:hAnsi="Times New Roman"/>
                <w:b w:val="0"/>
                <w:i w:val="0"/>
                <w:color w:val="262626"/>
                <w:sz w:val="22"/>
              </w:rPr>
              <w:t>Khoảng 3 - 7% TMĐT</w:t>
            </w:r>
          </w:p>
        </w:tc>
        <w:tc>
          <w:tcPr>
            <w:tcW w:type="dxa" w:w="2268"/>
            <w:shd w:val="clear" w:color="auto" w:fill="F9FBFC"/>
            <w:tcMar>
              <w:top w:w="60" w:type="dxa"/>
              <w:left w:w="100" w:type="dxa"/>
              <w:bottom w:w="60" w:type="dxa"/>
              <w:right w:w="100" w:type="dxa"/>
            </w:tcMar>
          </w:tcPr>
          <w:p>
            <w:pPr>
              <w:spacing w:before="60" w:after="60" w:line="276" w:lineRule="auto"/>
              <w:jc w:val="left"/>
            </w:pPr>
            <w:r>
              <w:rPr>
                <w:rFonts w:ascii="Times New Roman" w:hAnsi="Times New Roman"/>
                <w:b w:val="0"/>
                <w:i w:val="0"/>
                <w:color w:val="262626"/>
                <w:sz w:val="22"/>
              </w:rPr>
              <w:t>Khoảng 80 - 85% TMĐT</w:t>
            </w:r>
          </w:p>
        </w:tc>
        <w:tc>
          <w:tcPr>
            <w:tcW w:type="dxa" w:w="2268"/>
            <w:shd w:val="clear" w:color="auto" w:fill="F9FBFC"/>
            <w:tcMar>
              <w:top w:w="60" w:type="dxa"/>
              <w:left w:w="100" w:type="dxa"/>
              <w:bottom w:w="60" w:type="dxa"/>
              <w:right w:w="100" w:type="dxa"/>
            </w:tcMar>
          </w:tcPr>
          <w:p>
            <w:pPr>
              <w:spacing w:before="60" w:after="60" w:line="276" w:lineRule="auto"/>
              <w:jc w:val="left"/>
            </w:pPr>
            <w:r>
              <w:rPr>
                <w:rFonts w:ascii="Times New Roman" w:hAnsi="Times New Roman"/>
                <w:b w:val="0"/>
                <w:i w:val="0"/>
                <w:color w:val="262626"/>
                <w:sz w:val="22"/>
              </w:rPr>
              <w:t>Khoảng 10 - 15% TMĐT (thanh toán nốt và giữ lại bảo hành)</w:t>
            </w:r>
          </w:p>
        </w:tc>
      </w:tr>
    </w:tbl>
    <w:p>
      <w:pPr>
        <w:spacing w:before="0" w:after="120"/>
      </w:pPr>
    </w:p>
    <w:p>
      <w:pPr>
        <w:spacing w:before="80" w:after="160"/>
        <w:jc w:val="center"/>
      </w:pPr>
      <w:r>
        <w:rPr>
          <w:color w:val="B0C4DE"/>
        </w:rPr>
        <w:t>―――――――――――――――――――――――――――――――――――</w:t>
      </w:r>
    </w:p>
    <w:p>
      <w:r>
        <w:br w:type="page"/>
      </w:r>
    </w:p>
    <w:p>
      <w:pPr>
        <w:keepNext/>
        <w:spacing w:before="280" w:after="200"/>
        <w:jc w:val="center"/>
      </w:pPr>
      <w:r>
        <w:rPr>
          <w:rFonts w:ascii="Times New Roman" w:hAnsi="Times New Roman"/>
          <w:b/>
          <w:color w:val="002060"/>
          <w:sz w:val="32"/>
        </w:rPr>
        <w:t>CÂU 3: ĐÁNH GIÁ VAI TRÒ PHỐI HỢP GIỮA CÁC BÊN THAM GIA DỰ ÁN ĐẦU TƯ XÂY DỰNG CÔNG TRÌNH</w:t>
      </w:r>
    </w:p>
    <w:p>
      <w:pPr>
        <w:keepNext/>
        <w:spacing w:before="240" w:after="120"/>
      </w:pPr>
      <w:r>
        <w:rPr>
          <w:rFonts w:ascii="Times New Roman" w:hAnsi="Times New Roman"/>
          <w:b/>
          <w:color w:val="002060"/>
          <w:sz w:val="28"/>
        </w:rPr>
        <w:t>1. Bổ sung ngữ cảnh hệ sinh thái các bên tham gia dự án xây dựng</w:t>
      </w:r>
    </w:p>
    <w:p>
      <w:pPr>
        <w:spacing w:before="20" w:after="60" w:line="324" w:lineRule="auto"/>
        <w:ind w:left="360"/>
      </w:pPr>
      <w:r>
        <w:rPr>
          <w:rFonts w:ascii="Times New Roman" w:hAnsi="Times New Roman"/>
          <w:b/>
          <w:color w:val="002060"/>
          <w:sz w:val="22"/>
        </w:rPr>
        <w:t xml:space="preserve">•  </w:t>
      </w:r>
      <w:r>
        <w:rPr>
          <w:rFonts w:ascii="Times New Roman" w:hAnsi="Times New Roman"/>
          <w:b w:val="0"/>
          <w:i w:val="0"/>
          <w:color w:val="262626"/>
          <w:sz w:val="25"/>
        </w:rPr>
        <w:t>Một dự án đầu tư xây dựng công trình, đặc biệt là công trình hạ tầng giao thông quy mô lớn, là nơi hội tụ của một mạng lưới đa chủ thể với các mục tiêu, động cơ và quyền lợi kinh tế khác nhau:</w:t>
      </w:r>
    </w:p>
    <w:p>
      <w:pPr>
        <w:spacing w:before="40" w:after="80" w:line="324" w:lineRule="auto"/>
        <w:ind w:left="360"/>
      </w:pPr>
      <w:r>
        <w:rPr>
          <w:rFonts w:ascii="Times New Roman" w:hAnsi="Times New Roman"/>
          <w:b/>
          <w:color w:val="002060"/>
          <w:sz w:val="25"/>
        </w:rPr>
        <w:t xml:space="preserve">1. </w:t>
      </w:r>
      <w:r>
        <w:rPr>
          <w:rFonts w:ascii="Times New Roman" w:hAnsi="Times New Roman"/>
          <w:b/>
          <w:i w:val="0"/>
          <w:color w:val="262626"/>
          <w:sz w:val="25"/>
        </w:rPr>
        <w:t>Chủ đầu tư (Client / Employer):</w:t>
      </w:r>
      <w:r>
        <w:rPr>
          <w:rFonts w:ascii="Times New Roman" w:hAnsi="Times New Roman"/>
          <w:b w:val="0"/>
          <w:i w:val="0"/>
          <w:color w:val="262626"/>
          <w:sz w:val="25"/>
        </w:rPr>
        <w:t xml:space="preserve"> Người sở hữu vốn hoặc đại diện chủ sở hữu vốn, quyết định phê duyệt dự án, mục tiêu tối thượng là hiệu quả đầu tư và tiến độ công trình.</w:t>
      </w:r>
    </w:p>
    <w:p>
      <w:pPr>
        <w:spacing w:before="40" w:after="80" w:line="324" w:lineRule="auto"/>
        <w:ind w:left="360"/>
      </w:pPr>
      <w:r>
        <w:rPr>
          <w:rFonts w:ascii="Times New Roman" w:hAnsi="Times New Roman"/>
          <w:b/>
          <w:color w:val="002060"/>
          <w:sz w:val="25"/>
        </w:rPr>
        <w:t xml:space="preserve">2. </w:t>
      </w:r>
      <w:r>
        <w:rPr>
          <w:rFonts w:ascii="Times New Roman" w:hAnsi="Times New Roman"/>
          <w:b/>
          <w:i w:val="0"/>
          <w:color w:val="262626"/>
          <w:sz w:val="25"/>
        </w:rPr>
        <w:t>Ban Quản lý dự án (Project Management Unit - PMU):</w:t>
      </w:r>
      <w:r>
        <w:rPr>
          <w:rFonts w:ascii="Times New Roman" w:hAnsi="Times New Roman"/>
          <w:b w:val="0"/>
          <w:i w:val="0"/>
          <w:color w:val="262626"/>
          <w:sz w:val="25"/>
        </w:rPr>
        <w:t xml:space="preserve"> Đơn vị được Chủ đầu tư ủy quyền hoặc giao nhiệm vụ trực tiếp điều hành dự án theo quy định tại Điều 63 Luật Xây dựng.</w:t>
      </w:r>
    </w:p>
    <w:p>
      <w:pPr>
        <w:spacing w:before="40" w:after="80" w:line="324" w:lineRule="auto"/>
        <w:ind w:left="360"/>
      </w:pPr>
      <w:r>
        <w:rPr>
          <w:rFonts w:ascii="Times New Roman" w:hAnsi="Times New Roman"/>
          <w:b/>
          <w:color w:val="002060"/>
          <w:sz w:val="25"/>
        </w:rPr>
        <w:t xml:space="preserve">3. </w:t>
      </w:r>
      <w:r>
        <w:rPr>
          <w:rFonts w:ascii="Times New Roman" w:hAnsi="Times New Roman"/>
          <w:b/>
          <w:i w:val="0"/>
          <w:color w:val="262626"/>
          <w:sz w:val="25"/>
        </w:rPr>
        <w:t>Tư vấn lập dự án / Tư vấn thiết kế (Designer):</w:t>
      </w:r>
      <w:r>
        <w:rPr>
          <w:rFonts w:ascii="Times New Roman" w:hAnsi="Times New Roman"/>
          <w:b w:val="0"/>
          <w:i w:val="0"/>
          <w:color w:val="262626"/>
          <w:sz w:val="25"/>
        </w:rPr>
        <w:t xml:space="preserve"> Chịu trách nhiệm về giải pháp kỹ thuật, độ an toàn kết cấu, tính thẩm mỹ và tính kinh tế của công trình.</w:t>
      </w:r>
    </w:p>
    <w:p>
      <w:pPr>
        <w:spacing w:before="40" w:after="80" w:line="324" w:lineRule="auto"/>
        <w:ind w:left="360"/>
      </w:pPr>
      <w:r>
        <w:rPr>
          <w:rFonts w:ascii="Times New Roman" w:hAnsi="Times New Roman"/>
          <w:b/>
          <w:color w:val="002060"/>
          <w:sz w:val="25"/>
        </w:rPr>
        <w:t xml:space="preserve">4. </w:t>
      </w:r>
      <w:r>
        <w:rPr>
          <w:rFonts w:ascii="Times New Roman" w:hAnsi="Times New Roman"/>
          <w:b/>
          <w:i w:val="0"/>
          <w:color w:val="262626"/>
          <w:sz w:val="25"/>
        </w:rPr>
        <w:t>Tư vấn giám sát (Supervising Consultant):</w:t>
      </w:r>
      <w:r>
        <w:rPr>
          <w:rFonts w:ascii="Times New Roman" w:hAnsi="Times New Roman"/>
          <w:b w:val="0"/>
          <w:i w:val="0"/>
          <w:color w:val="262626"/>
          <w:sz w:val="25"/>
        </w:rPr>
        <w:t xml:space="preserve"> Thay mặt Chủ đầu tư kiểm soát chất lượng, khối lượng, tiến độ và an toàn thi công theo hợp đồng.</w:t>
      </w:r>
    </w:p>
    <w:p>
      <w:pPr>
        <w:spacing w:before="40" w:after="80" w:line="324" w:lineRule="auto"/>
        <w:ind w:left="360"/>
      </w:pPr>
      <w:r>
        <w:rPr>
          <w:rFonts w:ascii="Times New Roman" w:hAnsi="Times New Roman"/>
          <w:b/>
          <w:color w:val="002060"/>
          <w:sz w:val="25"/>
        </w:rPr>
        <w:t xml:space="preserve">5. </w:t>
      </w:r>
      <w:r>
        <w:rPr>
          <w:rFonts w:ascii="Times New Roman" w:hAnsi="Times New Roman"/>
          <w:b/>
          <w:i w:val="0"/>
          <w:color w:val="262626"/>
          <w:sz w:val="25"/>
        </w:rPr>
        <w:t>Nhà thầu chính / Các nhà thầu phụ (Contractors / Subcontractors):</w:t>
      </w:r>
      <w:r>
        <w:rPr>
          <w:rFonts w:ascii="Times New Roman" w:hAnsi="Times New Roman"/>
          <w:b w:val="0"/>
          <w:i w:val="0"/>
          <w:color w:val="262626"/>
          <w:sz w:val="25"/>
        </w:rPr>
        <w:t xml:space="preserve"> Trực tiếp tổ chức thi công, huy động máy móc, nhân lực, mục tiêu tối đa hóa lợi nhuận trong khuôn khổ hợp đồng.</w:t>
      </w:r>
    </w:p>
    <w:p>
      <w:pPr>
        <w:spacing w:before="40" w:after="80" w:line="324" w:lineRule="auto"/>
        <w:ind w:left="360"/>
      </w:pPr>
      <w:r>
        <w:rPr>
          <w:rFonts w:ascii="Times New Roman" w:hAnsi="Times New Roman"/>
          <w:b/>
          <w:color w:val="002060"/>
          <w:sz w:val="25"/>
        </w:rPr>
        <w:t xml:space="preserve">6. </w:t>
      </w:r>
      <w:r>
        <w:rPr>
          <w:rFonts w:ascii="Times New Roman" w:hAnsi="Times New Roman"/>
          <w:b/>
          <w:i w:val="0"/>
          <w:color w:val="262626"/>
          <w:sz w:val="25"/>
        </w:rPr>
        <w:t>Nhà cung ứng vật liệu, thiết bị (Suppliers / Vendors):</w:t>
      </w:r>
      <w:r>
        <w:rPr>
          <w:rFonts w:ascii="Times New Roman" w:hAnsi="Times New Roman"/>
          <w:b w:val="0"/>
          <w:i w:val="0"/>
          <w:color w:val="262626"/>
          <w:sz w:val="25"/>
        </w:rPr>
        <w:t xml:space="preserve"> Cung cấp vật tư đầu vào đúng chủng loại, chất lượng và thời gian.</w:t>
      </w:r>
    </w:p>
    <w:p>
      <w:pPr>
        <w:spacing w:before="40" w:after="80" w:line="324" w:lineRule="auto"/>
        <w:ind w:left="360"/>
      </w:pPr>
      <w:r>
        <w:rPr>
          <w:rFonts w:ascii="Times New Roman" w:hAnsi="Times New Roman"/>
          <w:b/>
          <w:color w:val="002060"/>
          <w:sz w:val="25"/>
        </w:rPr>
        <w:t xml:space="preserve">7. </w:t>
      </w:r>
      <w:r>
        <w:rPr>
          <w:rFonts w:ascii="Times New Roman" w:hAnsi="Times New Roman"/>
          <w:b/>
          <w:i w:val="0"/>
          <w:color w:val="262626"/>
          <w:sz w:val="25"/>
        </w:rPr>
        <w:t>Cơ quan quản lý nhà nước &amp; Chính quyền địa phương:</w:t>
      </w:r>
      <w:r>
        <w:rPr>
          <w:rFonts w:ascii="Times New Roman" w:hAnsi="Times New Roman"/>
          <w:b w:val="0"/>
          <w:i w:val="0"/>
          <w:color w:val="262626"/>
          <w:sz w:val="25"/>
        </w:rPr>
        <w:t xml:space="preserve"> Bộ/Sở Xây dựng, GTVT (thẩm định thiết kế, kiểm tra nghiệm thu), UBND các cấp (chịu trách nhiệm chính về đền bù, GPMB).</w:t>
      </w:r>
    </w:p>
    <w:p>
      <w:pPr>
        <w:spacing w:before="40" w:after="80" w:line="324" w:lineRule="auto"/>
        <w:ind w:left="360"/>
      </w:pPr>
      <w:r>
        <w:rPr>
          <w:rFonts w:ascii="Times New Roman" w:hAnsi="Times New Roman"/>
          <w:b/>
          <w:color w:val="002060"/>
          <w:sz w:val="25"/>
        </w:rPr>
        <w:t xml:space="preserve">8. </w:t>
      </w:r>
      <w:r>
        <w:rPr>
          <w:rFonts w:ascii="Times New Roman" w:hAnsi="Times New Roman"/>
          <w:b/>
          <w:i w:val="0"/>
          <w:color w:val="262626"/>
          <w:sz w:val="25"/>
        </w:rPr>
        <w:t>Cộng đồng dân cư và tổ chức tín dụng/tài trợ vốn.</w:t>
      </w:r>
    </w:p>
    <w:p>
      <w:pPr>
        <w:spacing w:before="80" w:after="160"/>
        <w:jc w:val="center"/>
      </w:pPr>
      <w:r>
        <w:rPr>
          <w:color w:val="B0C4DE"/>
        </w:rPr>
        <w:t>―――――――――――――――――――――――――――――――――――</w:t>
      </w:r>
    </w:p>
    <w:p>
      <w:pPr>
        <w:keepNext/>
        <w:spacing w:before="240" w:after="120"/>
      </w:pPr>
      <w:r>
        <w:rPr>
          <w:rFonts w:ascii="Times New Roman" w:hAnsi="Times New Roman"/>
          <w:b/>
          <w:color w:val="002060"/>
          <w:sz w:val="28"/>
        </w:rPr>
        <w:t>2. Đánh giá vai trò phối hợp giữa các chủ thể trọng yếu</w:t>
      </w:r>
    </w:p>
    <w:p>
      <w:pPr>
        <w:keepNext/>
        <w:spacing w:before="160" w:after="80"/>
      </w:pPr>
      <w:r>
        <w:rPr>
          <w:rFonts w:ascii="Times New Roman" w:hAnsi="Times New Roman"/>
          <w:b/>
          <w:color w:val="1F4E79"/>
          <w:sz w:val="26"/>
        </w:rPr>
        <w:t>2.1. Phối hợp giữa Chủ đầu tư / Ban QLDA và Tư vấn thiết kế</w:t>
      </w:r>
    </w:p>
    <w:p>
      <w:pPr>
        <w:spacing w:before="20" w:after="60" w:line="324" w:lineRule="auto"/>
        <w:ind w:left="360"/>
      </w:pPr>
      <w:r>
        <w:rPr>
          <w:rFonts w:ascii="Times New Roman" w:hAnsi="Times New Roman"/>
          <w:b/>
          <w:color w:val="002060"/>
          <w:sz w:val="22"/>
        </w:rPr>
        <w:t xml:space="preserve">•  </w:t>
      </w:r>
      <w:r>
        <w:rPr>
          <w:rFonts w:ascii="Times New Roman" w:hAnsi="Times New Roman"/>
          <w:b/>
          <w:i w:val="0"/>
          <w:color w:val="262626"/>
          <w:sz w:val="25"/>
        </w:rPr>
        <w:t>Bản chất mối quan hệ:</w:t>
      </w:r>
      <w:r>
        <w:rPr>
          <w:rFonts w:ascii="Times New Roman" w:hAnsi="Times New Roman"/>
          <w:b w:val="0"/>
          <w:i w:val="0"/>
          <w:color w:val="262626"/>
          <w:sz w:val="25"/>
        </w:rPr>
        <w:t xml:space="preserve"> Thiết lập đầu bài - Hiện thực hóa ý tưởng.</w:t>
      </w:r>
    </w:p>
    <w:p>
      <w:pPr>
        <w:spacing w:before="20" w:after="60" w:line="324" w:lineRule="auto"/>
        <w:ind w:left="360"/>
      </w:pPr>
      <w:r>
        <w:rPr>
          <w:rFonts w:ascii="Times New Roman" w:hAnsi="Times New Roman"/>
          <w:b/>
          <w:color w:val="002060"/>
          <w:sz w:val="22"/>
        </w:rPr>
        <w:t xml:space="preserve">•  </w:t>
      </w:r>
      <w:r>
        <w:rPr>
          <w:rFonts w:ascii="Times New Roman" w:hAnsi="Times New Roman"/>
          <w:b/>
          <w:i w:val="0"/>
          <w:color w:val="262626"/>
          <w:sz w:val="25"/>
        </w:rPr>
        <w:t>Rủi ro khi thiếu phối hợp:</w:t>
      </w:r>
    </w:p>
    <w:p>
      <w:pPr>
        <w:spacing w:before="20" w:after="60" w:line="324" w:lineRule="auto"/>
        <w:ind w:left="360"/>
      </w:pPr>
      <w:r>
        <w:rPr>
          <w:rFonts w:ascii="Times New Roman" w:hAnsi="Times New Roman"/>
          <w:b/>
          <w:color w:val="002060"/>
          <w:sz w:val="22"/>
        </w:rPr>
        <w:t xml:space="preserve">•  </w:t>
      </w:r>
      <w:r>
        <w:rPr>
          <w:rFonts w:ascii="Times New Roman" w:hAnsi="Times New Roman"/>
          <w:b w:val="0"/>
          <w:i w:val="0"/>
          <w:color w:val="262626"/>
          <w:sz w:val="25"/>
        </w:rPr>
        <w:t>Chủ đầu tư đưa ra nhiệm vụ thiết kế mơ hồ dẫn đến hồ sơ thiết kế phải chỉnh sửa nhiều lần.</w:t>
      </w:r>
    </w:p>
    <w:p>
      <w:pPr>
        <w:spacing w:before="20" w:after="60" w:line="324" w:lineRule="auto"/>
        <w:ind w:left="360"/>
      </w:pPr>
      <w:r>
        <w:rPr>
          <w:rFonts w:ascii="Times New Roman" w:hAnsi="Times New Roman"/>
          <w:b/>
          <w:color w:val="002060"/>
          <w:sz w:val="22"/>
        </w:rPr>
        <w:t xml:space="preserve">•  </w:t>
      </w:r>
      <w:r>
        <w:rPr>
          <w:rFonts w:ascii="Times New Roman" w:hAnsi="Times New Roman"/>
          <w:b w:val="0"/>
          <w:i w:val="0"/>
          <w:color w:val="262626"/>
          <w:sz w:val="25"/>
        </w:rPr>
        <w:t>Tư vấn thiết kế chọn giải pháp công nghệ không phù hợp với năng lực thi công trong nước hoặc giá thành quá cao làm vượt tổng mức đầu tư.</w:t>
      </w:r>
    </w:p>
    <w:p>
      <w:pPr>
        <w:spacing w:before="20" w:after="60" w:line="324" w:lineRule="auto"/>
        <w:ind w:left="360"/>
      </w:pPr>
      <w:r>
        <w:rPr>
          <w:rFonts w:ascii="Times New Roman" w:hAnsi="Times New Roman"/>
          <w:b/>
          <w:color w:val="002060"/>
          <w:sz w:val="22"/>
        </w:rPr>
        <w:t xml:space="preserve">•  </w:t>
      </w:r>
      <w:r>
        <w:rPr>
          <w:rFonts w:ascii="Times New Roman" w:hAnsi="Times New Roman"/>
          <w:b w:val="0"/>
          <w:i w:val="0"/>
          <w:color w:val="262626"/>
          <w:sz w:val="25"/>
        </w:rPr>
        <w:t>Sự chậm trễ trong việc nghiệm thu hồ sơ thiết kế cơ sở, TKBVTC làm chậm toàn bộ tiến độ đấu thầu.</w:t>
      </w:r>
    </w:p>
    <w:p>
      <w:pPr>
        <w:keepNext/>
        <w:spacing w:before="160" w:after="80"/>
      </w:pPr>
      <w:r>
        <w:rPr>
          <w:rFonts w:ascii="Times New Roman" w:hAnsi="Times New Roman"/>
          <w:b/>
          <w:color w:val="1F4E79"/>
          <w:sz w:val="26"/>
        </w:rPr>
        <w:t>2.2. Phối hợp giữa Tư vấn thiết kế và Nhà thầu thi công (Interface Design - Construction)</w:t>
      </w:r>
    </w:p>
    <w:p>
      <w:pPr>
        <w:spacing w:before="20" w:after="60" w:line="324" w:lineRule="auto"/>
        <w:ind w:left="360"/>
      </w:pPr>
      <w:r>
        <w:rPr>
          <w:rFonts w:ascii="Times New Roman" w:hAnsi="Times New Roman"/>
          <w:b/>
          <w:color w:val="002060"/>
          <w:sz w:val="22"/>
        </w:rPr>
        <w:t xml:space="preserve">•  </w:t>
      </w:r>
      <w:r>
        <w:rPr>
          <w:rFonts w:ascii="Times New Roman" w:hAnsi="Times New Roman"/>
          <w:b/>
          <w:i w:val="0"/>
          <w:color w:val="262626"/>
          <w:sz w:val="25"/>
        </w:rPr>
        <w:t>Bản chất mối quan hệ:</w:t>
      </w:r>
      <w:r>
        <w:rPr>
          <w:rFonts w:ascii="Times New Roman" w:hAnsi="Times New Roman"/>
          <w:b w:val="0"/>
          <w:i w:val="0"/>
          <w:color w:val="262626"/>
          <w:sz w:val="25"/>
        </w:rPr>
        <w:t xml:space="preserve"> Bản vẽ - Hiện trường thực tế.</w:t>
      </w:r>
    </w:p>
    <w:p>
      <w:pPr>
        <w:spacing w:before="20" w:after="60" w:line="324" w:lineRule="auto"/>
        <w:ind w:left="360"/>
      </w:pPr>
      <w:r>
        <w:rPr>
          <w:rFonts w:ascii="Times New Roman" w:hAnsi="Times New Roman"/>
          <w:b/>
          <w:color w:val="002060"/>
          <w:sz w:val="22"/>
        </w:rPr>
        <w:t xml:space="preserve">•  </w:t>
      </w:r>
      <w:r>
        <w:rPr>
          <w:rFonts w:ascii="Times New Roman" w:hAnsi="Times New Roman"/>
          <w:b/>
          <w:i w:val="0"/>
          <w:color w:val="262626"/>
          <w:sz w:val="25"/>
        </w:rPr>
        <w:t>Đánh giá vai trò:</w:t>
      </w:r>
      <w:r>
        <w:rPr>
          <w:rFonts w:ascii="Times New Roman" w:hAnsi="Times New Roman"/>
          <w:b w:val="0"/>
          <w:i w:val="0"/>
          <w:color w:val="262626"/>
          <w:sz w:val="25"/>
        </w:rPr>
        <w:t xml:space="preserve"> Đây là mối quan hệ dễ phát sinh mâu thuẫn nhất. Tư vấn thiết kế phải cử giám sát tác giả thường trực để:</w:t>
      </w:r>
    </w:p>
    <w:p>
      <w:pPr>
        <w:spacing w:before="20" w:after="60" w:line="324" w:lineRule="auto"/>
        <w:ind w:left="360"/>
      </w:pPr>
      <w:r>
        <w:rPr>
          <w:rFonts w:ascii="Times New Roman" w:hAnsi="Times New Roman"/>
          <w:b/>
          <w:color w:val="002060"/>
          <w:sz w:val="22"/>
        </w:rPr>
        <w:t xml:space="preserve">•  </w:t>
      </w:r>
      <w:r>
        <w:rPr>
          <w:rFonts w:ascii="Times New Roman" w:hAnsi="Times New Roman"/>
          <w:b w:val="0"/>
          <w:i w:val="0"/>
          <w:color w:val="262626"/>
          <w:sz w:val="25"/>
        </w:rPr>
        <w:t>Làm rõ các chi tiết bản vẽ, giải thích chỉ dẫn kỹ thuật.</w:t>
      </w:r>
    </w:p>
    <w:p>
      <w:pPr>
        <w:spacing w:before="20" w:after="60" w:line="324" w:lineRule="auto"/>
        <w:ind w:left="360"/>
      </w:pPr>
      <w:r>
        <w:rPr>
          <w:rFonts w:ascii="Times New Roman" w:hAnsi="Times New Roman"/>
          <w:b/>
          <w:color w:val="002060"/>
          <w:sz w:val="22"/>
        </w:rPr>
        <w:t xml:space="preserve">•  </w:t>
      </w:r>
      <w:r>
        <w:rPr>
          <w:rFonts w:ascii="Times New Roman" w:hAnsi="Times New Roman"/>
          <w:b w:val="0"/>
          <w:i w:val="0"/>
          <w:color w:val="262626"/>
          <w:sz w:val="25"/>
        </w:rPr>
        <w:t>Xử lý ngay lập tức các yêu cầu cung cấp thông tin (Request For Information - RFI) của nhà thầu khi phát hiện sai lệch địa chất hoặc xung đột hệ thống hạ tầng ngầm.</w:t>
      </w:r>
    </w:p>
    <w:p>
      <w:pPr>
        <w:spacing w:before="20" w:after="60" w:line="324" w:lineRule="auto"/>
        <w:ind w:left="360"/>
      </w:pPr>
      <w:r>
        <w:rPr>
          <w:rFonts w:ascii="Times New Roman" w:hAnsi="Times New Roman"/>
          <w:b/>
          <w:color w:val="002060"/>
          <w:sz w:val="22"/>
        </w:rPr>
        <w:t xml:space="preserve">•  </w:t>
      </w:r>
      <w:r>
        <w:rPr>
          <w:rFonts w:ascii="Times New Roman" w:hAnsi="Times New Roman"/>
          <w:b w:val="0"/>
          <w:i w:val="0"/>
          <w:color w:val="262626"/>
          <w:sz w:val="25"/>
        </w:rPr>
        <w:t>Nếu hai bên đối đầu: Nhà thầu đổ lỗi thiết kế sai để đòi bồi thường tiến độ; Thiết kế đổ lỗi nhà thầu thi công kém để trốn tránh trách nhiệm.</w:t>
      </w:r>
    </w:p>
    <w:p>
      <w:pPr>
        <w:keepNext/>
        <w:spacing w:before="160" w:after="80"/>
      </w:pPr>
      <w:r>
        <w:rPr>
          <w:rFonts w:ascii="Times New Roman" w:hAnsi="Times New Roman"/>
          <w:b/>
          <w:color w:val="1F4E79"/>
          <w:sz w:val="26"/>
        </w:rPr>
        <w:t>2.3. Phối hợp giữa Tư vấn giám sát (TVGS) và Nhà thầu thi công</w:t>
      </w:r>
    </w:p>
    <w:p>
      <w:pPr>
        <w:spacing w:before="20" w:after="60" w:line="324" w:lineRule="auto"/>
        <w:ind w:left="360"/>
      </w:pPr>
      <w:r>
        <w:rPr>
          <w:rFonts w:ascii="Times New Roman" w:hAnsi="Times New Roman"/>
          <w:b/>
          <w:color w:val="002060"/>
          <w:sz w:val="22"/>
        </w:rPr>
        <w:t xml:space="preserve">•  </w:t>
      </w:r>
      <w:r>
        <w:rPr>
          <w:rFonts w:ascii="Times New Roman" w:hAnsi="Times New Roman"/>
          <w:b/>
          <w:i w:val="0"/>
          <w:color w:val="262626"/>
          <w:sz w:val="25"/>
        </w:rPr>
        <w:t>Bản chất mối quan hệ:</w:t>
      </w:r>
      <w:r>
        <w:rPr>
          <w:rFonts w:ascii="Times New Roman" w:hAnsi="Times New Roman"/>
          <w:b w:val="0"/>
          <w:i w:val="0"/>
          <w:color w:val="262626"/>
          <w:sz w:val="25"/>
        </w:rPr>
        <w:t xml:space="preserve"> Kiểm tra, kiểm soát và đồng hành hợp tác.</w:t>
      </w:r>
    </w:p>
    <w:p>
      <w:pPr>
        <w:spacing w:before="20" w:after="60" w:line="324" w:lineRule="auto"/>
        <w:ind w:left="360"/>
      </w:pPr>
      <w:r>
        <w:rPr>
          <w:rFonts w:ascii="Times New Roman" w:hAnsi="Times New Roman"/>
          <w:b/>
          <w:color w:val="002060"/>
          <w:sz w:val="22"/>
        </w:rPr>
        <w:t xml:space="preserve">•  </w:t>
      </w:r>
      <w:r>
        <w:rPr>
          <w:rFonts w:ascii="Times New Roman" w:hAnsi="Times New Roman"/>
          <w:b/>
          <w:i w:val="0"/>
          <w:color w:val="262626"/>
          <w:sz w:val="25"/>
        </w:rPr>
        <w:t>Đánh giá vai trò:</w:t>
      </w:r>
    </w:p>
    <w:p>
      <w:pPr>
        <w:spacing w:before="20" w:after="60" w:line="324" w:lineRule="auto"/>
        <w:ind w:left="360"/>
      </w:pPr>
      <w:r>
        <w:rPr>
          <w:rFonts w:ascii="Times New Roman" w:hAnsi="Times New Roman"/>
          <w:b/>
          <w:color w:val="002060"/>
          <w:sz w:val="22"/>
        </w:rPr>
        <w:t xml:space="preserve">•  </w:t>
      </w:r>
      <w:r>
        <w:rPr>
          <w:rFonts w:ascii="Times New Roman" w:hAnsi="Times New Roman"/>
          <w:b w:val="0"/>
          <w:i w:val="0"/>
          <w:color w:val="262626"/>
          <w:sz w:val="25"/>
        </w:rPr>
        <w:t>TVGS không phải là "người cản trở" mà là mắt xích bảo đảm chất lượng. Phối hợp nghiệm thu kịp thời các công việc ẩn giấu (cốt thép móng, cọc khoan nhồi, lớp móng đường) để nhà thầu chuyển bước thi công, tránh tình trạng máy móc phải dừng chờ kiểm tra (idle time).</w:t>
      </w:r>
    </w:p>
    <w:p>
      <w:pPr>
        <w:spacing w:before="20" w:after="60" w:line="324" w:lineRule="auto"/>
        <w:ind w:left="360"/>
      </w:pPr>
      <w:r>
        <w:rPr>
          <w:rFonts w:ascii="Times New Roman" w:hAnsi="Times New Roman"/>
          <w:b/>
          <w:color w:val="002060"/>
          <w:sz w:val="22"/>
        </w:rPr>
        <w:t xml:space="preserve">•  </w:t>
      </w:r>
      <w:r>
        <w:rPr>
          <w:rFonts w:ascii="Times New Roman" w:hAnsi="Times New Roman"/>
          <w:b w:val="0"/>
          <w:i w:val="0"/>
          <w:color w:val="262626"/>
          <w:sz w:val="25"/>
        </w:rPr>
        <w:t>TVGS hướng dẫn nhà thầu hoàn thiện hồ sơ nghiệm thu, nhật ký thi công hàng ngày theo đúng quy định của NĐ 06/2021/NĐ-CP.</w:t>
      </w:r>
    </w:p>
    <w:p>
      <w:pPr>
        <w:keepNext/>
        <w:spacing w:before="160" w:after="80"/>
      </w:pPr>
      <w:r>
        <w:rPr>
          <w:rFonts w:ascii="Times New Roman" w:hAnsi="Times New Roman"/>
          <w:b/>
          <w:color w:val="1F4E79"/>
          <w:sz w:val="26"/>
        </w:rPr>
        <w:t>2.4. Phối hợp giữa Ban QLDA và Chính quyền địa phương (GPMB)</w:t>
      </w:r>
    </w:p>
    <w:p>
      <w:pPr>
        <w:spacing w:before="20" w:after="60" w:line="324" w:lineRule="auto"/>
        <w:ind w:left="360"/>
      </w:pPr>
      <w:r>
        <w:rPr>
          <w:rFonts w:ascii="Times New Roman" w:hAnsi="Times New Roman"/>
          <w:b/>
          <w:color w:val="002060"/>
          <w:sz w:val="22"/>
        </w:rPr>
        <w:t xml:space="preserve">•  </w:t>
      </w:r>
      <w:r>
        <w:rPr>
          <w:rFonts w:ascii="Times New Roman" w:hAnsi="Times New Roman"/>
          <w:b/>
          <w:i w:val="0"/>
          <w:color w:val="262626"/>
          <w:sz w:val="25"/>
        </w:rPr>
        <w:t>Đánh giá vai trò:</w:t>
      </w:r>
      <w:r>
        <w:rPr>
          <w:rFonts w:ascii="Times New Roman" w:hAnsi="Times New Roman"/>
          <w:b w:val="0"/>
          <w:i w:val="0"/>
          <w:color w:val="262626"/>
          <w:sz w:val="25"/>
        </w:rPr>
        <w:t xml:space="preserve"> Mặt bằng thi công là điều kiện tiên quyết. Nếu Ban QLDA không phối hợp nhịp nhàng với Hội đồng bồi thường GPMB địa phương để giải quyết khiếu kiện đất đai, tái định cư và di dời hạ tầng kỹ thuật (đường điện cao thế, cáp viễn thông, đường ống nước), công trường sẽ rơi vào cảnh "thi công xôi đỗ", nhà thầu nhận mặt bằng manh mún, không thể mở rộng tuyến thi công dây chuyền.</w:t>
      </w:r>
    </w:p>
    <w:p>
      <w:pPr>
        <w:spacing w:before="80" w:after="160"/>
        <w:jc w:val="center"/>
      </w:pPr>
      <w:r>
        <w:rPr>
          <w:color w:val="B0C4DE"/>
        </w:rPr>
        <w:t>―――――――――――――――――――――――――――――――――――</w:t>
      </w:r>
    </w:p>
    <w:p>
      <w:pPr>
        <w:keepNext/>
        <w:spacing w:before="240" w:after="120"/>
      </w:pPr>
      <w:r>
        <w:rPr>
          <w:rFonts w:ascii="Times New Roman" w:hAnsi="Times New Roman"/>
          <w:b/>
          <w:color w:val="002060"/>
          <w:sz w:val="28"/>
        </w:rPr>
        <w:t>3. Ma trận phân định trách nhiệm RACI giữa các bên tham gia dự án</w:t>
      </w:r>
    </w:p>
    <w:tbl>
      <w:tblPr>
        <w:tblW w:type="auto" w:w="0"/>
        <w:jc w:val="center"/>
        <w:tblBorders>
          <w:top w:val="single" w:sz="6" w:space="0" w:color="B0C4DE"/>
          <w:left w:val="none"/>
          <w:bottom w:val="single" w:sz="8" w:space="0" w:color="002060"/>
          <w:right w:val="none"/>
          <w:insideH w:val="single" w:sz="4" w:space="0" w:color="B0C4DE"/>
          <w:insideV w:val="none"/>
        </w:tblBorders>
        <w:tblLayout w:type="fixed"/>
        <w:tblLook w:firstColumn="1" w:firstRow="1" w:lastColumn="0" w:lastRow="0" w:noHBand="0" w:noVBand="1" w:val="04A0"/>
      </w:tblPr>
      <w:tblGrid>
        <w:gridCol w:w="1296"/>
        <w:gridCol w:w="1296"/>
        <w:gridCol w:w="1296"/>
        <w:gridCol w:w="1296"/>
        <w:gridCol w:w="1296"/>
        <w:gridCol w:w="1296"/>
        <w:gridCol w:w="1296"/>
      </w:tblGrid>
      <w:tr>
        <w:tc>
          <w:tcPr>
            <w:tcW w:type="dxa" w:w="1296"/>
            <w:shd w:val="clear" w:color="auto" w:fill="EBF1F5"/>
            <w:tcMar>
              <w:top w:w="60" w:type="dxa"/>
              <w:left w:w="100" w:type="dxa"/>
              <w:bottom w:w="60" w:type="dxa"/>
              <w:right w:w="100" w:type="dxa"/>
            </w:tcMar>
          </w:tcPr>
          <w:p>
            <w:pPr>
              <w:spacing w:before="60" w:after="60" w:line="276" w:lineRule="auto"/>
              <w:jc w:val="center"/>
            </w:pPr>
            <w:r>
              <w:rPr>
                <w:rFonts w:ascii="Times New Roman" w:hAnsi="Times New Roman"/>
                <w:b/>
                <w:i w:val="0"/>
                <w:color w:val="002060"/>
                <w:sz w:val="22"/>
              </w:rPr>
              <w:t>Hạng mục công việc trọng yếu</w:t>
            </w:r>
          </w:p>
        </w:tc>
        <w:tc>
          <w:tcPr>
            <w:tcW w:type="dxa" w:w="1296"/>
            <w:shd w:val="clear" w:color="auto" w:fill="EBF1F5"/>
            <w:tcMar>
              <w:top w:w="60" w:type="dxa"/>
              <w:left w:w="100" w:type="dxa"/>
              <w:bottom w:w="60" w:type="dxa"/>
              <w:right w:w="100" w:type="dxa"/>
            </w:tcMar>
          </w:tcPr>
          <w:p>
            <w:pPr>
              <w:spacing w:before="60" w:after="60" w:line="276" w:lineRule="auto"/>
              <w:jc w:val="center"/>
            </w:pPr>
            <w:r>
              <w:rPr>
                <w:rFonts w:ascii="Times New Roman" w:hAnsi="Times New Roman"/>
                <w:b/>
                <w:i w:val="0"/>
                <w:color w:val="002060"/>
                <w:sz w:val="22"/>
              </w:rPr>
              <w:t>Chủ đầu tư</w:t>
            </w:r>
          </w:p>
        </w:tc>
        <w:tc>
          <w:tcPr>
            <w:tcW w:type="dxa" w:w="1296"/>
            <w:shd w:val="clear" w:color="auto" w:fill="EBF1F5"/>
            <w:tcMar>
              <w:top w:w="60" w:type="dxa"/>
              <w:left w:w="100" w:type="dxa"/>
              <w:bottom w:w="60" w:type="dxa"/>
              <w:right w:w="100" w:type="dxa"/>
            </w:tcMar>
          </w:tcPr>
          <w:p>
            <w:pPr>
              <w:spacing w:before="60" w:after="60" w:line="276" w:lineRule="auto"/>
              <w:jc w:val="center"/>
            </w:pPr>
            <w:r>
              <w:rPr>
                <w:rFonts w:ascii="Times New Roman" w:hAnsi="Times New Roman"/>
                <w:b/>
                <w:i w:val="0"/>
                <w:color w:val="002060"/>
                <w:sz w:val="22"/>
              </w:rPr>
              <w:t>Ban QLDA</w:t>
            </w:r>
          </w:p>
        </w:tc>
        <w:tc>
          <w:tcPr>
            <w:tcW w:type="dxa" w:w="1296"/>
            <w:shd w:val="clear" w:color="auto" w:fill="EBF1F5"/>
            <w:tcMar>
              <w:top w:w="60" w:type="dxa"/>
              <w:left w:w="100" w:type="dxa"/>
              <w:bottom w:w="60" w:type="dxa"/>
              <w:right w:w="100" w:type="dxa"/>
            </w:tcMar>
          </w:tcPr>
          <w:p>
            <w:pPr>
              <w:spacing w:before="60" w:after="60" w:line="276" w:lineRule="auto"/>
              <w:jc w:val="center"/>
            </w:pPr>
            <w:r>
              <w:rPr>
                <w:rFonts w:ascii="Times New Roman" w:hAnsi="Times New Roman"/>
                <w:b/>
                <w:i w:val="0"/>
                <w:color w:val="002060"/>
                <w:sz w:val="22"/>
              </w:rPr>
              <w:t>Tư vấn thiết kế</w:t>
            </w:r>
          </w:p>
        </w:tc>
        <w:tc>
          <w:tcPr>
            <w:tcW w:type="dxa" w:w="1296"/>
            <w:shd w:val="clear" w:color="auto" w:fill="EBF1F5"/>
            <w:tcMar>
              <w:top w:w="60" w:type="dxa"/>
              <w:left w:w="100" w:type="dxa"/>
              <w:bottom w:w="60" w:type="dxa"/>
              <w:right w:w="100" w:type="dxa"/>
            </w:tcMar>
          </w:tcPr>
          <w:p>
            <w:pPr>
              <w:spacing w:before="60" w:after="60" w:line="276" w:lineRule="auto"/>
              <w:jc w:val="center"/>
            </w:pPr>
            <w:r>
              <w:rPr>
                <w:rFonts w:ascii="Times New Roman" w:hAnsi="Times New Roman"/>
                <w:b/>
                <w:i w:val="0"/>
                <w:color w:val="002060"/>
                <w:sz w:val="22"/>
              </w:rPr>
              <w:t>Tư vấn giám sát</w:t>
            </w:r>
          </w:p>
        </w:tc>
        <w:tc>
          <w:tcPr>
            <w:tcW w:type="dxa" w:w="1296"/>
            <w:shd w:val="clear" w:color="auto" w:fill="EBF1F5"/>
            <w:tcMar>
              <w:top w:w="60" w:type="dxa"/>
              <w:left w:w="100" w:type="dxa"/>
              <w:bottom w:w="60" w:type="dxa"/>
              <w:right w:w="100" w:type="dxa"/>
            </w:tcMar>
          </w:tcPr>
          <w:p>
            <w:pPr>
              <w:spacing w:before="60" w:after="60" w:line="276" w:lineRule="auto"/>
              <w:jc w:val="center"/>
            </w:pPr>
            <w:r>
              <w:rPr>
                <w:rFonts w:ascii="Times New Roman" w:hAnsi="Times New Roman"/>
                <w:b/>
                <w:i w:val="0"/>
                <w:color w:val="002060"/>
                <w:sz w:val="22"/>
              </w:rPr>
              <w:t>Nhà thầu thi công</w:t>
            </w:r>
          </w:p>
        </w:tc>
        <w:tc>
          <w:tcPr>
            <w:tcW w:type="dxa" w:w="1296"/>
            <w:shd w:val="clear" w:color="auto" w:fill="EBF1F5"/>
            <w:tcMar>
              <w:top w:w="60" w:type="dxa"/>
              <w:left w:w="100" w:type="dxa"/>
              <w:bottom w:w="60" w:type="dxa"/>
              <w:right w:w="100" w:type="dxa"/>
            </w:tcMar>
          </w:tcPr>
          <w:p>
            <w:pPr>
              <w:spacing w:before="60" w:after="60" w:line="276" w:lineRule="auto"/>
              <w:jc w:val="center"/>
            </w:pPr>
            <w:r>
              <w:rPr>
                <w:rFonts w:ascii="Times New Roman" w:hAnsi="Times New Roman"/>
                <w:b/>
                <w:i w:val="0"/>
                <w:color w:val="002060"/>
                <w:sz w:val="22"/>
              </w:rPr>
              <w:t>Chính quyền địa phương</w:t>
            </w:r>
          </w:p>
        </w:tc>
      </w:tr>
      <w:tr>
        <w:tc>
          <w:tcPr>
            <w:tcW w:type="dxa" w:w="1296"/>
            <w:shd w:val="clear" w:color="auto" w:fill="F9FBFC"/>
            <w:tcMar>
              <w:top w:w="60" w:type="dxa"/>
              <w:left w:w="100" w:type="dxa"/>
              <w:bottom w:w="60" w:type="dxa"/>
              <w:right w:w="100" w:type="dxa"/>
            </w:tcMar>
          </w:tcPr>
          <w:p>
            <w:pPr>
              <w:spacing w:before="60" w:after="60" w:line="276" w:lineRule="auto"/>
              <w:jc w:val="left"/>
            </w:pPr>
            <w:r>
              <w:rPr>
                <w:rFonts w:ascii="Times New Roman" w:hAnsi="Times New Roman"/>
                <w:b w:val="0"/>
                <w:i w:val="0"/>
                <w:color w:val="262626"/>
                <w:sz w:val="22"/>
              </w:rPr>
              <w:t>Phê duyệt chủ trương &amp; Nhiệm vụ thiết kế</w:t>
            </w:r>
          </w:p>
        </w:tc>
        <w:tc>
          <w:tcPr>
            <w:tcW w:type="dxa" w:w="1296"/>
            <w:shd w:val="clear" w:color="auto" w:fill="F9FBFC"/>
            <w:tcMar>
              <w:top w:w="60" w:type="dxa"/>
              <w:left w:w="100" w:type="dxa"/>
              <w:bottom w:w="60" w:type="dxa"/>
              <w:right w:w="100" w:type="dxa"/>
            </w:tcMar>
          </w:tcPr>
          <w:p>
            <w:pPr>
              <w:spacing w:before="60" w:after="60" w:line="276" w:lineRule="auto"/>
              <w:jc w:val="left"/>
            </w:pPr>
            <w:r>
              <w:rPr>
                <w:rFonts w:ascii="Times New Roman" w:hAnsi="Times New Roman"/>
                <w:b/>
                <w:i w:val="0"/>
                <w:color w:val="262626"/>
                <w:sz w:val="22"/>
              </w:rPr>
              <w:t>A</w:t>
            </w:r>
          </w:p>
        </w:tc>
        <w:tc>
          <w:tcPr>
            <w:tcW w:type="dxa" w:w="1296"/>
            <w:shd w:val="clear" w:color="auto" w:fill="F9FBFC"/>
            <w:tcMar>
              <w:top w:w="60" w:type="dxa"/>
              <w:left w:w="100" w:type="dxa"/>
              <w:bottom w:w="60" w:type="dxa"/>
              <w:right w:w="100" w:type="dxa"/>
            </w:tcMar>
          </w:tcPr>
          <w:p>
            <w:pPr>
              <w:spacing w:before="60" w:after="60" w:line="276" w:lineRule="auto"/>
              <w:jc w:val="left"/>
            </w:pPr>
            <w:r>
              <w:rPr>
                <w:rFonts w:ascii="Times New Roman" w:hAnsi="Times New Roman"/>
                <w:b/>
                <w:i w:val="0"/>
                <w:color w:val="262626"/>
                <w:sz w:val="22"/>
              </w:rPr>
              <w:t>R</w:t>
            </w:r>
          </w:p>
        </w:tc>
        <w:tc>
          <w:tcPr>
            <w:tcW w:type="dxa" w:w="1296"/>
            <w:shd w:val="clear" w:color="auto" w:fill="F9FBFC"/>
            <w:tcMar>
              <w:top w:w="60" w:type="dxa"/>
              <w:left w:w="100" w:type="dxa"/>
              <w:bottom w:w="60" w:type="dxa"/>
              <w:right w:w="100" w:type="dxa"/>
            </w:tcMar>
          </w:tcPr>
          <w:p>
            <w:pPr>
              <w:spacing w:before="60" w:after="60" w:line="276" w:lineRule="auto"/>
              <w:jc w:val="left"/>
            </w:pPr>
            <w:r>
              <w:rPr>
                <w:rFonts w:ascii="Times New Roman" w:hAnsi="Times New Roman"/>
                <w:b/>
                <w:i w:val="0"/>
                <w:color w:val="262626"/>
                <w:sz w:val="22"/>
              </w:rPr>
              <w:t>C</w:t>
            </w:r>
          </w:p>
        </w:tc>
        <w:tc>
          <w:tcPr>
            <w:tcW w:type="dxa" w:w="1296"/>
            <w:shd w:val="clear" w:color="auto" w:fill="F9FBFC"/>
            <w:tcMar>
              <w:top w:w="60" w:type="dxa"/>
              <w:left w:w="100" w:type="dxa"/>
              <w:bottom w:w="60" w:type="dxa"/>
              <w:right w:w="100" w:type="dxa"/>
            </w:tcMar>
          </w:tcPr>
          <w:p>
            <w:pPr>
              <w:spacing w:before="60" w:after="60" w:line="276" w:lineRule="auto"/>
              <w:jc w:val="left"/>
            </w:pPr>
            <w:r>
              <w:rPr>
                <w:rFonts w:ascii="Times New Roman" w:hAnsi="Times New Roman"/>
                <w:b/>
                <w:i w:val="0"/>
                <w:color w:val="262626"/>
                <w:sz w:val="22"/>
              </w:rPr>
              <w:t>I</w:t>
            </w:r>
          </w:p>
        </w:tc>
        <w:tc>
          <w:tcPr>
            <w:tcW w:type="dxa" w:w="1296"/>
            <w:shd w:val="clear" w:color="auto" w:fill="F9FBFC"/>
            <w:tcMar>
              <w:top w:w="60" w:type="dxa"/>
              <w:left w:w="100" w:type="dxa"/>
              <w:bottom w:w="60" w:type="dxa"/>
              <w:right w:w="100" w:type="dxa"/>
            </w:tcMar>
          </w:tcPr>
          <w:p>
            <w:pPr>
              <w:spacing w:before="60" w:after="60" w:line="276" w:lineRule="auto"/>
              <w:jc w:val="left"/>
            </w:pPr>
            <w:r>
              <w:rPr>
                <w:rFonts w:ascii="Times New Roman" w:hAnsi="Times New Roman"/>
                <w:b w:val="0"/>
                <w:i w:val="0"/>
                <w:color w:val="262626"/>
                <w:sz w:val="22"/>
              </w:rPr>
              <w:t>-</w:t>
            </w:r>
          </w:p>
        </w:tc>
        <w:tc>
          <w:tcPr>
            <w:tcW w:type="dxa" w:w="1296"/>
            <w:shd w:val="clear" w:color="auto" w:fill="F9FBFC"/>
            <w:tcMar>
              <w:top w:w="60" w:type="dxa"/>
              <w:left w:w="100" w:type="dxa"/>
              <w:bottom w:w="60" w:type="dxa"/>
              <w:right w:w="100" w:type="dxa"/>
            </w:tcMar>
          </w:tcPr>
          <w:p>
            <w:pPr>
              <w:spacing w:before="60" w:after="60" w:line="276" w:lineRule="auto"/>
              <w:jc w:val="left"/>
            </w:pPr>
            <w:r>
              <w:rPr>
                <w:rFonts w:ascii="Times New Roman" w:hAnsi="Times New Roman"/>
                <w:b/>
                <w:i w:val="0"/>
                <w:color w:val="262626"/>
                <w:sz w:val="22"/>
              </w:rPr>
              <w:t>C</w:t>
            </w:r>
          </w:p>
        </w:tc>
      </w:tr>
      <w:tr>
        <w:tc>
          <w:tcPr>
            <w:tcW w:type="dxa" w:w="1296"/>
            <w:tcMar>
              <w:top w:w="60" w:type="dxa"/>
              <w:left w:w="100" w:type="dxa"/>
              <w:bottom w:w="60" w:type="dxa"/>
              <w:right w:w="100" w:type="dxa"/>
            </w:tcMar>
          </w:tcPr>
          <w:p>
            <w:pPr>
              <w:spacing w:before="60" w:after="60" w:line="276" w:lineRule="auto"/>
              <w:jc w:val="left"/>
            </w:pPr>
            <w:r>
              <w:rPr>
                <w:rFonts w:ascii="Times New Roman" w:hAnsi="Times New Roman"/>
                <w:b w:val="0"/>
                <w:i w:val="0"/>
                <w:color w:val="262626"/>
                <w:sz w:val="22"/>
              </w:rPr>
              <w:t>Khảo sát &amp; Lập hồ sơ TKBVTC</w:t>
            </w:r>
          </w:p>
        </w:tc>
        <w:tc>
          <w:tcPr>
            <w:tcW w:type="dxa" w:w="1296"/>
            <w:tcMar>
              <w:top w:w="60" w:type="dxa"/>
              <w:left w:w="100" w:type="dxa"/>
              <w:bottom w:w="60" w:type="dxa"/>
              <w:right w:w="100" w:type="dxa"/>
            </w:tcMar>
          </w:tcPr>
          <w:p>
            <w:pPr>
              <w:spacing w:before="60" w:after="60" w:line="276" w:lineRule="auto"/>
              <w:jc w:val="left"/>
            </w:pPr>
            <w:r>
              <w:rPr>
                <w:rFonts w:ascii="Times New Roman" w:hAnsi="Times New Roman"/>
                <w:b/>
                <w:i w:val="0"/>
                <w:color w:val="262626"/>
                <w:sz w:val="22"/>
              </w:rPr>
              <w:t>I</w:t>
            </w:r>
          </w:p>
        </w:tc>
        <w:tc>
          <w:tcPr>
            <w:tcW w:type="dxa" w:w="1296"/>
            <w:tcMar>
              <w:top w:w="60" w:type="dxa"/>
              <w:left w:w="100" w:type="dxa"/>
              <w:bottom w:w="60" w:type="dxa"/>
              <w:right w:w="100" w:type="dxa"/>
            </w:tcMar>
          </w:tcPr>
          <w:p>
            <w:pPr>
              <w:spacing w:before="60" w:after="60" w:line="276" w:lineRule="auto"/>
              <w:jc w:val="left"/>
            </w:pPr>
            <w:r>
              <w:rPr>
                <w:rFonts w:ascii="Times New Roman" w:hAnsi="Times New Roman"/>
                <w:b/>
                <w:i w:val="0"/>
                <w:color w:val="262626"/>
                <w:sz w:val="22"/>
              </w:rPr>
              <w:t>A</w:t>
            </w:r>
          </w:p>
        </w:tc>
        <w:tc>
          <w:tcPr>
            <w:tcW w:type="dxa" w:w="1296"/>
            <w:tcMar>
              <w:top w:w="60" w:type="dxa"/>
              <w:left w:w="100" w:type="dxa"/>
              <w:bottom w:w="60" w:type="dxa"/>
              <w:right w:w="100" w:type="dxa"/>
            </w:tcMar>
          </w:tcPr>
          <w:p>
            <w:pPr>
              <w:spacing w:before="60" w:after="60" w:line="276" w:lineRule="auto"/>
              <w:jc w:val="left"/>
            </w:pPr>
            <w:r>
              <w:rPr>
                <w:rFonts w:ascii="Times New Roman" w:hAnsi="Times New Roman"/>
                <w:b/>
                <w:i w:val="0"/>
                <w:color w:val="262626"/>
                <w:sz w:val="22"/>
              </w:rPr>
              <w:t>R</w:t>
            </w:r>
          </w:p>
        </w:tc>
        <w:tc>
          <w:tcPr>
            <w:tcW w:type="dxa" w:w="1296"/>
            <w:tcMar>
              <w:top w:w="60" w:type="dxa"/>
              <w:left w:w="100" w:type="dxa"/>
              <w:bottom w:w="60" w:type="dxa"/>
              <w:right w:w="100" w:type="dxa"/>
            </w:tcMar>
          </w:tcPr>
          <w:p>
            <w:pPr>
              <w:spacing w:before="60" w:after="60" w:line="276" w:lineRule="auto"/>
              <w:jc w:val="left"/>
            </w:pPr>
            <w:r>
              <w:rPr>
                <w:rFonts w:ascii="Times New Roman" w:hAnsi="Times New Roman"/>
                <w:b/>
                <w:i w:val="0"/>
                <w:color w:val="262626"/>
                <w:sz w:val="22"/>
              </w:rPr>
              <w:t>C</w:t>
            </w:r>
          </w:p>
        </w:tc>
        <w:tc>
          <w:tcPr>
            <w:tcW w:type="dxa" w:w="1296"/>
            <w:tcMar>
              <w:top w:w="60" w:type="dxa"/>
              <w:left w:w="100" w:type="dxa"/>
              <w:bottom w:w="60" w:type="dxa"/>
              <w:right w:w="100" w:type="dxa"/>
            </w:tcMar>
          </w:tcPr>
          <w:p>
            <w:pPr>
              <w:spacing w:before="60" w:after="60" w:line="276" w:lineRule="auto"/>
              <w:jc w:val="left"/>
            </w:pPr>
            <w:r>
              <w:rPr>
                <w:rFonts w:ascii="Times New Roman" w:hAnsi="Times New Roman"/>
                <w:b w:val="0"/>
                <w:i w:val="0"/>
                <w:color w:val="262626"/>
                <w:sz w:val="22"/>
              </w:rPr>
              <w:t>-</w:t>
            </w:r>
          </w:p>
        </w:tc>
        <w:tc>
          <w:tcPr>
            <w:tcW w:type="dxa" w:w="1296"/>
            <w:tcMar>
              <w:top w:w="60" w:type="dxa"/>
              <w:left w:w="100" w:type="dxa"/>
              <w:bottom w:w="60" w:type="dxa"/>
              <w:right w:w="100" w:type="dxa"/>
            </w:tcMar>
          </w:tcPr>
          <w:p>
            <w:pPr>
              <w:spacing w:before="60" w:after="60" w:line="276" w:lineRule="auto"/>
              <w:jc w:val="left"/>
            </w:pPr>
            <w:r>
              <w:rPr>
                <w:rFonts w:ascii="Times New Roman" w:hAnsi="Times New Roman"/>
                <w:b w:val="0"/>
                <w:i w:val="0"/>
                <w:color w:val="262626"/>
                <w:sz w:val="22"/>
              </w:rPr>
              <w:t>-</w:t>
            </w:r>
          </w:p>
        </w:tc>
      </w:tr>
      <w:tr>
        <w:tc>
          <w:tcPr>
            <w:tcW w:type="dxa" w:w="1296"/>
            <w:shd w:val="clear" w:color="auto" w:fill="F9FBFC"/>
            <w:tcMar>
              <w:top w:w="60" w:type="dxa"/>
              <w:left w:w="100" w:type="dxa"/>
              <w:bottom w:w="60" w:type="dxa"/>
              <w:right w:w="100" w:type="dxa"/>
            </w:tcMar>
          </w:tcPr>
          <w:p>
            <w:pPr>
              <w:spacing w:before="60" w:after="60" w:line="276" w:lineRule="auto"/>
              <w:jc w:val="left"/>
            </w:pPr>
            <w:r>
              <w:rPr>
                <w:rFonts w:ascii="Times New Roman" w:hAnsi="Times New Roman"/>
                <w:b w:val="0"/>
                <w:i w:val="0"/>
                <w:color w:val="262626"/>
                <w:sz w:val="22"/>
              </w:rPr>
              <w:t>Công tác bồi thường, hỗ trợ GPMB</w:t>
            </w:r>
          </w:p>
        </w:tc>
        <w:tc>
          <w:tcPr>
            <w:tcW w:type="dxa" w:w="1296"/>
            <w:shd w:val="clear" w:color="auto" w:fill="F9FBFC"/>
            <w:tcMar>
              <w:top w:w="60" w:type="dxa"/>
              <w:left w:w="100" w:type="dxa"/>
              <w:bottom w:w="60" w:type="dxa"/>
              <w:right w:w="100" w:type="dxa"/>
            </w:tcMar>
          </w:tcPr>
          <w:p>
            <w:pPr>
              <w:spacing w:before="60" w:after="60" w:line="276" w:lineRule="auto"/>
              <w:jc w:val="left"/>
            </w:pPr>
            <w:r>
              <w:rPr>
                <w:rFonts w:ascii="Times New Roman" w:hAnsi="Times New Roman"/>
                <w:b/>
                <w:i w:val="0"/>
                <w:color w:val="262626"/>
                <w:sz w:val="22"/>
              </w:rPr>
              <w:t>A</w:t>
            </w:r>
          </w:p>
        </w:tc>
        <w:tc>
          <w:tcPr>
            <w:tcW w:type="dxa" w:w="1296"/>
            <w:shd w:val="clear" w:color="auto" w:fill="F9FBFC"/>
            <w:tcMar>
              <w:top w:w="60" w:type="dxa"/>
              <w:left w:w="100" w:type="dxa"/>
              <w:bottom w:w="60" w:type="dxa"/>
              <w:right w:w="100" w:type="dxa"/>
            </w:tcMar>
          </w:tcPr>
          <w:p>
            <w:pPr>
              <w:spacing w:before="60" w:after="60" w:line="276" w:lineRule="auto"/>
              <w:jc w:val="left"/>
            </w:pPr>
            <w:r>
              <w:rPr>
                <w:rFonts w:ascii="Times New Roman" w:hAnsi="Times New Roman"/>
                <w:b/>
                <w:i w:val="0"/>
                <w:color w:val="262626"/>
                <w:sz w:val="22"/>
              </w:rPr>
              <w:t>R</w:t>
            </w:r>
          </w:p>
        </w:tc>
        <w:tc>
          <w:tcPr>
            <w:tcW w:type="dxa" w:w="1296"/>
            <w:shd w:val="clear" w:color="auto" w:fill="F9FBFC"/>
            <w:tcMar>
              <w:top w:w="60" w:type="dxa"/>
              <w:left w:w="100" w:type="dxa"/>
              <w:bottom w:w="60" w:type="dxa"/>
              <w:right w:w="100" w:type="dxa"/>
            </w:tcMar>
          </w:tcPr>
          <w:p>
            <w:pPr>
              <w:spacing w:before="60" w:after="60" w:line="276" w:lineRule="auto"/>
              <w:jc w:val="left"/>
            </w:pPr>
            <w:r>
              <w:rPr>
                <w:rFonts w:ascii="Times New Roman" w:hAnsi="Times New Roman"/>
                <w:b/>
                <w:i w:val="0"/>
                <w:color w:val="262626"/>
                <w:sz w:val="22"/>
              </w:rPr>
              <w:t>I</w:t>
            </w:r>
          </w:p>
        </w:tc>
        <w:tc>
          <w:tcPr>
            <w:tcW w:type="dxa" w:w="1296"/>
            <w:shd w:val="clear" w:color="auto" w:fill="F9FBFC"/>
            <w:tcMar>
              <w:top w:w="60" w:type="dxa"/>
              <w:left w:w="100" w:type="dxa"/>
              <w:bottom w:w="60" w:type="dxa"/>
              <w:right w:w="100" w:type="dxa"/>
            </w:tcMar>
          </w:tcPr>
          <w:p>
            <w:pPr>
              <w:spacing w:before="60" w:after="60" w:line="276" w:lineRule="auto"/>
              <w:jc w:val="left"/>
            </w:pPr>
            <w:r>
              <w:rPr>
                <w:rFonts w:ascii="Times New Roman" w:hAnsi="Times New Roman"/>
                <w:b w:val="0"/>
                <w:i w:val="0"/>
                <w:color w:val="262626"/>
                <w:sz w:val="22"/>
              </w:rPr>
              <w:t>-</w:t>
            </w:r>
          </w:p>
        </w:tc>
        <w:tc>
          <w:tcPr>
            <w:tcW w:type="dxa" w:w="1296"/>
            <w:shd w:val="clear" w:color="auto" w:fill="F9FBFC"/>
            <w:tcMar>
              <w:top w:w="60" w:type="dxa"/>
              <w:left w:w="100" w:type="dxa"/>
              <w:bottom w:w="60" w:type="dxa"/>
              <w:right w:w="100" w:type="dxa"/>
            </w:tcMar>
          </w:tcPr>
          <w:p>
            <w:pPr>
              <w:spacing w:before="60" w:after="60" w:line="276" w:lineRule="auto"/>
              <w:jc w:val="left"/>
            </w:pPr>
            <w:r>
              <w:rPr>
                <w:rFonts w:ascii="Times New Roman" w:hAnsi="Times New Roman"/>
                <w:b/>
                <w:i w:val="0"/>
                <w:color w:val="262626"/>
                <w:sz w:val="22"/>
              </w:rPr>
              <w:t>I</w:t>
            </w:r>
          </w:p>
        </w:tc>
        <w:tc>
          <w:tcPr>
            <w:tcW w:type="dxa" w:w="1296"/>
            <w:shd w:val="clear" w:color="auto" w:fill="F9FBFC"/>
            <w:tcMar>
              <w:top w:w="60" w:type="dxa"/>
              <w:left w:w="100" w:type="dxa"/>
              <w:bottom w:w="60" w:type="dxa"/>
              <w:right w:w="100" w:type="dxa"/>
            </w:tcMar>
          </w:tcPr>
          <w:p>
            <w:pPr>
              <w:spacing w:before="60" w:after="60" w:line="276" w:lineRule="auto"/>
              <w:jc w:val="left"/>
            </w:pPr>
            <w:r>
              <w:rPr>
                <w:rFonts w:ascii="Times New Roman" w:hAnsi="Times New Roman"/>
                <w:b/>
                <w:i w:val="0"/>
                <w:color w:val="262626"/>
                <w:sz w:val="22"/>
              </w:rPr>
              <w:t>R</w:t>
            </w:r>
          </w:p>
        </w:tc>
      </w:tr>
      <w:tr>
        <w:tc>
          <w:tcPr>
            <w:tcW w:type="dxa" w:w="1296"/>
            <w:tcMar>
              <w:top w:w="60" w:type="dxa"/>
              <w:left w:w="100" w:type="dxa"/>
              <w:bottom w:w="60" w:type="dxa"/>
              <w:right w:w="100" w:type="dxa"/>
            </w:tcMar>
          </w:tcPr>
          <w:p>
            <w:pPr>
              <w:spacing w:before="60" w:after="60" w:line="276" w:lineRule="auto"/>
              <w:jc w:val="left"/>
            </w:pPr>
            <w:r>
              <w:rPr>
                <w:rFonts w:ascii="Times New Roman" w:hAnsi="Times New Roman"/>
                <w:b w:val="0"/>
                <w:i w:val="0"/>
                <w:color w:val="262626"/>
                <w:sz w:val="22"/>
              </w:rPr>
              <w:t>Tổ chức đấu thầu xây lắp</w:t>
            </w:r>
          </w:p>
        </w:tc>
        <w:tc>
          <w:tcPr>
            <w:tcW w:type="dxa" w:w="1296"/>
            <w:tcMar>
              <w:top w:w="60" w:type="dxa"/>
              <w:left w:w="100" w:type="dxa"/>
              <w:bottom w:w="60" w:type="dxa"/>
              <w:right w:w="100" w:type="dxa"/>
            </w:tcMar>
          </w:tcPr>
          <w:p>
            <w:pPr>
              <w:spacing w:before="60" w:after="60" w:line="276" w:lineRule="auto"/>
              <w:jc w:val="left"/>
            </w:pPr>
            <w:r>
              <w:rPr>
                <w:rFonts w:ascii="Times New Roman" w:hAnsi="Times New Roman"/>
                <w:b/>
                <w:i w:val="0"/>
                <w:color w:val="262626"/>
                <w:sz w:val="22"/>
              </w:rPr>
              <w:t>A</w:t>
            </w:r>
          </w:p>
        </w:tc>
        <w:tc>
          <w:tcPr>
            <w:tcW w:type="dxa" w:w="1296"/>
            <w:tcMar>
              <w:top w:w="60" w:type="dxa"/>
              <w:left w:w="100" w:type="dxa"/>
              <w:bottom w:w="60" w:type="dxa"/>
              <w:right w:w="100" w:type="dxa"/>
            </w:tcMar>
          </w:tcPr>
          <w:p>
            <w:pPr>
              <w:spacing w:before="60" w:after="60" w:line="276" w:lineRule="auto"/>
              <w:jc w:val="left"/>
            </w:pPr>
            <w:r>
              <w:rPr>
                <w:rFonts w:ascii="Times New Roman" w:hAnsi="Times New Roman"/>
                <w:b/>
                <w:i w:val="0"/>
                <w:color w:val="262626"/>
                <w:sz w:val="22"/>
              </w:rPr>
              <w:t>R</w:t>
            </w:r>
          </w:p>
        </w:tc>
        <w:tc>
          <w:tcPr>
            <w:tcW w:type="dxa" w:w="1296"/>
            <w:tcMar>
              <w:top w:w="60" w:type="dxa"/>
              <w:left w:w="100" w:type="dxa"/>
              <w:bottom w:w="60" w:type="dxa"/>
              <w:right w:w="100" w:type="dxa"/>
            </w:tcMar>
          </w:tcPr>
          <w:p>
            <w:pPr>
              <w:spacing w:before="60" w:after="60" w:line="276" w:lineRule="auto"/>
              <w:jc w:val="left"/>
            </w:pPr>
            <w:r>
              <w:rPr>
                <w:rFonts w:ascii="Times New Roman" w:hAnsi="Times New Roman"/>
                <w:b/>
                <w:i w:val="0"/>
                <w:color w:val="262626"/>
                <w:sz w:val="22"/>
              </w:rPr>
              <w:t>C</w:t>
            </w:r>
          </w:p>
        </w:tc>
        <w:tc>
          <w:tcPr>
            <w:tcW w:type="dxa" w:w="1296"/>
            <w:tcMar>
              <w:top w:w="60" w:type="dxa"/>
              <w:left w:w="100" w:type="dxa"/>
              <w:bottom w:w="60" w:type="dxa"/>
              <w:right w:w="100" w:type="dxa"/>
            </w:tcMar>
          </w:tcPr>
          <w:p>
            <w:pPr>
              <w:spacing w:before="60" w:after="60" w:line="276" w:lineRule="auto"/>
              <w:jc w:val="left"/>
            </w:pPr>
            <w:r>
              <w:rPr>
                <w:rFonts w:ascii="Times New Roman" w:hAnsi="Times New Roman"/>
                <w:b w:val="0"/>
                <w:i w:val="0"/>
                <w:color w:val="262626"/>
                <w:sz w:val="22"/>
              </w:rPr>
              <w:t>-</w:t>
            </w:r>
          </w:p>
        </w:tc>
        <w:tc>
          <w:tcPr>
            <w:tcW w:type="dxa" w:w="1296"/>
            <w:tcMar>
              <w:top w:w="60" w:type="dxa"/>
              <w:left w:w="100" w:type="dxa"/>
              <w:bottom w:w="60" w:type="dxa"/>
              <w:right w:w="100" w:type="dxa"/>
            </w:tcMar>
          </w:tcPr>
          <w:p>
            <w:pPr>
              <w:spacing w:before="60" w:after="60" w:line="276" w:lineRule="auto"/>
              <w:jc w:val="left"/>
            </w:pPr>
            <w:r>
              <w:rPr>
                <w:rFonts w:ascii="Times New Roman" w:hAnsi="Times New Roman"/>
                <w:b/>
                <w:i w:val="0"/>
                <w:color w:val="262626"/>
                <w:sz w:val="22"/>
              </w:rPr>
              <w:t>I</w:t>
            </w:r>
          </w:p>
        </w:tc>
        <w:tc>
          <w:tcPr>
            <w:tcW w:type="dxa" w:w="1296"/>
            <w:tcMar>
              <w:top w:w="60" w:type="dxa"/>
              <w:left w:w="100" w:type="dxa"/>
              <w:bottom w:w="60" w:type="dxa"/>
              <w:right w:w="100" w:type="dxa"/>
            </w:tcMar>
          </w:tcPr>
          <w:p>
            <w:pPr>
              <w:spacing w:before="60" w:after="60" w:line="276" w:lineRule="auto"/>
              <w:jc w:val="left"/>
            </w:pPr>
            <w:r>
              <w:rPr>
                <w:rFonts w:ascii="Times New Roman" w:hAnsi="Times New Roman"/>
                <w:b w:val="0"/>
                <w:i w:val="0"/>
                <w:color w:val="262626"/>
                <w:sz w:val="22"/>
              </w:rPr>
              <w:t>-</w:t>
            </w:r>
          </w:p>
        </w:tc>
      </w:tr>
      <w:tr>
        <w:tc>
          <w:tcPr>
            <w:tcW w:type="dxa" w:w="1296"/>
            <w:shd w:val="clear" w:color="auto" w:fill="F9FBFC"/>
            <w:tcMar>
              <w:top w:w="60" w:type="dxa"/>
              <w:left w:w="100" w:type="dxa"/>
              <w:bottom w:w="60" w:type="dxa"/>
              <w:right w:w="100" w:type="dxa"/>
            </w:tcMar>
          </w:tcPr>
          <w:p>
            <w:pPr>
              <w:spacing w:before="60" w:after="60" w:line="276" w:lineRule="auto"/>
              <w:jc w:val="left"/>
            </w:pPr>
            <w:r>
              <w:rPr>
                <w:rFonts w:ascii="Times New Roman" w:hAnsi="Times New Roman"/>
                <w:b w:val="0"/>
                <w:i w:val="0"/>
                <w:color w:val="262626"/>
                <w:sz w:val="22"/>
              </w:rPr>
              <w:t>Tổ chức thi công xây lắp hiện trường</w:t>
            </w:r>
          </w:p>
        </w:tc>
        <w:tc>
          <w:tcPr>
            <w:tcW w:type="dxa" w:w="1296"/>
            <w:shd w:val="clear" w:color="auto" w:fill="F9FBFC"/>
            <w:tcMar>
              <w:top w:w="60" w:type="dxa"/>
              <w:left w:w="100" w:type="dxa"/>
              <w:bottom w:w="60" w:type="dxa"/>
              <w:right w:w="100" w:type="dxa"/>
            </w:tcMar>
          </w:tcPr>
          <w:p>
            <w:pPr>
              <w:spacing w:before="60" w:after="60" w:line="276" w:lineRule="auto"/>
              <w:jc w:val="left"/>
            </w:pPr>
            <w:r>
              <w:rPr>
                <w:rFonts w:ascii="Times New Roman" w:hAnsi="Times New Roman"/>
                <w:b/>
                <w:i w:val="0"/>
                <w:color w:val="262626"/>
                <w:sz w:val="22"/>
              </w:rPr>
              <w:t>I</w:t>
            </w:r>
          </w:p>
        </w:tc>
        <w:tc>
          <w:tcPr>
            <w:tcW w:type="dxa" w:w="1296"/>
            <w:shd w:val="clear" w:color="auto" w:fill="F9FBFC"/>
            <w:tcMar>
              <w:top w:w="60" w:type="dxa"/>
              <w:left w:w="100" w:type="dxa"/>
              <w:bottom w:w="60" w:type="dxa"/>
              <w:right w:w="100" w:type="dxa"/>
            </w:tcMar>
          </w:tcPr>
          <w:p>
            <w:pPr>
              <w:spacing w:before="60" w:after="60" w:line="276" w:lineRule="auto"/>
              <w:jc w:val="left"/>
            </w:pPr>
            <w:r>
              <w:rPr>
                <w:rFonts w:ascii="Times New Roman" w:hAnsi="Times New Roman"/>
                <w:b/>
                <w:i w:val="0"/>
                <w:color w:val="262626"/>
                <w:sz w:val="22"/>
              </w:rPr>
              <w:t>A</w:t>
            </w:r>
          </w:p>
        </w:tc>
        <w:tc>
          <w:tcPr>
            <w:tcW w:type="dxa" w:w="1296"/>
            <w:shd w:val="clear" w:color="auto" w:fill="F9FBFC"/>
            <w:tcMar>
              <w:top w:w="60" w:type="dxa"/>
              <w:left w:w="100" w:type="dxa"/>
              <w:bottom w:w="60" w:type="dxa"/>
              <w:right w:w="100" w:type="dxa"/>
            </w:tcMar>
          </w:tcPr>
          <w:p>
            <w:pPr>
              <w:spacing w:before="60" w:after="60" w:line="276" w:lineRule="auto"/>
              <w:jc w:val="left"/>
            </w:pPr>
            <w:r>
              <w:rPr>
                <w:rFonts w:ascii="Times New Roman" w:hAnsi="Times New Roman"/>
                <w:b/>
                <w:i w:val="0"/>
                <w:color w:val="262626"/>
                <w:sz w:val="22"/>
              </w:rPr>
              <w:t>C</w:t>
            </w:r>
          </w:p>
        </w:tc>
        <w:tc>
          <w:tcPr>
            <w:tcW w:type="dxa" w:w="1296"/>
            <w:shd w:val="clear" w:color="auto" w:fill="F9FBFC"/>
            <w:tcMar>
              <w:top w:w="60" w:type="dxa"/>
              <w:left w:w="100" w:type="dxa"/>
              <w:bottom w:w="60" w:type="dxa"/>
              <w:right w:w="100" w:type="dxa"/>
            </w:tcMar>
          </w:tcPr>
          <w:p>
            <w:pPr>
              <w:spacing w:before="60" w:after="60" w:line="276" w:lineRule="auto"/>
              <w:jc w:val="left"/>
            </w:pPr>
            <w:r>
              <w:rPr>
                <w:rFonts w:ascii="Times New Roman" w:hAnsi="Times New Roman"/>
                <w:b/>
                <w:i w:val="0"/>
                <w:color w:val="262626"/>
                <w:sz w:val="22"/>
              </w:rPr>
              <w:t>C</w:t>
            </w:r>
          </w:p>
        </w:tc>
        <w:tc>
          <w:tcPr>
            <w:tcW w:type="dxa" w:w="1296"/>
            <w:shd w:val="clear" w:color="auto" w:fill="F9FBFC"/>
            <w:tcMar>
              <w:top w:w="60" w:type="dxa"/>
              <w:left w:w="100" w:type="dxa"/>
              <w:bottom w:w="60" w:type="dxa"/>
              <w:right w:w="100" w:type="dxa"/>
            </w:tcMar>
          </w:tcPr>
          <w:p>
            <w:pPr>
              <w:spacing w:before="60" w:after="60" w:line="276" w:lineRule="auto"/>
              <w:jc w:val="left"/>
            </w:pPr>
            <w:r>
              <w:rPr>
                <w:rFonts w:ascii="Times New Roman" w:hAnsi="Times New Roman"/>
                <w:b/>
                <w:i w:val="0"/>
                <w:color w:val="262626"/>
                <w:sz w:val="22"/>
              </w:rPr>
              <w:t>R</w:t>
            </w:r>
          </w:p>
        </w:tc>
        <w:tc>
          <w:tcPr>
            <w:tcW w:type="dxa" w:w="1296"/>
            <w:shd w:val="clear" w:color="auto" w:fill="F9FBFC"/>
            <w:tcMar>
              <w:top w:w="60" w:type="dxa"/>
              <w:left w:w="100" w:type="dxa"/>
              <w:bottom w:w="60" w:type="dxa"/>
              <w:right w:w="100" w:type="dxa"/>
            </w:tcMar>
          </w:tcPr>
          <w:p>
            <w:pPr>
              <w:spacing w:before="60" w:after="60" w:line="276" w:lineRule="auto"/>
              <w:jc w:val="left"/>
            </w:pPr>
            <w:r>
              <w:rPr>
                <w:rFonts w:ascii="Times New Roman" w:hAnsi="Times New Roman"/>
                <w:b w:val="0"/>
                <w:i w:val="0"/>
                <w:color w:val="262626"/>
                <w:sz w:val="22"/>
              </w:rPr>
              <w:t>-</w:t>
            </w:r>
          </w:p>
        </w:tc>
      </w:tr>
      <w:tr>
        <w:tc>
          <w:tcPr>
            <w:tcW w:type="dxa" w:w="1296"/>
            <w:tcMar>
              <w:top w:w="60" w:type="dxa"/>
              <w:left w:w="100" w:type="dxa"/>
              <w:bottom w:w="60" w:type="dxa"/>
              <w:right w:w="100" w:type="dxa"/>
            </w:tcMar>
          </w:tcPr>
          <w:p>
            <w:pPr>
              <w:spacing w:before="60" w:after="60" w:line="276" w:lineRule="auto"/>
              <w:jc w:val="left"/>
            </w:pPr>
            <w:r>
              <w:rPr>
                <w:rFonts w:ascii="Times New Roman" w:hAnsi="Times New Roman"/>
                <w:b w:val="0"/>
                <w:i w:val="0"/>
                <w:color w:val="262626"/>
                <w:sz w:val="22"/>
              </w:rPr>
              <w:t>Giám sát chất lượng &amp; Nghiệm thu công việc</w:t>
            </w:r>
          </w:p>
        </w:tc>
        <w:tc>
          <w:tcPr>
            <w:tcW w:type="dxa" w:w="1296"/>
            <w:tcMar>
              <w:top w:w="60" w:type="dxa"/>
              <w:left w:w="100" w:type="dxa"/>
              <w:bottom w:w="60" w:type="dxa"/>
              <w:right w:w="100" w:type="dxa"/>
            </w:tcMar>
          </w:tcPr>
          <w:p>
            <w:pPr>
              <w:spacing w:before="60" w:after="60" w:line="276" w:lineRule="auto"/>
              <w:jc w:val="left"/>
            </w:pPr>
            <w:r>
              <w:rPr>
                <w:rFonts w:ascii="Times New Roman" w:hAnsi="Times New Roman"/>
                <w:b/>
                <w:i w:val="0"/>
                <w:color w:val="262626"/>
                <w:sz w:val="22"/>
              </w:rPr>
              <w:t>I</w:t>
            </w:r>
          </w:p>
        </w:tc>
        <w:tc>
          <w:tcPr>
            <w:tcW w:type="dxa" w:w="1296"/>
            <w:tcMar>
              <w:top w:w="60" w:type="dxa"/>
              <w:left w:w="100" w:type="dxa"/>
              <w:bottom w:w="60" w:type="dxa"/>
              <w:right w:w="100" w:type="dxa"/>
            </w:tcMar>
          </w:tcPr>
          <w:p>
            <w:pPr>
              <w:spacing w:before="60" w:after="60" w:line="276" w:lineRule="auto"/>
              <w:jc w:val="left"/>
            </w:pPr>
            <w:r>
              <w:rPr>
                <w:rFonts w:ascii="Times New Roman" w:hAnsi="Times New Roman"/>
                <w:b/>
                <w:i w:val="0"/>
                <w:color w:val="262626"/>
                <w:sz w:val="22"/>
              </w:rPr>
              <w:t>A</w:t>
            </w:r>
          </w:p>
        </w:tc>
        <w:tc>
          <w:tcPr>
            <w:tcW w:type="dxa" w:w="1296"/>
            <w:tcMar>
              <w:top w:w="60" w:type="dxa"/>
              <w:left w:w="100" w:type="dxa"/>
              <w:bottom w:w="60" w:type="dxa"/>
              <w:right w:w="100" w:type="dxa"/>
            </w:tcMar>
          </w:tcPr>
          <w:p>
            <w:pPr>
              <w:spacing w:before="60" w:after="60" w:line="276" w:lineRule="auto"/>
              <w:jc w:val="left"/>
            </w:pPr>
            <w:r>
              <w:rPr>
                <w:rFonts w:ascii="Times New Roman" w:hAnsi="Times New Roman"/>
                <w:b/>
                <w:i w:val="0"/>
                <w:color w:val="262626"/>
                <w:sz w:val="22"/>
              </w:rPr>
              <w:t>C</w:t>
            </w:r>
          </w:p>
        </w:tc>
        <w:tc>
          <w:tcPr>
            <w:tcW w:type="dxa" w:w="1296"/>
            <w:tcMar>
              <w:top w:w="60" w:type="dxa"/>
              <w:left w:w="100" w:type="dxa"/>
              <w:bottom w:w="60" w:type="dxa"/>
              <w:right w:w="100" w:type="dxa"/>
            </w:tcMar>
          </w:tcPr>
          <w:p>
            <w:pPr>
              <w:spacing w:before="60" w:after="60" w:line="276" w:lineRule="auto"/>
              <w:jc w:val="left"/>
            </w:pPr>
            <w:r>
              <w:rPr>
                <w:rFonts w:ascii="Times New Roman" w:hAnsi="Times New Roman"/>
                <w:b/>
                <w:i w:val="0"/>
                <w:color w:val="262626"/>
                <w:sz w:val="22"/>
              </w:rPr>
              <w:t>R</w:t>
            </w:r>
          </w:p>
        </w:tc>
        <w:tc>
          <w:tcPr>
            <w:tcW w:type="dxa" w:w="1296"/>
            <w:tcMar>
              <w:top w:w="60" w:type="dxa"/>
              <w:left w:w="100" w:type="dxa"/>
              <w:bottom w:w="60" w:type="dxa"/>
              <w:right w:w="100" w:type="dxa"/>
            </w:tcMar>
          </w:tcPr>
          <w:p>
            <w:pPr>
              <w:spacing w:before="60" w:after="60" w:line="276" w:lineRule="auto"/>
              <w:jc w:val="left"/>
            </w:pPr>
            <w:r>
              <w:rPr>
                <w:rFonts w:ascii="Times New Roman" w:hAnsi="Times New Roman"/>
                <w:b/>
                <w:i w:val="0"/>
                <w:color w:val="262626"/>
                <w:sz w:val="22"/>
              </w:rPr>
              <w:t>R</w:t>
            </w:r>
          </w:p>
        </w:tc>
        <w:tc>
          <w:tcPr>
            <w:tcW w:type="dxa" w:w="1296"/>
            <w:tcMar>
              <w:top w:w="60" w:type="dxa"/>
              <w:left w:w="100" w:type="dxa"/>
              <w:bottom w:w="60" w:type="dxa"/>
              <w:right w:w="100" w:type="dxa"/>
            </w:tcMar>
          </w:tcPr>
          <w:p>
            <w:pPr>
              <w:spacing w:before="60" w:after="60" w:line="276" w:lineRule="auto"/>
              <w:jc w:val="left"/>
            </w:pPr>
            <w:r>
              <w:rPr>
                <w:rFonts w:ascii="Times New Roman" w:hAnsi="Times New Roman"/>
                <w:b w:val="0"/>
                <w:i w:val="0"/>
                <w:color w:val="262626"/>
                <w:sz w:val="22"/>
              </w:rPr>
              <w:t>-</w:t>
            </w:r>
          </w:p>
        </w:tc>
      </w:tr>
      <w:tr>
        <w:tc>
          <w:tcPr>
            <w:tcW w:type="dxa" w:w="1296"/>
            <w:shd w:val="clear" w:color="auto" w:fill="F9FBFC"/>
            <w:tcMar>
              <w:top w:w="60" w:type="dxa"/>
              <w:left w:w="100" w:type="dxa"/>
              <w:bottom w:w="60" w:type="dxa"/>
              <w:right w:w="100" w:type="dxa"/>
            </w:tcMar>
          </w:tcPr>
          <w:p>
            <w:pPr>
              <w:spacing w:before="60" w:after="60" w:line="276" w:lineRule="auto"/>
              <w:jc w:val="left"/>
            </w:pPr>
            <w:r>
              <w:rPr>
                <w:rFonts w:ascii="Times New Roman" w:hAnsi="Times New Roman"/>
                <w:b w:val="0"/>
                <w:i w:val="0"/>
                <w:color w:val="262626"/>
                <w:sz w:val="22"/>
              </w:rPr>
              <w:t>Xử lý thay đổi thiết kế &amp; Phát sinh</w:t>
            </w:r>
          </w:p>
        </w:tc>
        <w:tc>
          <w:tcPr>
            <w:tcW w:type="dxa" w:w="1296"/>
            <w:shd w:val="clear" w:color="auto" w:fill="F9FBFC"/>
            <w:tcMar>
              <w:top w:w="60" w:type="dxa"/>
              <w:left w:w="100" w:type="dxa"/>
              <w:bottom w:w="60" w:type="dxa"/>
              <w:right w:w="100" w:type="dxa"/>
            </w:tcMar>
          </w:tcPr>
          <w:p>
            <w:pPr>
              <w:spacing w:before="60" w:after="60" w:line="276" w:lineRule="auto"/>
              <w:jc w:val="left"/>
            </w:pPr>
            <w:r>
              <w:rPr>
                <w:rFonts w:ascii="Times New Roman" w:hAnsi="Times New Roman"/>
                <w:b/>
                <w:i w:val="0"/>
                <w:color w:val="262626"/>
                <w:sz w:val="22"/>
              </w:rPr>
              <w:t>A</w:t>
            </w:r>
          </w:p>
        </w:tc>
        <w:tc>
          <w:tcPr>
            <w:tcW w:type="dxa" w:w="1296"/>
            <w:shd w:val="clear" w:color="auto" w:fill="F9FBFC"/>
            <w:tcMar>
              <w:top w:w="60" w:type="dxa"/>
              <w:left w:w="100" w:type="dxa"/>
              <w:bottom w:w="60" w:type="dxa"/>
              <w:right w:w="100" w:type="dxa"/>
            </w:tcMar>
          </w:tcPr>
          <w:p>
            <w:pPr>
              <w:spacing w:before="60" w:after="60" w:line="276" w:lineRule="auto"/>
              <w:jc w:val="left"/>
            </w:pPr>
            <w:r>
              <w:rPr>
                <w:rFonts w:ascii="Times New Roman" w:hAnsi="Times New Roman"/>
                <w:b/>
                <w:i w:val="0"/>
                <w:color w:val="262626"/>
                <w:sz w:val="22"/>
              </w:rPr>
              <w:t>R</w:t>
            </w:r>
          </w:p>
        </w:tc>
        <w:tc>
          <w:tcPr>
            <w:tcW w:type="dxa" w:w="1296"/>
            <w:shd w:val="clear" w:color="auto" w:fill="F9FBFC"/>
            <w:tcMar>
              <w:top w:w="60" w:type="dxa"/>
              <w:left w:w="100" w:type="dxa"/>
              <w:bottom w:w="60" w:type="dxa"/>
              <w:right w:w="100" w:type="dxa"/>
            </w:tcMar>
          </w:tcPr>
          <w:p>
            <w:pPr>
              <w:spacing w:before="60" w:after="60" w:line="276" w:lineRule="auto"/>
              <w:jc w:val="left"/>
            </w:pPr>
            <w:r>
              <w:rPr>
                <w:rFonts w:ascii="Times New Roman" w:hAnsi="Times New Roman"/>
                <w:b/>
                <w:i w:val="0"/>
                <w:color w:val="262626"/>
                <w:sz w:val="22"/>
              </w:rPr>
              <w:t>R</w:t>
            </w:r>
          </w:p>
        </w:tc>
        <w:tc>
          <w:tcPr>
            <w:tcW w:type="dxa" w:w="1296"/>
            <w:shd w:val="clear" w:color="auto" w:fill="F9FBFC"/>
            <w:tcMar>
              <w:top w:w="60" w:type="dxa"/>
              <w:left w:w="100" w:type="dxa"/>
              <w:bottom w:w="60" w:type="dxa"/>
              <w:right w:w="100" w:type="dxa"/>
            </w:tcMar>
          </w:tcPr>
          <w:p>
            <w:pPr>
              <w:spacing w:before="60" w:after="60" w:line="276" w:lineRule="auto"/>
              <w:jc w:val="left"/>
            </w:pPr>
            <w:r>
              <w:rPr>
                <w:rFonts w:ascii="Times New Roman" w:hAnsi="Times New Roman"/>
                <w:b/>
                <w:i w:val="0"/>
                <w:color w:val="262626"/>
                <w:sz w:val="22"/>
              </w:rPr>
              <w:t>C</w:t>
            </w:r>
          </w:p>
        </w:tc>
        <w:tc>
          <w:tcPr>
            <w:tcW w:type="dxa" w:w="1296"/>
            <w:shd w:val="clear" w:color="auto" w:fill="F9FBFC"/>
            <w:tcMar>
              <w:top w:w="60" w:type="dxa"/>
              <w:left w:w="100" w:type="dxa"/>
              <w:bottom w:w="60" w:type="dxa"/>
              <w:right w:w="100" w:type="dxa"/>
            </w:tcMar>
          </w:tcPr>
          <w:p>
            <w:pPr>
              <w:spacing w:before="60" w:after="60" w:line="276" w:lineRule="auto"/>
              <w:jc w:val="left"/>
            </w:pPr>
            <w:r>
              <w:rPr>
                <w:rFonts w:ascii="Times New Roman" w:hAnsi="Times New Roman"/>
                <w:b/>
                <w:i w:val="0"/>
                <w:color w:val="262626"/>
                <w:sz w:val="22"/>
              </w:rPr>
              <w:t>C</w:t>
            </w:r>
          </w:p>
        </w:tc>
        <w:tc>
          <w:tcPr>
            <w:tcW w:type="dxa" w:w="1296"/>
            <w:shd w:val="clear" w:color="auto" w:fill="F9FBFC"/>
            <w:tcMar>
              <w:top w:w="60" w:type="dxa"/>
              <w:left w:w="100" w:type="dxa"/>
              <w:bottom w:w="60" w:type="dxa"/>
              <w:right w:w="100" w:type="dxa"/>
            </w:tcMar>
          </w:tcPr>
          <w:p>
            <w:pPr>
              <w:spacing w:before="60" w:after="60" w:line="276" w:lineRule="auto"/>
              <w:jc w:val="left"/>
            </w:pPr>
            <w:r>
              <w:rPr>
                <w:rFonts w:ascii="Times New Roman" w:hAnsi="Times New Roman"/>
                <w:b w:val="0"/>
                <w:i w:val="0"/>
                <w:color w:val="262626"/>
                <w:sz w:val="22"/>
              </w:rPr>
              <w:t>-</w:t>
            </w:r>
          </w:p>
        </w:tc>
      </w:tr>
      <w:tr>
        <w:tc>
          <w:tcPr>
            <w:tcW w:type="dxa" w:w="1296"/>
            <w:tcMar>
              <w:top w:w="60" w:type="dxa"/>
              <w:left w:w="100" w:type="dxa"/>
              <w:bottom w:w="60" w:type="dxa"/>
              <w:right w:w="100" w:type="dxa"/>
            </w:tcMar>
          </w:tcPr>
          <w:p>
            <w:pPr>
              <w:spacing w:before="60" w:after="60" w:line="276" w:lineRule="auto"/>
              <w:jc w:val="left"/>
            </w:pPr>
            <w:r>
              <w:rPr>
                <w:rFonts w:ascii="Times New Roman" w:hAnsi="Times New Roman"/>
                <w:b w:val="0"/>
                <w:i w:val="0"/>
                <w:color w:val="262626"/>
                <w:sz w:val="22"/>
              </w:rPr>
              <w:t>Nghiệm thu bàn giao đưa vào sử dụng</w:t>
            </w:r>
          </w:p>
        </w:tc>
        <w:tc>
          <w:tcPr>
            <w:tcW w:type="dxa" w:w="1296"/>
            <w:tcMar>
              <w:top w:w="60" w:type="dxa"/>
              <w:left w:w="100" w:type="dxa"/>
              <w:bottom w:w="60" w:type="dxa"/>
              <w:right w:w="100" w:type="dxa"/>
            </w:tcMar>
          </w:tcPr>
          <w:p>
            <w:pPr>
              <w:spacing w:before="60" w:after="60" w:line="276" w:lineRule="auto"/>
              <w:jc w:val="left"/>
            </w:pPr>
            <w:r>
              <w:rPr>
                <w:rFonts w:ascii="Times New Roman" w:hAnsi="Times New Roman"/>
                <w:b/>
                <w:i w:val="0"/>
                <w:color w:val="262626"/>
                <w:sz w:val="22"/>
              </w:rPr>
              <w:t>A</w:t>
            </w:r>
          </w:p>
        </w:tc>
        <w:tc>
          <w:tcPr>
            <w:tcW w:type="dxa" w:w="1296"/>
            <w:tcMar>
              <w:top w:w="60" w:type="dxa"/>
              <w:left w:w="100" w:type="dxa"/>
              <w:bottom w:w="60" w:type="dxa"/>
              <w:right w:w="100" w:type="dxa"/>
            </w:tcMar>
          </w:tcPr>
          <w:p>
            <w:pPr>
              <w:spacing w:before="60" w:after="60" w:line="276" w:lineRule="auto"/>
              <w:jc w:val="left"/>
            </w:pPr>
            <w:r>
              <w:rPr>
                <w:rFonts w:ascii="Times New Roman" w:hAnsi="Times New Roman"/>
                <w:b/>
                <w:i w:val="0"/>
                <w:color w:val="262626"/>
                <w:sz w:val="22"/>
              </w:rPr>
              <w:t>R</w:t>
            </w:r>
          </w:p>
        </w:tc>
        <w:tc>
          <w:tcPr>
            <w:tcW w:type="dxa" w:w="1296"/>
            <w:tcMar>
              <w:top w:w="60" w:type="dxa"/>
              <w:left w:w="100" w:type="dxa"/>
              <w:bottom w:w="60" w:type="dxa"/>
              <w:right w:w="100" w:type="dxa"/>
            </w:tcMar>
          </w:tcPr>
          <w:p>
            <w:pPr>
              <w:spacing w:before="60" w:after="60" w:line="276" w:lineRule="auto"/>
              <w:jc w:val="left"/>
            </w:pPr>
            <w:r>
              <w:rPr>
                <w:rFonts w:ascii="Times New Roman" w:hAnsi="Times New Roman"/>
                <w:b/>
                <w:i w:val="0"/>
                <w:color w:val="262626"/>
                <w:sz w:val="22"/>
              </w:rPr>
              <w:t>C</w:t>
            </w:r>
          </w:p>
        </w:tc>
        <w:tc>
          <w:tcPr>
            <w:tcW w:type="dxa" w:w="1296"/>
            <w:tcMar>
              <w:top w:w="60" w:type="dxa"/>
              <w:left w:w="100" w:type="dxa"/>
              <w:bottom w:w="60" w:type="dxa"/>
              <w:right w:w="100" w:type="dxa"/>
            </w:tcMar>
          </w:tcPr>
          <w:p>
            <w:pPr>
              <w:spacing w:before="60" w:after="60" w:line="276" w:lineRule="auto"/>
              <w:jc w:val="left"/>
            </w:pPr>
            <w:r>
              <w:rPr>
                <w:rFonts w:ascii="Times New Roman" w:hAnsi="Times New Roman"/>
                <w:b/>
                <w:i w:val="0"/>
                <w:color w:val="262626"/>
                <w:sz w:val="22"/>
              </w:rPr>
              <w:t>C</w:t>
            </w:r>
          </w:p>
        </w:tc>
        <w:tc>
          <w:tcPr>
            <w:tcW w:type="dxa" w:w="1296"/>
            <w:tcMar>
              <w:top w:w="60" w:type="dxa"/>
              <w:left w:w="100" w:type="dxa"/>
              <w:bottom w:w="60" w:type="dxa"/>
              <w:right w:w="100" w:type="dxa"/>
            </w:tcMar>
          </w:tcPr>
          <w:p>
            <w:pPr>
              <w:spacing w:before="60" w:after="60" w:line="276" w:lineRule="auto"/>
              <w:jc w:val="left"/>
            </w:pPr>
            <w:r>
              <w:rPr>
                <w:rFonts w:ascii="Times New Roman" w:hAnsi="Times New Roman"/>
                <w:b/>
                <w:i w:val="0"/>
                <w:color w:val="262626"/>
                <w:sz w:val="22"/>
              </w:rPr>
              <w:t>C</w:t>
            </w:r>
          </w:p>
        </w:tc>
        <w:tc>
          <w:tcPr>
            <w:tcW w:type="dxa" w:w="1296"/>
            <w:tcMar>
              <w:top w:w="60" w:type="dxa"/>
              <w:left w:w="100" w:type="dxa"/>
              <w:bottom w:w="60" w:type="dxa"/>
              <w:right w:w="100" w:type="dxa"/>
            </w:tcMar>
          </w:tcPr>
          <w:p>
            <w:pPr>
              <w:spacing w:before="60" w:after="60" w:line="276" w:lineRule="auto"/>
              <w:jc w:val="left"/>
            </w:pPr>
            <w:r>
              <w:rPr>
                <w:rFonts w:ascii="Times New Roman" w:hAnsi="Times New Roman"/>
                <w:b/>
                <w:i w:val="0"/>
                <w:color w:val="262626"/>
                <w:sz w:val="22"/>
              </w:rPr>
              <w:t>I</w:t>
            </w:r>
          </w:p>
        </w:tc>
      </w:tr>
    </w:tbl>
    <w:p>
      <w:pPr>
        <w:spacing w:before="0" w:after="120"/>
      </w:pPr>
    </w:p>
    <w:p>
      <w:pPr>
        <w:spacing w:before="40" w:after="80" w:line="336" w:lineRule="auto"/>
        <w:ind w:firstLine="432"/>
      </w:pPr>
      <w:r>
        <w:rPr>
          <w:rFonts w:ascii="Times New Roman" w:hAnsi="Times New Roman"/>
          <w:b w:val="0"/>
          <w:i/>
          <w:color w:val="262626"/>
          <w:sz w:val="26"/>
        </w:rPr>
        <w:t>Ghi chú ký hiệu RACI:</w:t>
      </w:r>
    </w:p>
    <w:p>
      <w:pPr>
        <w:spacing w:before="20" w:after="60" w:line="324" w:lineRule="auto"/>
        <w:ind w:left="360"/>
      </w:pPr>
      <w:r>
        <w:rPr>
          <w:rFonts w:ascii="Times New Roman" w:hAnsi="Times New Roman"/>
          <w:b/>
          <w:color w:val="002060"/>
          <w:sz w:val="22"/>
        </w:rPr>
        <w:t xml:space="preserve">•  </w:t>
      </w:r>
      <w:r>
        <w:rPr>
          <w:rFonts w:ascii="Times New Roman" w:hAnsi="Times New Roman"/>
          <w:b/>
          <w:i w:val="0"/>
          <w:color w:val="262626"/>
          <w:sz w:val="25"/>
        </w:rPr>
        <w:t>R (Responsible):</w:t>
      </w:r>
      <w:r>
        <w:rPr>
          <w:rFonts w:ascii="Times New Roman" w:hAnsi="Times New Roman"/>
          <w:b w:val="0"/>
          <w:i w:val="0"/>
          <w:color w:val="262626"/>
          <w:sz w:val="25"/>
        </w:rPr>
        <w:t xml:space="preserve"> Người trực tiếp thực hiện công việc.</w:t>
      </w:r>
    </w:p>
    <w:p>
      <w:pPr>
        <w:spacing w:before="20" w:after="60" w:line="324" w:lineRule="auto"/>
        <w:ind w:left="360"/>
      </w:pPr>
      <w:r>
        <w:rPr>
          <w:rFonts w:ascii="Times New Roman" w:hAnsi="Times New Roman"/>
          <w:b/>
          <w:color w:val="002060"/>
          <w:sz w:val="22"/>
        </w:rPr>
        <w:t xml:space="preserve">•  </w:t>
      </w:r>
      <w:r>
        <w:rPr>
          <w:rFonts w:ascii="Times New Roman" w:hAnsi="Times New Roman"/>
          <w:b/>
          <w:i w:val="0"/>
          <w:color w:val="262626"/>
          <w:sz w:val="25"/>
        </w:rPr>
        <w:t>A (Accountable):</w:t>
      </w:r>
      <w:r>
        <w:rPr>
          <w:rFonts w:ascii="Times New Roman" w:hAnsi="Times New Roman"/>
          <w:b w:val="0"/>
          <w:i w:val="0"/>
          <w:color w:val="262626"/>
          <w:sz w:val="25"/>
        </w:rPr>
        <w:t xml:space="preserve"> Người chịu trách nhiệm phê duyệt cuối cùng (duy nhất 1 bên).</w:t>
      </w:r>
    </w:p>
    <w:p>
      <w:pPr>
        <w:spacing w:before="20" w:after="60" w:line="324" w:lineRule="auto"/>
        <w:ind w:left="360"/>
      </w:pPr>
      <w:r>
        <w:rPr>
          <w:rFonts w:ascii="Times New Roman" w:hAnsi="Times New Roman"/>
          <w:b/>
          <w:color w:val="002060"/>
          <w:sz w:val="22"/>
        </w:rPr>
        <w:t xml:space="preserve">•  </w:t>
      </w:r>
      <w:r>
        <w:rPr>
          <w:rFonts w:ascii="Times New Roman" w:hAnsi="Times New Roman"/>
          <w:b/>
          <w:i w:val="0"/>
          <w:color w:val="262626"/>
          <w:sz w:val="25"/>
        </w:rPr>
        <w:t>C (Consulted):</w:t>
      </w:r>
      <w:r>
        <w:rPr>
          <w:rFonts w:ascii="Times New Roman" w:hAnsi="Times New Roman"/>
          <w:b w:val="0"/>
          <w:i w:val="0"/>
          <w:color w:val="262626"/>
          <w:sz w:val="25"/>
        </w:rPr>
        <w:t xml:space="preserve"> Người được tham vấn ý kiến chuyên môn.</w:t>
      </w:r>
    </w:p>
    <w:p>
      <w:pPr>
        <w:spacing w:before="20" w:after="60" w:line="324" w:lineRule="auto"/>
        <w:ind w:left="360"/>
      </w:pPr>
      <w:r>
        <w:rPr>
          <w:rFonts w:ascii="Times New Roman" w:hAnsi="Times New Roman"/>
          <w:b/>
          <w:color w:val="002060"/>
          <w:sz w:val="22"/>
        </w:rPr>
        <w:t xml:space="preserve">•  </w:t>
      </w:r>
      <w:r>
        <w:rPr>
          <w:rFonts w:ascii="Times New Roman" w:hAnsi="Times New Roman"/>
          <w:b/>
          <w:i w:val="0"/>
          <w:color w:val="262626"/>
          <w:sz w:val="25"/>
        </w:rPr>
        <w:t>I (Informed):</w:t>
      </w:r>
      <w:r>
        <w:rPr>
          <w:rFonts w:ascii="Times New Roman" w:hAnsi="Times New Roman"/>
          <w:b w:val="0"/>
          <w:i w:val="0"/>
          <w:color w:val="262626"/>
          <w:sz w:val="25"/>
        </w:rPr>
        <w:t xml:space="preserve"> Người được thông báo thông tin cập nhật.</w:t>
      </w:r>
    </w:p>
    <w:p>
      <w:pPr>
        <w:spacing w:before="80" w:after="160"/>
        <w:jc w:val="center"/>
      </w:pPr>
      <w:r>
        <w:rPr>
          <w:color w:val="B0C4DE"/>
        </w:rPr>
        <w:t>―――――――――――――――――――――――――――――――――――</w:t>
      </w:r>
    </w:p>
    <w:p>
      <w:pPr>
        <w:keepNext/>
        <w:spacing w:before="240" w:after="120"/>
      </w:pPr>
      <w:r>
        <w:rPr>
          <w:rFonts w:ascii="Times New Roman" w:hAnsi="Times New Roman"/>
          <w:b/>
          <w:color w:val="002060"/>
          <w:sz w:val="28"/>
        </w:rPr>
        <w:t>4. Cơ chế điều phối phối hợp hiệu quả</w:t>
      </w:r>
    </w:p>
    <w:p>
      <w:pPr>
        <w:spacing w:before="40" w:after="80" w:line="336" w:lineRule="auto"/>
        <w:ind w:firstLine="432"/>
      </w:pPr>
      <w:r>
        <w:rPr>
          <w:rFonts w:ascii="Times New Roman" w:hAnsi="Times New Roman"/>
          <w:b w:val="0"/>
          <w:i w:val="0"/>
          <w:color w:val="262626"/>
          <w:sz w:val="26"/>
        </w:rPr>
        <w:t>Để tránh đứt gãy thông tin và xung đột lợi ích, Ban QLDA cần thiết lập:</w:t>
      </w:r>
    </w:p>
    <w:p>
      <w:pPr>
        <w:spacing w:before="40" w:after="80" w:line="324" w:lineRule="auto"/>
        <w:ind w:left="360"/>
      </w:pPr>
      <w:r>
        <w:rPr>
          <w:rFonts w:ascii="Times New Roman" w:hAnsi="Times New Roman"/>
          <w:b/>
          <w:color w:val="002060"/>
          <w:sz w:val="25"/>
        </w:rPr>
        <w:t xml:space="preserve">1. </w:t>
      </w:r>
      <w:r>
        <w:rPr>
          <w:rFonts w:ascii="Times New Roman" w:hAnsi="Times New Roman"/>
          <w:b/>
          <w:i w:val="0"/>
          <w:color w:val="262626"/>
          <w:sz w:val="25"/>
        </w:rPr>
        <w:t>Chế độ họp giao ban định kỳ và đột xuất:</w:t>
      </w:r>
      <w:r>
        <w:rPr>
          <w:rFonts w:ascii="Times New Roman" w:hAnsi="Times New Roman"/>
          <w:b w:val="0"/>
          <w:i w:val="0"/>
          <w:color w:val="262626"/>
          <w:sz w:val="25"/>
        </w:rPr>
        <w:t xml:space="preserve"> Họp giao ban tuần tại hiện trường giải quyết dứt điểm các vướng mắc; biên bản giao ban có giá trị pháp lý cam kết thời hạn giải quyết.</w:t>
      </w:r>
    </w:p>
    <w:p>
      <w:pPr>
        <w:spacing w:before="40" w:after="80" w:line="324" w:lineRule="auto"/>
        <w:ind w:left="360"/>
      </w:pPr>
      <w:r>
        <w:rPr>
          <w:rFonts w:ascii="Times New Roman" w:hAnsi="Times New Roman"/>
          <w:b/>
          <w:color w:val="002060"/>
          <w:sz w:val="25"/>
        </w:rPr>
        <w:t xml:space="preserve">2. </w:t>
      </w:r>
      <w:r>
        <w:rPr>
          <w:rFonts w:ascii="Times New Roman" w:hAnsi="Times New Roman"/>
          <w:b/>
          <w:i w:val="0"/>
          <w:color w:val="262626"/>
          <w:sz w:val="25"/>
        </w:rPr>
        <w:t>Quy trình RFI chuẩn hóa:</w:t>
      </w:r>
      <w:r>
        <w:rPr>
          <w:rFonts w:ascii="Times New Roman" w:hAnsi="Times New Roman"/>
          <w:b w:val="0"/>
          <w:i w:val="0"/>
          <w:color w:val="262626"/>
          <w:sz w:val="25"/>
        </w:rPr>
        <w:t xml:space="preserve"> Quy định rõ thời gian tối đa để Tư vấn thiết kế và Ban QLDA trả lời văn bản RFI của nhà thầu (ví dụ: không quá 48 - 72 giờ).</w:t>
      </w:r>
    </w:p>
    <w:p>
      <w:pPr>
        <w:spacing w:before="40" w:after="80" w:line="324" w:lineRule="auto"/>
        <w:ind w:left="360"/>
      </w:pPr>
      <w:r>
        <w:rPr>
          <w:rFonts w:ascii="Times New Roman" w:hAnsi="Times New Roman"/>
          <w:b/>
          <w:color w:val="002060"/>
          <w:sz w:val="25"/>
        </w:rPr>
        <w:t xml:space="preserve">3. </w:t>
      </w:r>
      <w:r>
        <w:rPr>
          <w:rFonts w:ascii="Times New Roman" w:hAnsi="Times New Roman"/>
          <w:b/>
          <w:i w:val="0"/>
          <w:color w:val="262626"/>
          <w:sz w:val="25"/>
        </w:rPr>
        <w:t>Môi trường dữ liệu chung (Common Data Environment - CDE):</w:t>
      </w:r>
      <w:r>
        <w:rPr>
          <w:rFonts w:ascii="Times New Roman" w:hAnsi="Times New Roman"/>
          <w:b w:val="0"/>
          <w:i w:val="0"/>
          <w:color w:val="262626"/>
          <w:sz w:val="25"/>
        </w:rPr>
        <w:t xml:space="preserve"> Toàn bộ bản vẽ, hồ sơ đệ trình, biên bản nghiệm thu được cập nhật tập trung trên nền tảng số hóa (như Autodesk Construction Cloud, BIM 360), loại bỏ tình trạng thi công theo bản vẽ cũ chưa cập nhật.</w:t>
      </w:r>
    </w:p>
    <w:p>
      <w:pPr>
        <w:spacing w:before="80" w:after="160"/>
        <w:jc w:val="center"/>
      </w:pPr>
      <w:r>
        <w:rPr>
          <w:color w:val="B0C4DE"/>
        </w:rPr>
        <w:t>―――――――――――――――――――――――――――――――――――</w:t>
      </w:r>
    </w:p>
    <w:p>
      <w:r>
        <w:br w:type="page"/>
      </w:r>
    </w:p>
    <w:p>
      <w:pPr>
        <w:keepNext/>
        <w:spacing w:before="280" w:after="200"/>
        <w:jc w:val="center"/>
      </w:pPr>
      <w:r>
        <w:rPr>
          <w:rFonts w:ascii="Times New Roman" w:hAnsi="Times New Roman"/>
          <w:b/>
          <w:color w:val="002060"/>
          <w:sz w:val="32"/>
        </w:rPr>
        <w:t>CÂU 4 (TRỌNG TÂM - ĐIỂM TỐI ĐA): THIẾT KẾ, THI CÔNG VÀ CUNG ỨNG VẬT LIỆU LIÊN TỤC KHÔNG ĐỒNG BỘ. XÁC ĐỊNH VẤN ĐỀ QUẢN LÝ VÀ GIẢI PHÁP</w:t>
      </w:r>
    </w:p>
    <w:p>
      <w:pPr>
        <w:keepNext/>
        <w:spacing w:before="240" w:after="120"/>
      </w:pPr>
      <w:r>
        <w:rPr>
          <w:rFonts w:ascii="Times New Roman" w:hAnsi="Times New Roman"/>
          <w:b/>
          <w:color w:val="002060"/>
          <w:sz w:val="28"/>
        </w:rPr>
        <w:t>1. Bổ sung ngữ cảnh tình huống công trình thực tế</w:t>
      </w:r>
    </w:p>
    <w:p>
      <w:pPr>
        <w:spacing w:before="20" w:after="60" w:line="324" w:lineRule="auto"/>
        <w:ind w:left="360"/>
      </w:pPr>
      <w:r>
        <w:rPr>
          <w:rFonts w:ascii="Times New Roman" w:hAnsi="Times New Roman"/>
          <w:b/>
          <w:color w:val="002060"/>
          <w:sz w:val="22"/>
        </w:rPr>
        <w:t xml:space="preserve">•  </w:t>
      </w:r>
      <w:r>
        <w:rPr>
          <w:rFonts w:ascii="Times New Roman" w:hAnsi="Times New Roman"/>
          <w:b/>
          <w:i w:val="0"/>
          <w:color w:val="262626"/>
          <w:sz w:val="25"/>
        </w:rPr>
        <w:t>Tình huống điển hình tại các dự án giao thông - hạ tầng Việt Nam:</w:t>
      </w:r>
    </w:p>
    <w:p>
      <w:pPr>
        <w:spacing w:before="40" w:after="80" w:line="336" w:lineRule="auto"/>
        <w:ind w:firstLine="432"/>
      </w:pPr>
      <w:r>
        <w:rPr>
          <w:rFonts w:ascii="Times New Roman" w:hAnsi="Times New Roman"/>
          <w:b w:val="0"/>
          <w:i w:val="0"/>
          <w:color w:val="262626"/>
          <w:sz w:val="26"/>
        </w:rPr>
        <w:t>Một công trình cầu vượt hoặc tuyến đường cao tốc đang triển khai. Trên công trường, ba mắt xích then chốt rơi vào tình trạng lệch pha trầm trọng:</w:t>
      </w:r>
    </w:p>
    <w:p>
      <w:pPr>
        <w:spacing w:before="20" w:after="60" w:line="324" w:lineRule="auto"/>
        <w:ind w:left="360"/>
      </w:pPr>
      <w:r>
        <w:rPr>
          <w:rFonts w:ascii="Times New Roman" w:hAnsi="Times New Roman"/>
          <w:b/>
          <w:color w:val="002060"/>
          <w:sz w:val="22"/>
        </w:rPr>
        <w:t xml:space="preserve">•  </w:t>
      </w:r>
      <w:r>
        <w:rPr>
          <w:rFonts w:ascii="Times New Roman" w:hAnsi="Times New Roman"/>
          <w:b/>
          <w:i w:val="0"/>
          <w:color w:val="262626"/>
          <w:sz w:val="25"/>
        </w:rPr>
        <w:t>Về phía Thiết kế:</w:t>
      </w:r>
      <w:r>
        <w:rPr>
          <w:rFonts w:ascii="Times New Roman" w:hAnsi="Times New Roman"/>
          <w:b w:val="0"/>
          <w:i w:val="0"/>
          <w:color w:val="262626"/>
          <w:sz w:val="25"/>
        </w:rPr>
        <w:t xml:space="preserve"> Bản vẽ cọc khoan nhồi và mố trụ đã phát hành, nhưng bản vẽ dầm Super-T và kết cấu phần trên liên tục bị sửa đổi do thay đổi tĩnh không thoát nước hoặc sai lệch khảo sát địa hình.</w:t>
      </w:r>
    </w:p>
    <w:p>
      <w:pPr>
        <w:spacing w:before="20" w:after="60" w:line="324" w:lineRule="auto"/>
        <w:ind w:left="360"/>
      </w:pPr>
      <w:r>
        <w:rPr>
          <w:rFonts w:ascii="Times New Roman" w:hAnsi="Times New Roman"/>
          <w:b/>
          <w:color w:val="002060"/>
          <w:sz w:val="22"/>
        </w:rPr>
        <w:t xml:space="preserve">•  </w:t>
      </w:r>
      <w:r>
        <w:rPr>
          <w:rFonts w:ascii="Times New Roman" w:hAnsi="Times New Roman"/>
          <w:b/>
          <w:i w:val="0"/>
          <w:color w:val="262626"/>
          <w:sz w:val="25"/>
        </w:rPr>
        <w:t>Về phía Thi công:</w:t>
      </w:r>
      <w:r>
        <w:rPr>
          <w:rFonts w:ascii="Times New Roman" w:hAnsi="Times New Roman"/>
          <w:b w:val="0"/>
          <w:i w:val="0"/>
          <w:color w:val="262626"/>
          <w:sz w:val="25"/>
        </w:rPr>
        <w:t xml:space="preserve"> Nhà thầu đã huy động máy khoan cọc, trạm trộn bê tông và công nhân ra công trường nhưng phải dừng chờ bản vẽ chi tiết; một số hạng mục đã thi công xong lại có nguy cơ phải đập bỏ do thiết kế điều chỉnh.</w:t>
      </w:r>
    </w:p>
    <w:p>
      <w:pPr>
        <w:spacing w:before="20" w:after="60" w:line="324" w:lineRule="auto"/>
        <w:ind w:left="360"/>
      </w:pPr>
      <w:r>
        <w:rPr>
          <w:rFonts w:ascii="Times New Roman" w:hAnsi="Times New Roman"/>
          <w:b/>
          <w:color w:val="002060"/>
          <w:sz w:val="22"/>
        </w:rPr>
        <w:t xml:space="preserve">•  </w:t>
      </w:r>
      <w:r>
        <w:rPr>
          <w:rFonts w:ascii="Times New Roman" w:hAnsi="Times New Roman"/>
          <w:b/>
          <w:i w:val="0"/>
          <w:color w:val="262626"/>
          <w:sz w:val="25"/>
        </w:rPr>
        <w:t>Về phía Cung ứng vật liệu:</w:t>
      </w:r>
      <w:r>
        <w:rPr>
          <w:rFonts w:ascii="Times New Roman" w:hAnsi="Times New Roman"/>
          <w:b w:val="0"/>
          <w:i w:val="0"/>
          <w:color w:val="262626"/>
          <w:sz w:val="25"/>
        </w:rPr>
        <w:t xml:space="preserve"> Thép và cáp dự ứng lực nhập khẩu về ồ ạt nhưng không có mặt bằng lắp đặt, phải lưu bãi gây gỉ sét và đọng vốn; ngược lại, nguồn cát đắp nền đường và đá dăm cấp phối lại thiếu hụt nghiêm trọng do khủng hoảng mỏ vật liệu, làm đình trệ toàn bộ dây chuyền thảm bê tông nhựa.</w:t>
      </w:r>
    </w:p>
    <w:p>
      <w:pPr>
        <w:spacing w:before="80" w:after="160"/>
        <w:jc w:val="center"/>
      </w:pPr>
      <w:r>
        <w:rPr>
          <w:color w:val="B0C4DE"/>
        </w:rPr>
        <w:t>―――――――――――――――――――――――――――――――――――</w:t>
      </w:r>
    </w:p>
    <w:p>
      <w:pPr>
        <w:keepNext/>
        <w:spacing w:before="240" w:after="120"/>
      </w:pPr>
      <w:r>
        <w:rPr>
          <w:rFonts w:ascii="Times New Roman" w:hAnsi="Times New Roman"/>
          <w:b/>
          <w:color w:val="002060"/>
          <w:sz w:val="28"/>
        </w:rPr>
        <w:t>2. Xác định các vấn đề quản lý cốt lõi (Root Causes Identification)</w:t>
      </w:r>
    </w:p>
    <w:p>
      <w:pPr>
        <w:spacing w:before="40" w:after="80" w:line="336" w:lineRule="auto"/>
        <w:ind w:firstLine="432"/>
      </w:pPr>
      <w:r>
        <w:rPr>
          <w:rFonts w:ascii="Times New Roman" w:hAnsi="Times New Roman"/>
          <w:b w:val="0"/>
          <w:i w:val="0"/>
          <w:color w:val="262626"/>
          <w:sz w:val="26"/>
        </w:rPr>
        <w:t>Sử dụng sơ đồ xương cá (Ishikawa Diagram) để phân tích nguyên nhân gốc rễ dẫn đến sự mất đồng bộ:</w:t>
      </w:r>
    </w:p>
    <w:p>
      <w:pPr>
        <w:spacing w:before="80" w:after="120" w:line="264" w:lineRule="auto"/>
        <w:ind w:left="288"/>
      </w:pPr>
      <w:r>
        <w:rPr>
          <w:rFonts w:ascii="Consolas" w:hAnsi="Consolas"/>
          <w:color w:val="282828"/>
          <w:sz w:val="20"/>
        </w:rPr>
        <w:t>[CON NGƯỜI &amp; TỔ CHỨC]             [KỸ THUẬT &amp; THIẾT KẾ]</w:t>
        <w:br/>
        <w:t xml:space="preserve">    Thiếu điều phối viên giao diện      Khảo sát địa chất sơ sài</w:t>
        <w:br/>
        <w:t xml:space="preserve">    Quy trình phê duyệt nhiều tầng      Bản vẽ sai sót, thiếu chi tiết</w:t>
        <w:br/>
        <w:t xml:space="preserve">          \                                   /</w:t>
        <w:br/>
        <w:t xml:space="preserve">           \                                 /</w:t>
        <w:br/>
        <w:t xml:space="preserve">            ---------------------------------</w:t>
        <w:br/>
        <w:t xml:space="preserve">           /                                 \</w:t>
        <w:br/>
        <w:t xml:space="preserve">          /                                   \</w:t>
        <w:br/>
        <w:t xml:space="preserve">  Dự báo nhu cầu sai                  Hợp đồng thiếu chia sẻ rủi ro</w:t>
        <w:br/>
        <w:t xml:space="preserve">  Không tích hợp lead-time             Cơ chế trượt giá chậm chạp</w:t>
        <w:br/>
        <w:t>[CHUỖI CUNG ỨNG &amp; VẬT LIỆU]           [HỢP ĐỒNG &amp; TÀI CHÍNH]</w:t>
        <w:br/>
        <w:t xml:space="preserve">                                                    |</w:t>
        <w:br/>
        <w:t xml:space="preserve">                                                    v</w:t>
        <w:br/>
        <w:t xml:space="preserve">                                  ==&gt; [MẤT ĐỒNG BỘ THIẾT KẾ - THI CÔNG - CUNG ỨNG]</w:t>
      </w:r>
    </w:p>
    <w:p>
      <w:pPr>
        <w:keepNext/>
        <w:spacing w:before="160" w:after="80"/>
      </w:pPr>
      <w:r>
        <w:rPr>
          <w:rFonts w:ascii="Times New Roman" w:hAnsi="Times New Roman"/>
          <w:b/>
          <w:color w:val="1F4E79"/>
          <w:sz w:val="26"/>
        </w:rPr>
        <w:t>2.1. Lỗ hổng trong Quản lý giao diện (Interface Management Breakdown)</w:t>
      </w:r>
    </w:p>
    <w:p>
      <w:pPr>
        <w:spacing w:before="20" w:after="60" w:line="324" w:lineRule="auto"/>
        <w:ind w:left="360"/>
      </w:pPr>
      <w:r>
        <w:rPr>
          <w:rFonts w:ascii="Times New Roman" w:hAnsi="Times New Roman"/>
          <w:b/>
          <w:color w:val="002060"/>
          <w:sz w:val="22"/>
        </w:rPr>
        <w:t xml:space="preserve">•  </w:t>
      </w:r>
      <w:r>
        <w:rPr>
          <w:rFonts w:ascii="Times New Roman" w:hAnsi="Times New Roman"/>
          <w:b w:val="0"/>
          <w:i w:val="0"/>
          <w:color w:val="262626"/>
          <w:sz w:val="25"/>
        </w:rPr>
        <w:t>Ban QLDA vận hành theo lối "tư duy cục bộ" (Silo Mentality). Bộ phận quản lý thiết kế, bộ phận điều hành hiện trường và bộ phận quản lý vật tư/hợp đồng hoạt động tách rời, không có người chịu trách nhiệm tổng thể về điều phối giao diện.</w:t>
      </w:r>
    </w:p>
    <w:p>
      <w:pPr>
        <w:spacing w:before="20" w:after="60" w:line="324" w:lineRule="auto"/>
        <w:ind w:left="360"/>
      </w:pPr>
      <w:r>
        <w:rPr>
          <w:rFonts w:ascii="Times New Roman" w:hAnsi="Times New Roman"/>
          <w:b/>
          <w:color w:val="002060"/>
          <w:sz w:val="22"/>
        </w:rPr>
        <w:t xml:space="preserve">•  </w:t>
      </w:r>
      <w:r>
        <w:rPr>
          <w:rFonts w:ascii="Times New Roman" w:hAnsi="Times New Roman"/>
          <w:b w:val="0"/>
          <w:i w:val="0"/>
          <w:color w:val="262626"/>
          <w:sz w:val="25"/>
        </w:rPr>
        <w:t>Quy trình đệ trình và phê duyệt vật liệu (Material Submittal Workflow) quá rườm rà: Mẫu vật liệu qua Tư vấn giám sát → Phòng Kỹ thuật Ban QLDA → Lãnh đạo Ban QLDA phê duyệt, kéo dài hàng tháng, làm lỡ thời điểm đặt hàng của nhà thầu.</w:t>
      </w:r>
    </w:p>
    <w:p>
      <w:pPr>
        <w:keepNext/>
        <w:spacing w:before="160" w:after="80"/>
      </w:pPr>
      <w:r>
        <w:rPr>
          <w:rFonts w:ascii="Times New Roman" w:hAnsi="Times New Roman"/>
          <w:b/>
          <w:color w:val="1F4E79"/>
          <w:sz w:val="26"/>
        </w:rPr>
        <w:t>2.2. Tiến độ quản lý phân mảnh, thiếu tích hợp (Fragmented Scheduling)</w:t>
      </w:r>
    </w:p>
    <w:p>
      <w:pPr>
        <w:spacing w:before="20" w:after="60" w:line="324" w:lineRule="auto"/>
        <w:ind w:left="360"/>
      </w:pPr>
      <w:r>
        <w:rPr>
          <w:rFonts w:ascii="Times New Roman" w:hAnsi="Times New Roman"/>
          <w:b/>
          <w:color w:val="002060"/>
          <w:sz w:val="22"/>
        </w:rPr>
        <w:t xml:space="preserve">•  </w:t>
      </w:r>
      <w:r>
        <w:rPr>
          <w:rFonts w:ascii="Times New Roman" w:hAnsi="Times New Roman"/>
          <w:b w:val="0"/>
          <w:i w:val="0"/>
          <w:color w:val="262626"/>
          <w:sz w:val="25"/>
        </w:rPr>
        <w:t>Dự án tồn tại 3 bản tiến độ riêng lẻ không kết nối:</w:t>
      </w:r>
    </w:p>
    <w:p>
      <w:pPr>
        <w:spacing w:before="20" w:after="60" w:line="324" w:lineRule="auto"/>
        <w:ind w:left="360"/>
      </w:pPr>
      <w:r>
        <w:rPr>
          <w:rFonts w:ascii="Times New Roman" w:hAnsi="Times New Roman"/>
          <w:b/>
          <w:color w:val="002060"/>
          <w:sz w:val="22"/>
        </w:rPr>
        <w:t xml:space="preserve">•  </w:t>
      </w:r>
      <w:r>
        <w:rPr>
          <w:rFonts w:ascii="Times New Roman" w:hAnsi="Times New Roman"/>
          <w:b w:val="0"/>
          <w:i w:val="0"/>
          <w:color w:val="262626"/>
          <w:sz w:val="25"/>
        </w:rPr>
        <w:t>Tiến độ giao nộp bản vẽ thiết kế (Design Deliverable Schedule).</w:t>
      </w:r>
    </w:p>
    <w:p>
      <w:pPr>
        <w:spacing w:before="20" w:after="60" w:line="324" w:lineRule="auto"/>
        <w:ind w:left="360"/>
      </w:pPr>
      <w:r>
        <w:rPr>
          <w:rFonts w:ascii="Times New Roman" w:hAnsi="Times New Roman"/>
          <w:b/>
          <w:color w:val="002060"/>
          <w:sz w:val="22"/>
        </w:rPr>
        <w:t xml:space="preserve">•  </w:t>
      </w:r>
      <w:r>
        <w:rPr>
          <w:rFonts w:ascii="Times New Roman" w:hAnsi="Times New Roman"/>
          <w:b w:val="0"/>
          <w:i w:val="0"/>
          <w:color w:val="262626"/>
          <w:sz w:val="25"/>
        </w:rPr>
        <w:t>Tiến độ mua sắm, vận chuyển vật tư (Procurement &amp; Logistics Schedule).</w:t>
      </w:r>
    </w:p>
    <w:p>
      <w:pPr>
        <w:spacing w:before="20" w:after="60" w:line="324" w:lineRule="auto"/>
        <w:ind w:left="360"/>
      </w:pPr>
      <w:r>
        <w:rPr>
          <w:rFonts w:ascii="Times New Roman" w:hAnsi="Times New Roman"/>
          <w:b/>
          <w:color w:val="002060"/>
          <w:sz w:val="22"/>
        </w:rPr>
        <w:t xml:space="preserve">•  </w:t>
      </w:r>
      <w:r>
        <w:rPr>
          <w:rFonts w:ascii="Times New Roman" w:hAnsi="Times New Roman"/>
          <w:b w:val="0"/>
          <w:i w:val="0"/>
          <w:color w:val="262626"/>
          <w:sz w:val="25"/>
        </w:rPr>
        <w:t>Tiến độ thi công xây lắp (Construction Baseline Schedule).</w:t>
      </w:r>
    </w:p>
    <w:p>
      <w:pPr>
        <w:spacing w:before="20" w:after="60" w:line="324" w:lineRule="auto"/>
        <w:ind w:left="360"/>
      </w:pPr>
      <w:r>
        <w:rPr>
          <w:rFonts w:ascii="Times New Roman" w:hAnsi="Times New Roman"/>
          <w:b/>
          <w:color w:val="002060"/>
          <w:sz w:val="22"/>
        </w:rPr>
        <w:t xml:space="preserve">•  </w:t>
      </w:r>
      <w:r>
        <w:rPr>
          <w:rFonts w:ascii="Times New Roman" w:hAnsi="Times New Roman"/>
          <w:b w:val="0"/>
          <w:i w:val="0"/>
          <w:color w:val="262626"/>
          <w:sz w:val="25"/>
        </w:rPr>
        <w:t>Không tính toán thời gian chuẩn bị (Lead-time) của các loại vật tư đặc thù (thiết bị nhập khẩu, dầm thép, cáp dự ứng lực cần 8 - 12 tuần sản xuất và thử nghiệm). Khi công trường cần thì vật tư chưa về; khi vật tư về thì mặt bằng chưa sẵn sàng.</w:t>
      </w:r>
    </w:p>
    <w:p>
      <w:pPr>
        <w:keepNext/>
        <w:spacing w:before="160" w:after="80"/>
      </w:pPr>
      <w:r>
        <w:rPr>
          <w:rFonts w:ascii="Times New Roman" w:hAnsi="Times New Roman"/>
          <w:b/>
          <w:color w:val="1F4E79"/>
          <w:sz w:val="26"/>
        </w:rPr>
        <w:t>2.3. Bất cập trong cơ chế Hợp đồng và Quản trị rủi ro trượt giá</w:t>
      </w:r>
    </w:p>
    <w:p>
      <w:pPr>
        <w:spacing w:before="20" w:after="60" w:line="324" w:lineRule="auto"/>
        <w:ind w:left="360"/>
      </w:pPr>
      <w:r>
        <w:rPr>
          <w:rFonts w:ascii="Times New Roman" w:hAnsi="Times New Roman"/>
          <w:b/>
          <w:color w:val="002060"/>
          <w:sz w:val="22"/>
        </w:rPr>
        <w:t xml:space="preserve">•  </w:t>
      </w:r>
      <w:r>
        <w:rPr>
          <w:rFonts w:ascii="Times New Roman" w:hAnsi="Times New Roman"/>
          <w:b w:val="0"/>
          <w:i w:val="0"/>
          <w:color w:val="262626"/>
          <w:sz w:val="25"/>
        </w:rPr>
        <w:t>Áp dụng loại hợp đồng trọn gói hoặc hợp đồng đơn giá cố định trong bối cảnh thị trường vật liệu biến động mạnh (thép, xi măng tăng giá 30-40%). Nhà cung ứng và nhà thầu phụ cố tình trì hoãn giao hàng để chờ đàm phán lại giá, làm đứt gãy chuỗi cung ứng.</w:t>
      </w:r>
    </w:p>
    <w:p>
      <w:pPr>
        <w:spacing w:before="20" w:after="60" w:line="324" w:lineRule="auto"/>
        <w:ind w:left="360"/>
      </w:pPr>
      <w:r>
        <w:rPr>
          <w:rFonts w:ascii="Times New Roman" w:hAnsi="Times New Roman"/>
          <w:b/>
          <w:color w:val="002060"/>
          <w:sz w:val="22"/>
        </w:rPr>
        <w:t xml:space="preserve">•  </w:t>
      </w:r>
      <w:r>
        <w:rPr>
          <w:rFonts w:ascii="Times New Roman" w:hAnsi="Times New Roman"/>
          <w:b w:val="0"/>
          <w:i w:val="0"/>
          <w:color w:val="262626"/>
          <w:sz w:val="25"/>
        </w:rPr>
        <w:t>Chủ đầu tư chậm trễ trong công tác tạm ứng vốn mua sắm vật tư thiết bị dài hạn (Long-lead items).</w:t>
      </w:r>
    </w:p>
    <w:p>
      <w:pPr>
        <w:keepNext/>
        <w:spacing w:before="160" w:after="80"/>
      </w:pPr>
      <w:r>
        <w:rPr>
          <w:rFonts w:ascii="Times New Roman" w:hAnsi="Times New Roman"/>
          <w:b/>
          <w:color w:val="1F4E79"/>
          <w:sz w:val="26"/>
        </w:rPr>
        <w:t>2.4. Thiếu hụt công cụ công nghệ tích hợp</w:t>
      </w:r>
    </w:p>
    <w:p>
      <w:pPr>
        <w:spacing w:before="20" w:after="60" w:line="324" w:lineRule="auto"/>
        <w:ind w:left="360"/>
      </w:pPr>
      <w:r>
        <w:rPr>
          <w:rFonts w:ascii="Times New Roman" w:hAnsi="Times New Roman"/>
          <w:b/>
          <w:color w:val="002060"/>
          <w:sz w:val="22"/>
        </w:rPr>
        <w:t xml:space="preserve">•  </w:t>
      </w:r>
      <w:r>
        <w:rPr>
          <w:rFonts w:ascii="Times New Roman" w:hAnsi="Times New Roman"/>
          <w:b w:val="0"/>
          <w:i w:val="0"/>
          <w:color w:val="262626"/>
          <w:sz w:val="25"/>
        </w:rPr>
        <w:t>Vẫn quản lý tiến độ bằng các bảng biểu Excel rời rạc hoặc sơ đồ Gantt tĩnh, không có khả năng mô phỏng xung đột không gian - thời gian (4D) và dự báo dòng tiền theo tiến độ thực tế (5D).</w:t>
      </w:r>
    </w:p>
    <w:p>
      <w:pPr>
        <w:spacing w:before="80" w:after="160"/>
        <w:jc w:val="center"/>
      </w:pPr>
      <w:r>
        <w:rPr>
          <w:color w:val="B0C4DE"/>
        </w:rPr>
        <w:t>―――――――――――――――――――――――――――――――――――</w:t>
      </w:r>
    </w:p>
    <w:p>
      <w:pPr>
        <w:keepNext/>
        <w:spacing w:before="240" w:after="120"/>
      </w:pPr>
      <w:r>
        <w:rPr>
          <w:rFonts w:ascii="Times New Roman" w:hAnsi="Times New Roman"/>
          <w:b/>
          <w:color w:val="002060"/>
          <w:sz w:val="28"/>
        </w:rPr>
        <w:t>3. Hệ thống giải pháp toàn diện và đột phá (Điểm số tối đa)</w:t>
      </w:r>
    </w:p>
    <w:p>
      <w:pPr>
        <w:spacing w:before="40" w:after="80" w:line="336" w:lineRule="auto"/>
        <w:ind w:firstLine="432"/>
      </w:pPr>
      <w:r>
        <w:rPr>
          <w:rFonts w:ascii="Times New Roman" w:hAnsi="Times New Roman"/>
          <w:b w:val="0"/>
          <w:i w:val="0"/>
          <w:color w:val="262626"/>
          <w:sz w:val="26"/>
        </w:rPr>
        <w:t xml:space="preserve">Để giải quyết triệt để tình trạng mất đồng bộ, cần triển khai đồng thời </w:t>
      </w:r>
      <w:r>
        <w:rPr>
          <w:rFonts w:ascii="Times New Roman" w:hAnsi="Times New Roman"/>
          <w:b/>
          <w:i w:val="0"/>
          <w:color w:val="262626"/>
          <w:sz w:val="26"/>
        </w:rPr>
        <w:t>04 nhóm giải pháp mang tính cấu trúc</w:t>
      </w:r>
      <w:r>
        <w:rPr>
          <w:rFonts w:ascii="Times New Roman" w:hAnsi="Times New Roman"/>
          <w:b w:val="0"/>
          <w:i w:val="0"/>
          <w:color w:val="262626"/>
          <w:sz w:val="26"/>
        </w:rPr>
        <w:t>:</w:t>
      </w:r>
    </w:p>
    <w:p>
      <w:pPr>
        <w:keepNext/>
        <w:spacing w:before="160" w:after="80"/>
      </w:pPr>
      <w:r>
        <w:rPr>
          <w:rFonts w:ascii="Times New Roman" w:hAnsi="Times New Roman"/>
          <w:b/>
          <w:color w:val="1F4E79"/>
          <w:sz w:val="26"/>
        </w:rPr>
        <w:t>3.1. Giải pháp 1: Tích hợp tiến độ tổng thể bằng Phương pháp đường găng CPM cấp 4</w:t>
      </w:r>
    </w:p>
    <w:p>
      <w:pPr>
        <w:spacing w:before="20" w:after="60" w:line="324" w:lineRule="auto"/>
        <w:ind w:left="360"/>
      </w:pPr>
      <w:r>
        <w:rPr>
          <w:rFonts w:ascii="Times New Roman" w:hAnsi="Times New Roman"/>
          <w:b/>
          <w:color w:val="002060"/>
          <w:sz w:val="22"/>
        </w:rPr>
        <w:t xml:space="preserve">•  </w:t>
      </w:r>
      <w:r>
        <w:rPr>
          <w:rFonts w:ascii="Times New Roman" w:hAnsi="Times New Roman"/>
          <w:b w:val="0"/>
          <w:i w:val="0"/>
          <w:color w:val="262626"/>
          <w:sz w:val="25"/>
        </w:rPr>
        <w:t xml:space="preserve">Ban QLDA phải xây dựng một </w:t>
      </w:r>
      <w:r>
        <w:rPr>
          <w:rFonts w:ascii="Times New Roman" w:hAnsi="Times New Roman"/>
          <w:b/>
          <w:i w:val="0"/>
          <w:color w:val="262626"/>
          <w:sz w:val="25"/>
        </w:rPr>
        <w:t>Tiến độ tích hợp tổng thể (Integrated Master Schedule - IMS)</w:t>
      </w:r>
      <w:r>
        <w:rPr>
          <w:rFonts w:ascii="Times New Roman" w:hAnsi="Times New Roman"/>
          <w:b w:val="0"/>
          <w:i w:val="0"/>
          <w:color w:val="262626"/>
          <w:sz w:val="25"/>
        </w:rPr>
        <w:t xml:space="preserve"> trên phần mềm quản lý chuyên nghiệp (Primavera P6 hoặc MS Project Server).</w:t>
      </w:r>
    </w:p>
    <w:p>
      <w:pPr>
        <w:spacing w:before="20" w:after="60" w:line="324" w:lineRule="auto"/>
        <w:ind w:left="360"/>
      </w:pPr>
      <w:r>
        <w:rPr>
          <w:rFonts w:ascii="Times New Roman" w:hAnsi="Times New Roman"/>
          <w:b/>
          <w:color w:val="002060"/>
          <w:sz w:val="22"/>
        </w:rPr>
        <w:t xml:space="preserve">•  </w:t>
      </w:r>
      <w:r>
        <w:rPr>
          <w:rFonts w:ascii="Times New Roman" w:hAnsi="Times New Roman"/>
          <w:b w:val="0"/>
          <w:i w:val="0"/>
          <w:color w:val="262626"/>
          <w:sz w:val="25"/>
        </w:rPr>
        <w:t>Thiết lập mối quan hệ phụ thuộc logic bắt buộc (Logic Ties):</w:t>
      </w:r>
    </w:p>
    <w:p>
      <w:pPr>
        <w:spacing w:before="40" w:after="80" w:line="336" w:lineRule="auto"/>
        <w:ind w:firstLine="432"/>
      </w:pPr>
      <w:r>
        <w:rPr>
          <w:rFonts w:ascii="Times New Roman" w:hAnsi="Times New Roman"/>
          <w:b w:val="0"/>
          <w:i w:val="0"/>
          <w:color w:val="262626"/>
          <w:sz w:val="26"/>
        </w:rPr>
        <w:t>$$\text{Phê duyệt TKBVTC} \xrightarrow{FS + \text{Leadtime}} \text{Ký HĐ Mua sắm &amp; Sản xuất vật tư} \xrightarrow{FS} \text{Vật tư về công trường &amp; Thí nghiệm} \xrightarrow{FS} \text{Bắt đầu thi công lắp đặt}$$</w:t>
      </w:r>
    </w:p>
    <w:p>
      <w:pPr>
        <w:spacing w:before="20" w:after="60" w:line="324" w:lineRule="auto"/>
        <w:ind w:left="360"/>
      </w:pPr>
      <w:r>
        <w:rPr>
          <w:rFonts w:ascii="Times New Roman" w:hAnsi="Times New Roman"/>
          <w:b/>
          <w:color w:val="002060"/>
          <w:sz w:val="22"/>
        </w:rPr>
        <w:t xml:space="preserve">•  </w:t>
      </w:r>
      <w:r>
        <w:rPr>
          <w:rFonts w:ascii="Times New Roman" w:hAnsi="Times New Roman"/>
          <w:b w:val="0"/>
          <w:i w:val="0"/>
          <w:color w:val="262626"/>
          <w:sz w:val="25"/>
        </w:rPr>
        <w:t>Xác định đường găng cung ứng vật tư (Procurement Critical Path) song song với đường găng thi công xây lắp.</w:t>
      </w:r>
    </w:p>
    <w:p>
      <w:pPr>
        <w:keepNext/>
        <w:spacing w:before="160" w:after="80"/>
      </w:pPr>
      <w:r>
        <w:rPr>
          <w:rFonts w:ascii="Times New Roman" w:hAnsi="Times New Roman"/>
          <w:b/>
          <w:color w:val="1F4E79"/>
          <w:sz w:val="26"/>
        </w:rPr>
        <w:t>3.2. Giải pháp 2: Áp dụng Triết lý Xây dựng tinh gọn (Lean Construction) &amp; Hệ thống Last Planner System (LPS)</w:t>
      </w:r>
    </w:p>
    <w:p>
      <w:pPr>
        <w:spacing w:before="20" w:after="60" w:line="324" w:lineRule="auto"/>
        <w:ind w:left="360"/>
      </w:pPr>
      <w:r>
        <w:rPr>
          <w:rFonts w:ascii="Times New Roman" w:hAnsi="Times New Roman"/>
          <w:b/>
          <w:color w:val="002060"/>
          <w:sz w:val="22"/>
        </w:rPr>
        <w:t xml:space="preserve">•  </w:t>
      </w:r>
      <w:r>
        <w:rPr>
          <w:rFonts w:ascii="Times New Roman" w:hAnsi="Times New Roman"/>
          <w:b w:val="0"/>
          <w:i w:val="0"/>
          <w:color w:val="262626"/>
          <w:sz w:val="25"/>
        </w:rPr>
        <w:t>Chuyển từ cơ chế quản lý "Đẩy" (Push - cứ làm theo kế hoạch lý thuyết bất chấp hiện trường) sang cơ chế "Kéo" (Pull Scheduling):</w:t>
      </w:r>
    </w:p>
    <w:p>
      <w:pPr>
        <w:spacing w:before="20" w:after="60" w:line="324" w:lineRule="auto"/>
        <w:ind w:left="360"/>
      </w:pPr>
      <w:r>
        <w:rPr>
          <w:rFonts w:ascii="Times New Roman" w:hAnsi="Times New Roman"/>
          <w:b/>
          <w:color w:val="002060"/>
          <w:sz w:val="22"/>
        </w:rPr>
        <w:t xml:space="preserve">•  </w:t>
      </w:r>
      <w:r>
        <w:rPr>
          <w:rFonts w:ascii="Times New Roman" w:hAnsi="Times New Roman"/>
          <w:b/>
          <w:i w:val="0"/>
          <w:color w:val="262626"/>
          <w:sz w:val="25"/>
        </w:rPr>
        <w:t>Kế hoạch giai đoạn (Phase Scheduling / Pull Planning):</w:t>
      </w:r>
      <w:r>
        <w:rPr>
          <w:rFonts w:ascii="Times New Roman" w:hAnsi="Times New Roman"/>
          <w:b w:val="0"/>
          <w:i w:val="0"/>
          <w:color w:val="262626"/>
          <w:sz w:val="25"/>
        </w:rPr>
        <w:t xml:space="preserve"> Các bên (Thiết kế, Thi công, Cung ứng) cùng ngồi lại xác định các điều kiện tiên quyết cần có để hoàn thành một mốc kiểm soát.</w:t>
      </w:r>
    </w:p>
    <w:p>
      <w:pPr>
        <w:spacing w:before="20" w:after="60" w:line="324" w:lineRule="auto"/>
        <w:ind w:left="360"/>
      </w:pPr>
      <w:r>
        <w:rPr>
          <w:rFonts w:ascii="Times New Roman" w:hAnsi="Times New Roman"/>
          <w:b/>
          <w:color w:val="002060"/>
          <w:sz w:val="22"/>
        </w:rPr>
        <w:t xml:space="preserve">•  </w:t>
      </w:r>
      <w:r>
        <w:rPr>
          <w:rFonts w:ascii="Times New Roman" w:hAnsi="Times New Roman"/>
          <w:b/>
          <w:i w:val="0"/>
          <w:color w:val="262626"/>
          <w:sz w:val="25"/>
        </w:rPr>
        <w:t>Kế hoạch nhìn trước 6 tuần (6-Week Look-Ahead Schedule):</w:t>
      </w:r>
      <w:r>
        <w:rPr>
          <w:rFonts w:ascii="Times New Roman" w:hAnsi="Times New Roman"/>
          <w:b w:val="0"/>
          <w:i w:val="0"/>
          <w:color w:val="262626"/>
          <w:sz w:val="25"/>
        </w:rPr>
        <w:t xml:space="preserve"> Nhận diện trước toàn bộ các "rào cản" (Constraints): Bản vẽ nào chưa duyệt? Thí nghiệm vật liệu nào chưa xong? Mặt bằng nào chưa giải phóng? Tiến hành giải tỏa rào cản (Make-ready process) trước khi công việc bắt đầu 2 tuần.</w:t>
      </w:r>
    </w:p>
    <w:p>
      <w:pPr>
        <w:spacing w:before="20" w:after="60" w:line="324" w:lineRule="auto"/>
        <w:ind w:left="360"/>
      </w:pPr>
      <w:r>
        <w:rPr>
          <w:rFonts w:ascii="Times New Roman" w:hAnsi="Times New Roman"/>
          <w:b/>
          <w:color w:val="002060"/>
          <w:sz w:val="22"/>
        </w:rPr>
        <w:t xml:space="preserve">•  </w:t>
      </w:r>
      <w:r>
        <w:rPr>
          <w:rFonts w:ascii="Times New Roman" w:hAnsi="Times New Roman"/>
          <w:b/>
          <w:i w:val="0"/>
          <w:color w:val="262626"/>
          <w:sz w:val="25"/>
        </w:rPr>
        <w:t>Kế hoạch cam kết hàng tuần (Weekly Work Plan - WWP):</w:t>
      </w:r>
      <w:r>
        <w:rPr>
          <w:rFonts w:ascii="Times New Roman" w:hAnsi="Times New Roman"/>
          <w:b w:val="0"/>
          <w:i w:val="0"/>
          <w:color w:val="262626"/>
          <w:sz w:val="25"/>
        </w:rPr>
        <w:t xml:space="preserve"> Chỉ đưa vào thi công những công tác đã bảo đảm 100% về bản vẽ, vật tư và thiết bị. Đánh giá chỉ số phần trăm kế hoạch hoàn thành (Percent Plan Complete - PPC) để cải tiến liên tục.</w:t>
      </w:r>
    </w:p>
    <w:p>
      <w:pPr>
        <w:keepNext/>
        <w:spacing w:before="160" w:after="80"/>
      </w:pPr>
      <w:r>
        <w:rPr>
          <w:rFonts w:ascii="Times New Roman" w:hAnsi="Times New Roman"/>
          <w:b/>
          <w:color w:val="1F4E79"/>
          <w:sz w:val="26"/>
        </w:rPr>
        <w:t>3.3. Giải pháp 3: Tái cấu trúc hợp đồng và Cơ chế bảo đảm chuỗi cung ứng</w:t>
      </w:r>
    </w:p>
    <w:p>
      <w:pPr>
        <w:spacing w:before="20" w:after="60" w:line="324" w:lineRule="auto"/>
        <w:ind w:left="360"/>
      </w:pPr>
      <w:r>
        <w:rPr>
          <w:rFonts w:ascii="Times New Roman" w:hAnsi="Times New Roman"/>
          <w:b/>
          <w:color w:val="002060"/>
          <w:sz w:val="22"/>
        </w:rPr>
        <w:t xml:space="preserve">•  </w:t>
      </w:r>
      <w:r>
        <w:rPr>
          <w:rFonts w:ascii="Times New Roman" w:hAnsi="Times New Roman"/>
          <w:b/>
          <w:i w:val="0"/>
          <w:color w:val="262626"/>
          <w:sz w:val="25"/>
        </w:rPr>
        <w:t>Tạm ứng mua sắm vật tư chiến lược:</w:t>
      </w:r>
      <w:r>
        <w:rPr>
          <w:rFonts w:ascii="Times New Roman" w:hAnsi="Times New Roman"/>
          <w:b w:val="0"/>
          <w:i w:val="0"/>
          <w:color w:val="262626"/>
          <w:sz w:val="25"/>
        </w:rPr>
        <w:t xml:space="preserve"> Ban QLDA quy định rõ điều khoản tạm ứng mua vật tư dài hạn (Long-lead items) ngay sau khi phê duyệt thiết kế, cho phép nhà thầu chốt giá và đặt cọc giữ nguồn cung tại các nhà máy lớn.</w:t>
      </w:r>
    </w:p>
    <w:p>
      <w:pPr>
        <w:spacing w:before="20" w:after="60" w:line="324" w:lineRule="auto"/>
        <w:ind w:left="360"/>
      </w:pPr>
      <w:r>
        <w:rPr>
          <w:rFonts w:ascii="Times New Roman" w:hAnsi="Times New Roman"/>
          <w:b/>
          <w:color w:val="002060"/>
          <w:sz w:val="22"/>
        </w:rPr>
        <w:t xml:space="preserve">•  </w:t>
      </w:r>
      <w:r>
        <w:rPr>
          <w:rFonts w:ascii="Times New Roman" w:hAnsi="Times New Roman"/>
          <w:b/>
          <w:i w:val="0"/>
          <w:color w:val="262626"/>
          <w:sz w:val="25"/>
        </w:rPr>
        <w:t>Công thức điều chỉnh giá linh hoạt:</w:t>
      </w:r>
      <w:r>
        <w:rPr>
          <w:rFonts w:ascii="Times New Roman" w:hAnsi="Times New Roman"/>
          <w:b w:val="0"/>
          <w:i w:val="0"/>
          <w:color w:val="262626"/>
          <w:sz w:val="25"/>
        </w:rPr>
        <w:t xml:space="preserve"> Đối với hợp đồng đơn giá điều chỉnh, xây dựng công thức điều chỉnh giá khách quan theo chỉ số giá xây dựng do Sở Xây dựng công bố định kỳ, giảm thiểu rủi ro biến động giá cho nhà thầu.</w:t>
      </w:r>
    </w:p>
    <w:p>
      <w:pPr>
        <w:spacing w:before="20" w:after="60" w:line="324" w:lineRule="auto"/>
        <w:ind w:left="360"/>
      </w:pPr>
      <w:r>
        <w:rPr>
          <w:rFonts w:ascii="Times New Roman" w:hAnsi="Times New Roman"/>
          <w:b/>
          <w:color w:val="002060"/>
          <w:sz w:val="22"/>
        </w:rPr>
        <w:t xml:space="preserve">•  </w:t>
      </w:r>
      <w:r>
        <w:rPr>
          <w:rFonts w:ascii="Times New Roman" w:hAnsi="Times New Roman"/>
          <w:b/>
          <w:i w:val="0"/>
          <w:color w:val="262626"/>
          <w:sz w:val="25"/>
        </w:rPr>
        <w:t>Quy chế phạt vi phạm giao diện (Interface Service Level Agreement - SLA):</w:t>
      </w:r>
    </w:p>
    <w:p>
      <w:pPr>
        <w:spacing w:before="20" w:after="60" w:line="324" w:lineRule="auto"/>
        <w:ind w:left="360"/>
      </w:pPr>
      <w:r>
        <w:rPr>
          <w:rFonts w:ascii="Times New Roman" w:hAnsi="Times New Roman"/>
          <w:b/>
          <w:color w:val="002060"/>
          <w:sz w:val="22"/>
        </w:rPr>
        <w:t xml:space="preserve">•  </w:t>
      </w:r>
      <w:r>
        <w:rPr>
          <w:rFonts w:ascii="Times New Roman" w:hAnsi="Times New Roman"/>
          <w:b w:val="0"/>
          <w:i w:val="0"/>
          <w:color w:val="262626"/>
          <w:sz w:val="25"/>
        </w:rPr>
        <w:t>Tư vấn thiết kế bị phạt tiến độ nếu trả lời RFI quá 72 giờ.</w:t>
      </w:r>
    </w:p>
    <w:p>
      <w:pPr>
        <w:spacing w:before="20" w:after="60" w:line="324" w:lineRule="auto"/>
        <w:ind w:left="360"/>
      </w:pPr>
      <w:r>
        <w:rPr>
          <w:rFonts w:ascii="Times New Roman" w:hAnsi="Times New Roman"/>
          <w:b/>
          <w:color w:val="002060"/>
          <w:sz w:val="22"/>
        </w:rPr>
        <w:t xml:space="preserve">•  </w:t>
      </w:r>
      <w:r>
        <w:rPr>
          <w:rFonts w:ascii="Times New Roman" w:hAnsi="Times New Roman"/>
          <w:b w:val="0"/>
          <w:i w:val="0"/>
          <w:color w:val="262626"/>
          <w:sz w:val="25"/>
        </w:rPr>
        <w:t>Nhà thầu cung ứng chịu phạt lũy tiến nếu giao hàng chậm làm dừng dây chuyền thi công.</w:t>
      </w:r>
    </w:p>
    <w:p>
      <w:pPr>
        <w:spacing w:before="20" w:after="60" w:line="324" w:lineRule="auto"/>
        <w:ind w:left="360"/>
      </w:pPr>
      <w:r>
        <w:rPr>
          <w:rFonts w:ascii="Times New Roman" w:hAnsi="Times New Roman"/>
          <w:b/>
          <w:color w:val="002060"/>
          <w:sz w:val="22"/>
        </w:rPr>
        <w:t xml:space="preserve">•  </w:t>
      </w:r>
      <w:r>
        <w:rPr>
          <w:rFonts w:ascii="Times New Roman" w:hAnsi="Times New Roman"/>
          <w:b w:val="0"/>
          <w:i w:val="0"/>
          <w:color w:val="262626"/>
          <w:sz w:val="25"/>
        </w:rPr>
        <w:t>Ban QLDA cam kết phê duyệt đệ trình vật liệu trong thời hạn tối đa 5 ngày làm việc.</w:t>
      </w:r>
    </w:p>
    <w:p>
      <w:pPr>
        <w:keepNext/>
        <w:spacing w:before="160" w:after="80"/>
      </w:pPr>
      <w:r>
        <w:rPr>
          <w:rFonts w:ascii="Times New Roman" w:hAnsi="Times New Roman"/>
          <w:b/>
          <w:color w:val="1F4E79"/>
          <w:sz w:val="26"/>
        </w:rPr>
        <w:t>3.4. Giải pháp 4: Chuyển đổi số với Mô hình thông tin công trình BIM 4D / 5D và CDE</w:t>
      </w:r>
    </w:p>
    <w:p>
      <w:pPr>
        <w:spacing w:before="20" w:after="60" w:line="324" w:lineRule="auto"/>
        <w:ind w:left="360"/>
      </w:pPr>
      <w:r>
        <w:rPr>
          <w:rFonts w:ascii="Times New Roman" w:hAnsi="Times New Roman"/>
          <w:b/>
          <w:color w:val="002060"/>
          <w:sz w:val="22"/>
        </w:rPr>
        <w:t xml:space="preserve">•  </w:t>
      </w:r>
      <w:r>
        <w:rPr>
          <w:rFonts w:ascii="Times New Roman" w:hAnsi="Times New Roman"/>
          <w:b w:val="0"/>
          <w:i w:val="0"/>
          <w:color w:val="262626"/>
          <w:sz w:val="25"/>
        </w:rPr>
        <w:t>Thiết lập Môi trường dữ liệu chung (CDE) bắt buộc cho toàn dự án:</w:t>
      </w:r>
    </w:p>
    <w:p>
      <w:pPr>
        <w:spacing w:before="20" w:after="60" w:line="324" w:lineRule="auto"/>
        <w:ind w:left="360"/>
      </w:pPr>
      <w:r>
        <w:rPr>
          <w:rFonts w:ascii="Times New Roman" w:hAnsi="Times New Roman"/>
          <w:b/>
          <w:color w:val="002060"/>
          <w:sz w:val="22"/>
        </w:rPr>
        <w:t xml:space="preserve">•  </w:t>
      </w:r>
      <w:r>
        <w:rPr>
          <w:rFonts w:ascii="Times New Roman" w:hAnsi="Times New Roman"/>
          <w:b w:val="0"/>
          <w:i w:val="0"/>
          <w:color w:val="262626"/>
          <w:sz w:val="25"/>
        </w:rPr>
        <w:t>Bản vẽ thiết kế cập nhật tự động phiên bản mới nhất; nhà thầu không được phép thi công nếu bản vẽ chưa có trạng thái "Approved for Construction" trên CDE.</w:t>
      </w:r>
    </w:p>
    <w:p>
      <w:pPr>
        <w:spacing w:before="20" w:after="60" w:line="324" w:lineRule="auto"/>
        <w:ind w:left="360"/>
      </w:pPr>
      <w:r>
        <w:rPr>
          <w:rFonts w:ascii="Times New Roman" w:hAnsi="Times New Roman"/>
          <w:b/>
          <w:color w:val="002060"/>
          <w:sz w:val="22"/>
        </w:rPr>
        <w:t xml:space="preserve">•  </w:t>
      </w:r>
      <w:r>
        <w:rPr>
          <w:rFonts w:ascii="Times New Roman" w:hAnsi="Times New Roman"/>
          <w:b w:val="0"/>
          <w:i w:val="0"/>
          <w:color w:val="262626"/>
          <w:sz w:val="25"/>
        </w:rPr>
        <w:t>Ứng dụng BIM 4D (3D + Tiến độ): Mô phỏng ảo quá trình thi công trên máy tính trước 1 - 2 tháng. Giúp phát hiện xung đột không gian cẩu lắp, nhu cầu diện tích kho bãi chứa vật liệu và đồng bộ hóa ngày cấu kiện đúc sẵn về công trường khớp chính xác với ngày cẩu lắp.</w:t>
      </w:r>
    </w:p>
    <w:p>
      <w:pPr>
        <w:spacing w:before="80" w:after="160"/>
        <w:jc w:val="center"/>
      </w:pPr>
      <w:r>
        <w:rPr>
          <w:color w:val="B0C4DE"/>
        </w:rPr>
        <w:t>―――――――――――――――――――――――――――――――――――</w:t>
      </w:r>
    </w:p>
    <w:p>
      <w:r>
        <w:br w:type="page"/>
      </w:r>
    </w:p>
    <w:p>
      <w:pPr>
        <w:keepNext/>
        <w:spacing w:before="280" w:after="200"/>
        <w:jc w:val="center"/>
      </w:pPr>
      <w:r>
        <w:rPr>
          <w:rFonts w:ascii="Times New Roman" w:hAnsi="Times New Roman"/>
          <w:b/>
          <w:color w:val="002060"/>
          <w:sz w:val="32"/>
        </w:rPr>
        <w:t>CÂU 5 (TRỌNG TÂM - ĐIỂM TỐI ĐA): MỘT QUYẾT ĐỊNH CỦA BAN QLDA LÀM CHẬM BA NHÀ THẦU KHÁC NHAU. HÃY ĐỀ XUẤT CƠ CHẾ PHỐI HỢP KHẮC PHỤC</w:t>
      </w:r>
    </w:p>
    <w:p>
      <w:pPr>
        <w:keepNext/>
        <w:spacing w:before="240" w:after="120"/>
      </w:pPr>
      <w:r>
        <w:rPr>
          <w:rFonts w:ascii="Times New Roman" w:hAnsi="Times New Roman"/>
          <w:b/>
          <w:color w:val="002060"/>
          <w:sz w:val="28"/>
        </w:rPr>
        <w:t>1. Bổ sung ngữ cảnh tình huống thực tế và Bản chất pháp lý</w:t>
      </w:r>
    </w:p>
    <w:p>
      <w:pPr>
        <w:spacing w:before="20" w:after="60" w:line="324" w:lineRule="auto"/>
        <w:ind w:left="360"/>
      </w:pPr>
      <w:r>
        <w:rPr>
          <w:rFonts w:ascii="Times New Roman" w:hAnsi="Times New Roman"/>
          <w:b/>
          <w:color w:val="002060"/>
          <w:sz w:val="22"/>
        </w:rPr>
        <w:t xml:space="preserve">•  </w:t>
      </w:r>
      <w:r>
        <w:rPr>
          <w:rFonts w:ascii="Times New Roman" w:hAnsi="Times New Roman"/>
          <w:b/>
          <w:i w:val="0"/>
          <w:color w:val="262626"/>
          <w:sz w:val="25"/>
        </w:rPr>
        <w:t>Tình huống mô phỏng chi tiết:</w:t>
      </w:r>
    </w:p>
    <w:p>
      <w:pPr>
        <w:spacing w:before="40" w:after="80" w:line="336" w:lineRule="auto"/>
        <w:ind w:firstLine="432"/>
      </w:pPr>
      <w:r>
        <w:rPr>
          <w:rFonts w:ascii="Times New Roman" w:hAnsi="Times New Roman"/>
          <w:b w:val="0"/>
          <w:i w:val="0"/>
          <w:color w:val="262626"/>
          <w:sz w:val="26"/>
        </w:rPr>
        <w:t>Tại một dự án xây dựng công trình giao thông / công cộng trọng điểm:</w:t>
      </w:r>
    </w:p>
    <w:p>
      <w:pPr>
        <w:spacing w:before="40" w:after="80" w:line="336" w:lineRule="auto"/>
        <w:ind w:firstLine="432"/>
      </w:pPr>
      <w:r>
        <w:rPr>
          <w:rFonts w:ascii="Times New Roman" w:hAnsi="Times New Roman"/>
          <w:b w:val="0"/>
          <w:i w:val="0"/>
          <w:color w:val="262626"/>
          <w:sz w:val="26"/>
        </w:rPr>
        <w:t xml:space="preserve">Ban QLDA ban hành </w:t>
      </w:r>
      <w:r>
        <w:rPr>
          <w:rFonts w:ascii="Times New Roman" w:hAnsi="Times New Roman"/>
          <w:b/>
          <w:i w:val="0"/>
          <w:color w:val="262626"/>
          <w:sz w:val="26"/>
        </w:rPr>
        <w:t>Quyết định số 105/QĐ-BQL</w:t>
      </w:r>
      <w:r>
        <w:rPr>
          <w:rFonts w:ascii="Times New Roman" w:hAnsi="Times New Roman"/>
          <w:b w:val="0"/>
          <w:i w:val="0"/>
          <w:color w:val="262626"/>
          <w:sz w:val="26"/>
        </w:rPr>
        <w:t xml:space="preserve">: </w:t>
      </w:r>
      <w:r>
        <w:rPr>
          <w:rFonts w:ascii="Times New Roman" w:hAnsi="Times New Roman"/>
          <w:b w:val="0"/>
          <w:i/>
          <w:color w:val="262626"/>
          <w:sz w:val="26"/>
        </w:rPr>
        <w:t>"Tạm dừng thi công khu vực Trụ T3 - T4 và toàn bộ hố móng tầng hầm khu phụ trợ để tiến hành khoan khảo sát địa chất bổ sung và điều chỉnh phương án xử lý nền đất yếu (chuyển từ đệm cát sang cọc gia cố xi măng đất do xuất hiện thấu kính bùn bất thường)"</w:t>
      </w:r>
      <w:r>
        <w:rPr>
          <w:rFonts w:ascii="Times New Roman" w:hAnsi="Times New Roman"/>
          <w:b w:val="0"/>
          <w:i w:val="0"/>
          <w:color w:val="262626"/>
          <w:sz w:val="26"/>
        </w:rPr>
        <w:t>.</w:t>
      </w:r>
    </w:p>
    <w:p>
      <w:pPr>
        <w:spacing w:before="20" w:after="60" w:line="324" w:lineRule="auto"/>
        <w:ind w:left="360"/>
      </w:pPr>
      <w:r>
        <w:rPr>
          <w:rFonts w:ascii="Times New Roman" w:hAnsi="Times New Roman"/>
          <w:b/>
          <w:color w:val="002060"/>
          <w:sz w:val="22"/>
        </w:rPr>
        <w:t xml:space="preserve">•  </w:t>
      </w:r>
      <w:r>
        <w:rPr>
          <w:rFonts w:ascii="Times New Roman" w:hAnsi="Times New Roman"/>
          <w:b/>
          <w:i w:val="0"/>
          <w:color w:val="262626"/>
          <w:sz w:val="25"/>
        </w:rPr>
        <w:t>Tác động dây chuyền đa tầng đến 03 Nhà thầu độc lập:</w:t>
      </w:r>
    </w:p>
    <w:p>
      <w:pPr>
        <w:spacing w:before="40" w:after="80" w:line="324" w:lineRule="auto"/>
        <w:ind w:left="360"/>
      </w:pPr>
      <w:r>
        <w:rPr>
          <w:rFonts w:ascii="Times New Roman" w:hAnsi="Times New Roman"/>
          <w:b/>
          <w:color w:val="002060"/>
          <w:sz w:val="25"/>
        </w:rPr>
        <w:t xml:space="preserve">1. </w:t>
      </w:r>
      <w:r>
        <w:rPr>
          <w:rFonts w:ascii="Times New Roman" w:hAnsi="Times New Roman"/>
          <w:b/>
          <w:i w:val="0"/>
          <w:color w:val="262626"/>
          <w:sz w:val="25"/>
        </w:rPr>
        <w:t>Nhà thầu A (Gói thầu Móng cọc &amp; Xử lý nền ngầm):</w:t>
      </w:r>
      <w:r>
        <w:rPr>
          <w:rFonts w:ascii="Times New Roman" w:hAnsi="Times New Roman"/>
          <w:b w:val="0"/>
          <w:i w:val="0"/>
          <w:color w:val="262626"/>
          <w:sz w:val="25"/>
        </w:rPr>
        <w:t xml:space="preserve"> Bị đình chỉ thi công trực tiếp. Máy móc chuyên dụng (dàn máy khoan cọc, máy ép cọc công suất lớn) và đội ngũ công nhân kỹ thuật cao phải nằm chờ (standing/idle time).</w:t>
      </w:r>
    </w:p>
    <w:p>
      <w:pPr>
        <w:spacing w:before="40" w:after="80" w:line="324" w:lineRule="auto"/>
        <w:ind w:left="360"/>
      </w:pPr>
      <w:r>
        <w:rPr>
          <w:rFonts w:ascii="Times New Roman" w:hAnsi="Times New Roman"/>
          <w:b/>
          <w:color w:val="002060"/>
          <w:sz w:val="25"/>
        </w:rPr>
        <w:t xml:space="preserve">2. </w:t>
      </w:r>
      <w:r>
        <w:rPr>
          <w:rFonts w:ascii="Times New Roman" w:hAnsi="Times New Roman"/>
          <w:b/>
          <w:i w:val="0"/>
          <w:color w:val="262626"/>
          <w:sz w:val="25"/>
        </w:rPr>
        <w:t>Nhà thầu B (Gói thầu Kết cấu phần trên &amp; Bê tông thân công trình):</w:t>
      </w:r>
      <w:r>
        <w:rPr>
          <w:rFonts w:ascii="Times New Roman" w:hAnsi="Times New Roman"/>
          <w:b w:val="0"/>
          <w:i w:val="0"/>
          <w:color w:val="262626"/>
          <w:sz w:val="25"/>
        </w:rPr>
        <w:t xml:space="preserve"> Mặc dù không liên quan trực tiếp đến khâu xử lý nền, nhưng do Nhà thầu A không bàn giao được mặt bằng móng cọc theo mốc tiến độ giao diện (Interface Milestone), Nhà thầu B không thể lắp dựng giàn giáo, cốp pha và đổ bê tông dầm sàn. Dây chuyền sản xuất cấu kiện đúc sẵn tại bãi đúc bị quá tải, vỡ kế hoạch tài chính.</w:t>
      </w:r>
    </w:p>
    <w:p>
      <w:pPr>
        <w:spacing w:before="40" w:after="80" w:line="324" w:lineRule="auto"/>
        <w:ind w:left="360"/>
      </w:pPr>
      <w:r>
        <w:rPr>
          <w:rFonts w:ascii="Times New Roman" w:hAnsi="Times New Roman"/>
          <w:b/>
          <w:color w:val="002060"/>
          <w:sz w:val="25"/>
        </w:rPr>
        <w:t xml:space="preserve">3. </w:t>
      </w:r>
      <w:r>
        <w:rPr>
          <w:rFonts w:ascii="Times New Roman" w:hAnsi="Times New Roman"/>
          <w:b/>
          <w:i w:val="0"/>
          <w:color w:val="262626"/>
          <w:sz w:val="25"/>
        </w:rPr>
        <w:t>Nhà thầu C (Gói thầu Cơ điện - MEP &amp; Thiết bị công nghệ):</w:t>
      </w:r>
      <w:r>
        <w:rPr>
          <w:rFonts w:ascii="Times New Roman" w:hAnsi="Times New Roman"/>
          <w:b w:val="0"/>
          <w:i w:val="0"/>
          <w:color w:val="262626"/>
          <w:sz w:val="25"/>
        </w:rPr>
        <w:t xml:space="preserve"> Toàn bộ thiết bị cơ điện nhập khẩu đắt tiền (máy biến áp, hệ thống điều hòa chiller, máy bơm công suất lớn) đã cập cảng theo lịch trình hợp đồng. Do công trình chưa hoàn thành phần vỏ thô và phòng kỹ thuật, thiết bị không thể lắp đặt, phải thuê kho bãi bảo quản ngoài hiện trường, phát sinh chi phí lưu kho, bảo hiểm và nguy cơ hết hạn bảo hành của nhà sản xuất.</w:t>
      </w:r>
    </w:p>
    <w:p>
      <w:pPr>
        <w:spacing w:before="20" w:after="60" w:line="324" w:lineRule="auto"/>
        <w:ind w:left="360"/>
      </w:pPr>
      <w:r>
        <w:rPr>
          <w:rFonts w:ascii="Times New Roman" w:hAnsi="Times New Roman"/>
          <w:b/>
          <w:color w:val="002060"/>
          <w:sz w:val="22"/>
        </w:rPr>
        <w:t xml:space="preserve">•  </w:t>
      </w:r>
      <w:r>
        <w:rPr>
          <w:rFonts w:ascii="Times New Roman" w:hAnsi="Times New Roman"/>
          <w:b/>
          <w:i w:val="0"/>
          <w:color w:val="262626"/>
          <w:sz w:val="25"/>
        </w:rPr>
        <w:t>Hậu quả pháp lý &amp; Tài chính đối với Chủ đầu tư / Ban QLDA:</w:t>
      </w:r>
    </w:p>
    <w:p>
      <w:pPr>
        <w:spacing w:before="20" w:after="60" w:line="324" w:lineRule="auto"/>
        <w:ind w:left="360"/>
      </w:pPr>
      <w:r>
        <w:rPr>
          <w:rFonts w:ascii="Times New Roman" w:hAnsi="Times New Roman"/>
          <w:b/>
          <w:color w:val="002060"/>
          <w:sz w:val="22"/>
        </w:rPr>
        <w:t xml:space="preserve">•  </w:t>
      </w:r>
      <w:r>
        <w:rPr>
          <w:rFonts w:ascii="Times New Roman" w:hAnsi="Times New Roman"/>
          <w:b w:val="0"/>
          <w:i w:val="0"/>
          <w:color w:val="262626"/>
          <w:sz w:val="25"/>
        </w:rPr>
        <w:t xml:space="preserve">Cả 3 nhà thầu đồng loạt phát hành </w:t>
      </w:r>
      <w:r>
        <w:rPr>
          <w:rFonts w:ascii="Times New Roman" w:hAnsi="Times New Roman"/>
          <w:b/>
          <w:i w:val="0"/>
          <w:color w:val="262626"/>
          <w:sz w:val="25"/>
        </w:rPr>
        <w:t>Thư thông báo khiếu nại (Claim Notice)</w:t>
      </w:r>
      <w:r>
        <w:rPr>
          <w:rFonts w:ascii="Times New Roman" w:hAnsi="Times New Roman"/>
          <w:b w:val="0"/>
          <w:i w:val="0"/>
          <w:color w:val="262626"/>
          <w:sz w:val="25"/>
        </w:rPr>
        <w:t xml:space="preserve"> theo điều kiện hợp đồng (Điều 20.1 FIDIC / Điều 44 Nghị định 37/2015/NĐ-CP).</w:t>
      </w:r>
    </w:p>
    <w:p>
      <w:pPr>
        <w:spacing w:before="20" w:after="60" w:line="324" w:lineRule="auto"/>
        <w:ind w:left="360"/>
      </w:pPr>
      <w:r>
        <w:rPr>
          <w:rFonts w:ascii="Times New Roman" w:hAnsi="Times New Roman"/>
          <w:b/>
          <w:color w:val="002060"/>
          <w:sz w:val="22"/>
        </w:rPr>
        <w:t xml:space="preserve">•  </w:t>
      </w:r>
      <w:r>
        <w:rPr>
          <w:rFonts w:ascii="Times New Roman" w:hAnsi="Times New Roman"/>
          <w:b w:val="0"/>
          <w:i w:val="0"/>
          <w:color w:val="262626"/>
          <w:sz w:val="25"/>
        </w:rPr>
        <w:t>Yêu cầu đòi hỏi kép:</w:t>
      </w:r>
    </w:p>
    <w:p>
      <w:pPr>
        <w:spacing w:before="20" w:after="60" w:line="324" w:lineRule="auto"/>
        <w:ind w:left="360"/>
      </w:pPr>
      <w:r>
        <w:rPr>
          <w:rFonts w:ascii="Times New Roman" w:hAnsi="Times New Roman"/>
          <w:b/>
          <w:color w:val="002060"/>
          <w:sz w:val="22"/>
        </w:rPr>
        <w:t xml:space="preserve">•  </w:t>
      </w:r>
      <w:r>
        <w:rPr>
          <w:rFonts w:ascii="Times New Roman" w:hAnsi="Times New Roman"/>
          <w:b/>
          <w:i w:val="0"/>
          <w:color w:val="262626"/>
          <w:sz w:val="25"/>
        </w:rPr>
        <w:t>Gia hạn thời gian thực hiện hợp đồng (Extension of Time - EOT).</w:t>
      </w:r>
    </w:p>
    <w:p>
      <w:pPr>
        <w:spacing w:before="20" w:after="60" w:line="324" w:lineRule="auto"/>
        <w:ind w:left="360"/>
      </w:pPr>
      <w:r>
        <w:rPr>
          <w:rFonts w:ascii="Times New Roman" w:hAnsi="Times New Roman"/>
          <w:b/>
          <w:color w:val="002060"/>
          <w:sz w:val="22"/>
        </w:rPr>
        <w:t xml:space="preserve">•  </w:t>
      </w:r>
      <w:r>
        <w:rPr>
          <w:rFonts w:ascii="Times New Roman" w:hAnsi="Times New Roman"/>
          <w:b/>
          <w:i w:val="0"/>
          <w:color w:val="262626"/>
          <w:sz w:val="25"/>
        </w:rPr>
        <w:t>Bồi thường toàn bộ thiệt hại và chi phí phát sinh (Cost Plus Profit)</w:t>
      </w:r>
      <w:r>
        <w:rPr>
          <w:rFonts w:ascii="Times New Roman" w:hAnsi="Times New Roman"/>
          <w:b w:val="0"/>
          <w:i w:val="0"/>
          <w:color w:val="262626"/>
          <w:sz w:val="25"/>
        </w:rPr>
        <w:t>: Chi phí máy móc nằm chờ, chi phí quản lý hiện trường (site overhead), chi phí lãi vay bảo lãnh, chi phí lưu kho bảo quản thiết bị.</w:t>
      </w:r>
    </w:p>
    <w:p>
      <w:pPr>
        <w:spacing w:before="20" w:after="60" w:line="324" w:lineRule="auto"/>
        <w:ind w:left="360"/>
      </w:pPr>
      <w:r>
        <w:rPr>
          <w:rFonts w:ascii="Times New Roman" w:hAnsi="Times New Roman"/>
          <w:b/>
          <w:color w:val="002060"/>
          <w:sz w:val="22"/>
        </w:rPr>
        <w:t xml:space="preserve">•  </w:t>
      </w:r>
      <w:r>
        <w:rPr>
          <w:rFonts w:ascii="Times New Roman" w:hAnsi="Times New Roman"/>
          <w:b w:val="0"/>
          <w:i w:val="0"/>
          <w:color w:val="262626"/>
          <w:sz w:val="25"/>
        </w:rPr>
        <w:t>Dự án đứng trước nguy cơ đổ vỡ tiến độ tổng thể và đối mặt với các vụ kiện tụng kéo dài tại Trọng tài hoặc Tòa án.</w:t>
      </w:r>
    </w:p>
    <w:p>
      <w:pPr>
        <w:spacing w:before="80" w:after="160"/>
        <w:jc w:val="center"/>
      </w:pPr>
      <w:r>
        <w:rPr>
          <w:color w:val="B0C4DE"/>
        </w:rPr>
        <w:t>―――――――――――――――――――――――――――――――――――</w:t>
      </w:r>
    </w:p>
    <w:p>
      <w:pPr>
        <w:keepNext/>
        <w:spacing w:before="240" w:after="120"/>
      </w:pPr>
      <w:r>
        <w:rPr>
          <w:rFonts w:ascii="Times New Roman" w:hAnsi="Times New Roman"/>
          <w:b/>
          <w:color w:val="002060"/>
          <w:sz w:val="28"/>
        </w:rPr>
        <w:t>2. Cơ chế phối hợp khắc phục đa tầng (Multi-tier Resolution Framework)</w:t>
      </w:r>
    </w:p>
    <w:p>
      <w:pPr>
        <w:spacing w:before="40" w:after="80" w:line="336" w:lineRule="auto"/>
        <w:ind w:firstLine="432"/>
      </w:pPr>
      <w:r>
        <w:rPr>
          <w:rFonts w:ascii="Times New Roman" w:hAnsi="Times New Roman"/>
          <w:b w:val="0"/>
          <w:i w:val="0"/>
          <w:color w:val="262626"/>
          <w:sz w:val="26"/>
        </w:rPr>
        <w:t xml:space="preserve">Để giải quyết khủng hoảng này một cách chuyên nghiệp, bảo vệ tiến độ công trình và hạn chế tối đa thiệt hại tài chính cho Chủ đầu tư, Ban QLDA cần kích hoạt </w:t>
      </w:r>
      <w:r>
        <w:rPr>
          <w:rFonts w:ascii="Times New Roman" w:hAnsi="Times New Roman"/>
          <w:b/>
          <w:i w:val="0"/>
          <w:color w:val="262626"/>
          <w:sz w:val="26"/>
        </w:rPr>
        <w:t>Cơ chế phối hợp khắc phục 4 tầng</w:t>
      </w:r>
      <w:r>
        <w:rPr>
          <w:rFonts w:ascii="Times New Roman" w:hAnsi="Times New Roman"/>
          <w:b w:val="0"/>
          <w:i w:val="0"/>
          <w:color w:val="262626"/>
          <w:sz w:val="26"/>
        </w:rPr>
        <w:t>:</w:t>
      </w:r>
    </w:p>
    <w:p>
      <w:pPr>
        <w:spacing w:before="80" w:after="120" w:line="264" w:lineRule="auto"/>
        <w:ind w:left="288"/>
      </w:pPr>
      <w:r>
        <w:rPr>
          <w:rFonts w:ascii="Consolas" w:hAnsi="Consolas"/>
          <w:color w:val="282828"/>
          <w:sz w:val="20"/>
        </w:rPr>
        <w:t>+-------------------------------------------------------------------------+</w:t>
        <w:br/>
        <w:t>| TẦNG 1: XỬ LÝ KHỦNG HOẢNG TỨC THỜI (0 - 72 GIỜ)                         |</w:t>
        <w:br/>
        <w:t>| - Triệu tập Hội nghị điều phối khẩn cấp (Emergency Coordination Summit) |</w:t>
        <w:br/>
        <w:t>| - Lập biên bản hiện trạng, chốt điểm dừng &amp; điều chuyển máy móc         |</w:t>
        <w:br/>
        <w:t>+-------------------------------------------------------------------------+</w:t>
        <w:br/>
        <w:t xml:space="preserve">                                    |</w:t>
        <w:br/>
        <w:t xml:space="preserve">                                    v</w:t>
        <w:br/>
        <w:t>+-------------------------------------------------------------------------+</w:t>
        <w:br/>
        <w:t>| TẦNG 2: TÁI LẬP TIẾN ĐỘ &amp; KỸ THUẬT BÙ ĐƯỜNG GĂNG (RECOVERY SCHEDULE)    |</w:t>
        <w:br/>
        <w:t>| - Phân tích tác động theo thời gian (Time Impact Analysis - TIA)        |</w:t>
        <w:br/>
        <w:t>| - Áp dụng Fast-tracking (gối đầu công việc) &amp; Crashing (nén tiến độ)    |</w:t>
        <w:br/>
        <w:t>+-------------------------------------------------------------------------+</w:t>
        <w:br/>
        <w:t xml:space="preserve">                                    |</w:t>
        <w:br/>
        <w:t xml:space="preserve">                                    v</w:t>
        <w:br/>
        <w:t>+-------------------------------------------------------------------------+</w:t>
        <w:br/>
        <w:t>| TẦNG 3: CƠ CHẾ ĐÀM PHÁN, BỒI THƯỜNG &amp; HÀI HÒA HỢP ĐỒNG (CLAIM SETTLEMENT)|</w:t>
        <w:br/>
        <w:t>| - Thẩm định EOT minh bạch, hợp đồng hóa phụ lục gia hạn                 |</w:t>
        <w:br/>
        <w:t>| - Tạm ứng bồi thường chi phí chờ đợi hợp lý trên cơ sở chứng từ thực tế |</w:t>
        <w:br/>
        <w:t>+-------------------------------------------------------------------------+</w:t>
        <w:br/>
        <w:t xml:space="preserve">                                    |</w:t>
        <w:br/>
        <w:t xml:space="preserve">                                    v</w:t>
        <w:br/>
        <w:t>+-------------------------------------------------------------------------+</w:t>
        <w:br/>
        <w:t>| TẦNG 4: CẢI CÁCH QUY TRÌNH RA QUYẾT ĐỊNH &amp; PHÒNG NGỪA HỆ THỐNG          |</w:t>
        <w:br/>
        <w:t>| - Quy trình Đánh giá tác động giao diện trước khi ban hành quyết định   |</w:t>
        <w:br/>
        <w:t>| - Ràng buộc trách nhiệm cá nhân &amp; Phân cấp thẩm quyền xử lý khẩn cấp    |</w:t>
        <w:br/>
        <w:t>+-------------------------------------------------------------------------+</w:t>
      </w:r>
    </w:p>
    <w:p>
      <w:pPr>
        <w:spacing w:before="80" w:after="160"/>
        <w:jc w:val="center"/>
      </w:pPr>
      <w:r>
        <w:rPr>
          <w:color w:val="B0C4DE"/>
        </w:rPr>
        <w:t>―――――――――――――――――――――――――――――――――――</w:t>
      </w:r>
    </w:p>
    <w:p>
      <w:pPr>
        <w:keepNext/>
        <w:spacing w:before="160" w:after="80"/>
      </w:pPr>
      <w:r>
        <w:rPr>
          <w:rFonts w:ascii="Times New Roman" w:hAnsi="Times New Roman"/>
          <w:b/>
          <w:color w:val="1F4E79"/>
          <w:sz w:val="26"/>
        </w:rPr>
        <w:t>Tầng 1: Xử lý khủng hoảng tức thời (Immediate Crisis Resolution: 0 - 72 giờ)</w:t>
      </w:r>
    </w:p>
    <w:p>
      <w:pPr>
        <w:spacing w:before="40" w:after="80" w:line="324" w:lineRule="auto"/>
        <w:ind w:left="360"/>
      </w:pPr>
      <w:r>
        <w:rPr>
          <w:rFonts w:ascii="Times New Roman" w:hAnsi="Times New Roman"/>
          <w:b/>
          <w:color w:val="002060"/>
          <w:sz w:val="25"/>
        </w:rPr>
        <w:t xml:space="preserve">1. </w:t>
      </w:r>
      <w:r>
        <w:rPr>
          <w:rFonts w:ascii="Times New Roman" w:hAnsi="Times New Roman"/>
          <w:b/>
          <w:i w:val="0"/>
          <w:color w:val="262626"/>
          <w:sz w:val="25"/>
        </w:rPr>
        <w:t>Triệu tập Hội nghị điều phối khẩn cấp (Emergency Coordination Meeting):</w:t>
      </w:r>
    </w:p>
    <w:p>
      <w:pPr>
        <w:spacing w:before="20" w:after="60" w:line="324" w:lineRule="auto"/>
        <w:ind w:left="360"/>
      </w:pPr>
      <w:r>
        <w:rPr>
          <w:rFonts w:ascii="Times New Roman" w:hAnsi="Times New Roman"/>
          <w:b/>
          <w:color w:val="002060"/>
          <w:sz w:val="22"/>
        </w:rPr>
        <w:t xml:space="preserve">•  </w:t>
      </w:r>
      <w:r>
        <w:rPr>
          <w:rFonts w:ascii="Times New Roman" w:hAnsi="Times New Roman"/>
          <w:b w:val="0"/>
          <w:i w:val="0"/>
          <w:color w:val="262626"/>
          <w:sz w:val="25"/>
        </w:rPr>
        <w:t>Thành phần: Giám đốc Ban QLDA, Chủ nhiệm Tư vấn giám sát, Tư vấn thiết kế trưởng, Chỉ huy trưởng và Trưởng phòng kinh tế hợp đồng của cả 3 nhà thầu (A, B, C).</w:t>
      </w:r>
    </w:p>
    <w:p>
      <w:pPr>
        <w:spacing w:before="20" w:after="60" w:line="324" w:lineRule="auto"/>
        <w:ind w:left="360"/>
      </w:pPr>
      <w:r>
        <w:rPr>
          <w:rFonts w:ascii="Times New Roman" w:hAnsi="Times New Roman"/>
          <w:b/>
          <w:color w:val="002060"/>
          <w:sz w:val="22"/>
        </w:rPr>
        <w:t xml:space="preserve">•  </w:t>
      </w:r>
      <w:r>
        <w:rPr>
          <w:rFonts w:ascii="Times New Roman" w:hAnsi="Times New Roman"/>
          <w:b w:val="0"/>
          <w:i w:val="0"/>
          <w:color w:val="262626"/>
          <w:sz w:val="25"/>
        </w:rPr>
        <w:t>Mục tiêu: Công khai minh bạch lý do kỹ thuật buộc phải dừng thi công (an toàn kết cấu lâu dài của công trình); không né tránh trách nhiệm; thiết lập tinh thần "hợp tác vì mục tiêu chung của dự án" (Partnering Spirit).</w:t>
      </w:r>
    </w:p>
    <w:p>
      <w:pPr>
        <w:spacing w:before="40" w:after="80" w:line="324" w:lineRule="auto"/>
        <w:ind w:left="360"/>
      </w:pPr>
      <w:r>
        <w:rPr>
          <w:rFonts w:ascii="Times New Roman" w:hAnsi="Times New Roman"/>
          <w:b/>
          <w:color w:val="002060"/>
          <w:sz w:val="25"/>
        </w:rPr>
        <w:t xml:space="preserve">2. </w:t>
      </w:r>
      <w:r>
        <w:rPr>
          <w:rFonts w:ascii="Times New Roman" w:hAnsi="Times New Roman"/>
          <w:b/>
          <w:i w:val="0"/>
          <w:color w:val="262626"/>
          <w:sz w:val="25"/>
        </w:rPr>
        <w:t>Đóng băng tổn thất và Giảm thiểu chi phí chờ đợi (Mitigation of Losses):</w:t>
      </w:r>
    </w:p>
    <w:p>
      <w:pPr>
        <w:spacing w:before="20" w:after="60" w:line="324" w:lineRule="auto"/>
        <w:ind w:left="360"/>
      </w:pPr>
      <w:r>
        <w:rPr>
          <w:rFonts w:ascii="Times New Roman" w:hAnsi="Times New Roman"/>
          <w:b/>
          <w:color w:val="002060"/>
          <w:sz w:val="22"/>
        </w:rPr>
        <w:t xml:space="preserve">•  </w:t>
      </w:r>
      <w:r>
        <w:rPr>
          <w:rFonts w:ascii="Times New Roman" w:hAnsi="Times New Roman"/>
          <w:b w:val="0"/>
          <w:i w:val="0"/>
          <w:color w:val="262626"/>
          <w:sz w:val="25"/>
        </w:rPr>
        <w:t>Ban QLDA cùng TVGS ký Biên bản xác nhận hiện trạng tại thời điểm dừng thi công: số lượng thiết bị, số lượng nhân công thực tế trên công trường.</w:t>
      </w:r>
    </w:p>
    <w:p>
      <w:pPr>
        <w:spacing w:before="20" w:after="60" w:line="324" w:lineRule="auto"/>
        <w:ind w:left="360"/>
      </w:pPr>
      <w:r>
        <w:rPr>
          <w:rFonts w:ascii="Times New Roman" w:hAnsi="Times New Roman"/>
          <w:b/>
          <w:color w:val="002060"/>
          <w:sz w:val="22"/>
        </w:rPr>
        <w:t xml:space="preserve">•  </w:t>
      </w:r>
      <w:r>
        <w:rPr>
          <w:rFonts w:ascii="Times New Roman" w:hAnsi="Times New Roman"/>
          <w:b/>
          <w:i w:val="0"/>
          <w:color w:val="262626"/>
          <w:sz w:val="25"/>
        </w:rPr>
        <w:t>Thỏa thuận điều chuyển nguồn lực (Work Re-allocation Agreement):</w:t>
      </w:r>
    </w:p>
    <w:p>
      <w:pPr>
        <w:spacing w:before="20" w:after="60" w:line="324" w:lineRule="auto"/>
        <w:ind w:left="360"/>
      </w:pPr>
      <w:r>
        <w:rPr>
          <w:rFonts w:ascii="Times New Roman" w:hAnsi="Times New Roman"/>
          <w:b/>
          <w:color w:val="002060"/>
          <w:sz w:val="22"/>
        </w:rPr>
        <w:t xml:space="preserve">•  </w:t>
      </w:r>
      <w:r>
        <w:rPr>
          <w:rFonts w:ascii="Times New Roman" w:hAnsi="Times New Roman"/>
          <w:b w:val="0"/>
          <w:i w:val="0"/>
          <w:color w:val="262626"/>
          <w:sz w:val="25"/>
        </w:rPr>
        <w:t>Hướng dẫn Nhà thầu A tạm thời điều động máy móc sang thi công các hạng mục móng cọc ở phân đoạn khác (ví dụ: mố M1, M2 hoặc đường dẫn không bị ảnh hưởng).</w:t>
      </w:r>
    </w:p>
    <w:p>
      <w:pPr>
        <w:spacing w:before="20" w:after="60" w:line="324" w:lineRule="auto"/>
        <w:ind w:left="360"/>
      </w:pPr>
      <w:r>
        <w:rPr>
          <w:rFonts w:ascii="Times New Roman" w:hAnsi="Times New Roman"/>
          <w:b/>
          <w:color w:val="002060"/>
          <w:sz w:val="22"/>
        </w:rPr>
        <w:t xml:space="preserve">•  </w:t>
      </w:r>
      <w:r>
        <w:rPr>
          <w:rFonts w:ascii="Times New Roman" w:hAnsi="Times New Roman"/>
          <w:b w:val="0"/>
          <w:i w:val="0"/>
          <w:color w:val="262626"/>
          <w:sz w:val="25"/>
        </w:rPr>
        <w:t>Cho phép Nhà thầu B tập trung nhân lực đúc trước cấu kiện bê tông tại bãi đúc ngoại vi; chuẩn bị sẵn giàn giáo cốp pha.</w:t>
      </w:r>
    </w:p>
    <w:p>
      <w:pPr>
        <w:spacing w:before="20" w:after="60" w:line="324" w:lineRule="auto"/>
        <w:ind w:left="360"/>
      </w:pPr>
      <w:r>
        <w:rPr>
          <w:rFonts w:ascii="Times New Roman" w:hAnsi="Times New Roman"/>
          <w:b/>
          <w:color w:val="002060"/>
          <w:sz w:val="22"/>
        </w:rPr>
        <w:t xml:space="preserve">•  </w:t>
      </w:r>
      <w:r>
        <w:rPr>
          <w:rFonts w:ascii="Times New Roman" w:hAnsi="Times New Roman"/>
          <w:b w:val="0"/>
          <w:i w:val="0"/>
          <w:color w:val="262626"/>
          <w:sz w:val="25"/>
        </w:rPr>
        <w:t>Hỗ trợ Nhà thầu C bố trí kho bãi an toàn ngay trong khuôn viên văn phòng Ban QLDA hoặc các khu vực khô ráo của dự án, miễn phí tiền lưu bãi để bảo quản thiết bị cơ điện.</w:t>
      </w:r>
    </w:p>
    <w:p>
      <w:pPr>
        <w:spacing w:before="80" w:after="160"/>
        <w:jc w:val="center"/>
      </w:pPr>
      <w:r>
        <w:rPr>
          <w:color w:val="B0C4DE"/>
        </w:rPr>
        <w:t>―――――――――――――――――――――――――――――――――――</w:t>
      </w:r>
    </w:p>
    <w:p>
      <w:pPr>
        <w:keepNext/>
        <w:spacing w:before="160" w:after="80"/>
      </w:pPr>
      <w:r>
        <w:rPr>
          <w:rFonts w:ascii="Times New Roman" w:hAnsi="Times New Roman"/>
          <w:b/>
          <w:color w:val="1F4E79"/>
          <w:sz w:val="26"/>
        </w:rPr>
        <w:t>Tầng 2: Tái lập tiến độ và Kỹ thuật bù tiến độ trên đường găng (Technical &amp; Schedule Recovery)</w:t>
      </w:r>
    </w:p>
    <w:p>
      <w:pPr>
        <w:spacing w:before="40" w:after="80" w:line="324" w:lineRule="auto"/>
        <w:ind w:left="360"/>
      </w:pPr>
      <w:r>
        <w:rPr>
          <w:rFonts w:ascii="Times New Roman" w:hAnsi="Times New Roman"/>
          <w:b/>
          <w:color w:val="002060"/>
          <w:sz w:val="25"/>
        </w:rPr>
        <w:t xml:space="preserve">1. </w:t>
      </w:r>
      <w:r>
        <w:rPr>
          <w:rFonts w:ascii="Times New Roman" w:hAnsi="Times New Roman"/>
          <w:b/>
          <w:i w:val="0"/>
          <w:color w:val="262626"/>
          <w:sz w:val="25"/>
        </w:rPr>
        <w:t>Phân tích tác động theo thời gian (Time Impact Analysis - TIA):</w:t>
      </w:r>
    </w:p>
    <w:p>
      <w:pPr>
        <w:spacing w:before="20" w:after="60" w:line="324" w:lineRule="auto"/>
        <w:ind w:left="360"/>
      </w:pPr>
      <w:r>
        <w:rPr>
          <w:rFonts w:ascii="Times New Roman" w:hAnsi="Times New Roman"/>
          <w:b/>
          <w:color w:val="002060"/>
          <w:sz w:val="22"/>
        </w:rPr>
        <w:t xml:space="preserve">•  </w:t>
      </w:r>
      <w:r>
        <w:rPr>
          <w:rFonts w:ascii="Times New Roman" w:hAnsi="Times New Roman"/>
          <w:b w:val="0"/>
          <w:i w:val="0"/>
          <w:color w:val="262626"/>
          <w:sz w:val="25"/>
        </w:rPr>
        <w:t>Đưa sự kiện dừng việc vào mô hình tiến độ CPM cập nhật để xác định chính xác số ngày bị trễ của đường găng tổng thể dự án.</w:t>
      </w:r>
    </w:p>
    <w:p>
      <w:pPr>
        <w:spacing w:before="40" w:after="80" w:line="324" w:lineRule="auto"/>
        <w:ind w:left="360"/>
      </w:pPr>
      <w:r>
        <w:rPr>
          <w:rFonts w:ascii="Times New Roman" w:hAnsi="Times New Roman"/>
          <w:b/>
          <w:color w:val="002060"/>
          <w:sz w:val="25"/>
        </w:rPr>
        <w:t xml:space="preserve">2. </w:t>
      </w:r>
      <w:r>
        <w:rPr>
          <w:rFonts w:ascii="Times New Roman" w:hAnsi="Times New Roman"/>
          <w:b/>
          <w:i w:val="0"/>
          <w:color w:val="262626"/>
          <w:sz w:val="25"/>
        </w:rPr>
        <w:t>Kỹ thuật Fast-tracking (Song hành hóa / Gối đầu công đoạn):</w:t>
      </w:r>
    </w:p>
    <w:p>
      <w:pPr>
        <w:spacing w:before="20" w:after="60" w:line="324" w:lineRule="auto"/>
        <w:ind w:left="360"/>
      </w:pPr>
      <w:r>
        <w:rPr>
          <w:rFonts w:ascii="Times New Roman" w:hAnsi="Times New Roman"/>
          <w:b/>
          <w:color w:val="002060"/>
          <w:sz w:val="22"/>
        </w:rPr>
        <w:t xml:space="preserve">•  </w:t>
      </w:r>
      <w:r>
        <w:rPr>
          <w:rFonts w:ascii="Times New Roman" w:hAnsi="Times New Roman"/>
          <w:b w:val="0"/>
          <w:i w:val="0"/>
          <w:color w:val="262626"/>
          <w:sz w:val="25"/>
        </w:rPr>
        <w:t xml:space="preserve">Thiết lập lại mối quan hệ giữa gói thầu A và B: Thay vì đợi Nhà thầu A hoàn thành toàn bộ nền móng mới bàn giao cho B, thực hiện </w:t>
      </w:r>
      <w:r>
        <w:rPr>
          <w:rFonts w:ascii="Times New Roman" w:hAnsi="Times New Roman"/>
          <w:b/>
          <w:i w:val="0"/>
          <w:color w:val="262626"/>
          <w:sz w:val="25"/>
        </w:rPr>
        <w:t>bàn giao cuốn chiếu từng phần (Partial Handover)</w:t>
      </w:r>
      <w:r>
        <w:rPr>
          <w:rFonts w:ascii="Times New Roman" w:hAnsi="Times New Roman"/>
          <w:b w:val="0"/>
          <w:i w:val="0"/>
          <w:color w:val="262626"/>
          <w:sz w:val="25"/>
        </w:rPr>
        <w:t>.</w:t>
      </w:r>
    </w:p>
    <w:p>
      <w:pPr>
        <w:spacing w:before="20" w:after="60" w:line="324" w:lineRule="auto"/>
        <w:ind w:left="360"/>
      </w:pPr>
      <w:r>
        <w:rPr>
          <w:rFonts w:ascii="Times New Roman" w:hAnsi="Times New Roman"/>
          <w:b/>
          <w:color w:val="002060"/>
          <w:sz w:val="22"/>
        </w:rPr>
        <w:t xml:space="preserve">•  </w:t>
      </w:r>
      <w:r>
        <w:rPr>
          <w:rFonts w:ascii="Times New Roman" w:hAnsi="Times New Roman"/>
          <w:b w:val="0"/>
          <w:i w:val="0"/>
          <w:color w:val="262626"/>
          <w:sz w:val="25"/>
        </w:rPr>
        <w:t>Nhà thầu A thi công xong cụm cọc nào, TVGS tổ chức nghiệm thu siêu âm cọc ngay trong 48h; bàn giao ngay móng đó cho Nhà thầu B thi công đài móng và thân trụ.</w:t>
      </w:r>
    </w:p>
    <w:p>
      <w:pPr>
        <w:spacing w:before="40" w:after="80" w:line="324" w:lineRule="auto"/>
        <w:ind w:left="360"/>
      </w:pPr>
      <w:r>
        <w:rPr>
          <w:rFonts w:ascii="Times New Roman" w:hAnsi="Times New Roman"/>
          <w:b/>
          <w:color w:val="002060"/>
          <w:sz w:val="25"/>
        </w:rPr>
        <w:t xml:space="preserve">3. </w:t>
      </w:r>
      <w:r>
        <w:rPr>
          <w:rFonts w:ascii="Times New Roman" w:hAnsi="Times New Roman"/>
          <w:b/>
          <w:i w:val="0"/>
          <w:color w:val="262626"/>
          <w:sz w:val="25"/>
        </w:rPr>
        <w:t>Kỹ thuật Crashing (Nén tiến độ bằng bổ sung nguồn lực):</w:t>
      </w:r>
    </w:p>
    <w:p>
      <w:pPr>
        <w:spacing w:before="20" w:after="60" w:line="324" w:lineRule="auto"/>
        <w:ind w:left="360"/>
      </w:pPr>
      <w:r>
        <w:rPr>
          <w:rFonts w:ascii="Times New Roman" w:hAnsi="Times New Roman"/>
          <w:b/>
          <w:color w:val="002060"/>
          <w:sz w:val="22"/>
        </w:rPr>
        <w:t xml:space="preserve">•  </w:t>
      </w:r>
      <w:r>
        <w:rPr>
          <w:rFonts w:ascii="Times New Roman" w:hAnsi="Times New Roman"/>
          <w:b w:val="0"/>
          <w:i w:val="0"/>
          <w:color w:val="262626"/>
          <w:sz w:val="25"/>
        </w:rPr>
        <w:t>Sau khi phương án xử lý nền đất yếu mới được phê duyệt, yêu cầu Nhà thầu A tăng cường thêm 02 dây chuyền thi công khoan cọc xi măng đất, tổ chức thi công 3 ca liên tục (24/7).</w:t>
      </w:r>
    </w:p>
    <w:p>
      <w:pPr>
        <w:spacing w:before="20" w:after="60" w:line="324" w:lineRule="auto"/>
        <w:ind w:left="360"/>
      </w:pPr>
      <w:r>
        <w:rPr>
          <w:rFonts w:ascii="Times New Roman" w:hAnsi="Times New Roman"/>
          <w:b/>
          <w:color w:val="002060"/>
          <w:sz w:val="22"/>
        </w:rPr>
        <w:t xml:space="preserve">•  </w:t>
      </w:r>
      <w:r>
        <w:rPr>
          <w:rFonts w:ascii="Times New Roman" w:hAnsi="Times New Roman"/>
          <w:b w:val="0"/>
          <w:i w:val="0"/>
          <w:color w:val="262626"/>
          <w:sz w:val="25"/>
        </w:rPr>
        <w:t>Ban QLDA cam kết thanh toán chi phí phát sinh làm ca đêm và hỗ trợ nguồn điện 3 pha ưu tiên cho công trường.</w:t>
      </w:r>
    </w:p>
    <w:p>
      <w:pPr>
        <w:spacing w:before="80" w:after="160"/>
        <w:jc w:val="center"/>
      </w:pPr>
      <w:r>
        <w:rPr>
          <w:color w:val="B0C4DE"/>
        </w:rPr>
        <w:t>―――――――――――――――――――――――――――――――――――</w:t>
      </w:r>
    </w:p>
    <w:p>
      <w:pPr>
        <w:keepNext/>
        <w:spacing w:before="160" w:after="80"/>
      </w:pPr>
      <w:r>
        <w:rPr>
          <w:rFonts w:ascii="Times New Roman" w:hAnsi="Times New Roman"/>
          <w:b/>
          <w:color w:val="1F4E79"/>
          <w:sz w:val="26"/>
        </w:rPr>
        <w:t>Tầng 3: Cơ chế giải quyết khiếu nại và Hài hòa lợi ích hợp đồng (Claims &amp; Dispute Settlement)</w:t>
      </w:r>
    </w:p>
    <w:p>
      <w:pPr>
        <w:spacing w:before="40" w:after="80" w:line="324" w:lineRule="auto"/>
        <w:ind w:left="360"/>
      </w:pPr>
      <w:r>
        <w:rPr>
          <w:rFonts w:ascii="Times New Roman" w:hAnsi="Times New Roman"/>
          <w:b/>
          <w:color w:val="002060"/>
          <w:sz w:val="25"/>
        </w:rPr>
        <w:t xml:space="preserve">1. </w:t>
      </w:r>
      <w:r>
        <w:rPr>
          <w:rFonts w:ascii="Times New Roman" w:hAnsi="Times New Roman"/>
          <w:b/>
          <w:i w:val="0"/>
          <w:color w:val="262626"/>
          <w:sz w:val="25"/>
        </w:rPr>
        <w:t>Quy trình thẩm định và Phê duyệt Gia hạn thời gian (EOT):</w:t>
      </w:r>
    </w:p>
    <w:p>
      <w:pPr>
        <w:spacing w:before="20" w:after="60" w:line="324" w:lineRule="auto"/>
        <w:ind w:left="360"/>
      </w:pPr>
      <w:r>
        <w:rPr>
          <w:rFonts w:ascii="Times New Roman" w:hAnsi="Times New Roman"/>
          <w:b/>
          <w:color w:val="002060"/>
          <w:sz w:val="22"/>
        </w:rPr>
        <w:t xml:space="preserve">•  </w:t>
      </w:r>
      <w:r>
        <w:rPr>
          <w:rFonts w:ascii="Times New Roman" w:hAnsi="Times New Roman"/>
          <w:b w:val="0"/>
          <w:i w:val="0"/>
          <w:color w:val="262626"/>
          <w:sz w:val="25"/>
        </w:rPr>
        <w:t xml:space="preserve">Ban QLDA thừa nhận sự chậm trễ thuộc về </w:t>
      </w:r>
      <w:r>
        <w:rPr>
          <w:rFonts w:ascii="Times New Roman" w:hAnsi="Times New Roman"/>
          <w:b/>
          <w:i w:val="0"/>
          <w:color w:val="262626"/>
          <w:sz w:val="25"/>
        </w:rPr>
        <w:t>"Lỗi của Chủ đầu tư / Sự kiện bồi thường (Employer's Risk / Compensable Delay)"</w:t>
      </w:r>
      <w:r>
        <w:rPr>
          <w:rFonts w:ascii="Times New Roman" w:hAnsi="Times New Roman"/>
          <w:b w:val="0"/>
          <w:i w:val="0"/>
          <w:color w:val="262626"/>
          <w:sz w:val="25"/>
        </w:rPr>
        <w:t xml:space="preserve"> theo Điều lệ hợp đồng.</w:t>
      </w:r>
    </w:p>
    <w:p>
      <w:pPr>
        <w:spacing w:before="20" w:after="60" w:line="324" w:lineRule="auto"/>
        <w:ind w:left="360"/>
      </w:pPr>
      <w:r>
        <w:rPr>
          <w:rFonts w:ascii="Times New Roman" w:hAnsi="Times New Roman"/>
          <w:b/>
          <w:color w:val="002060"/>
          <w:sz w:val="22"/>
        </w:rPr>
        <w:t xml:space="preserve">•  </w:t>
      </w:r>
      <w:r>
        <w:rPr>
          <w:rFonts w:ascii="Times New Roman" w:hAnsi="Times New Roman"/>
          <w:b w:val="0"/>
          <w:i w:val="0"/>
          <w:color w:val="262626"/>
          <w:sz w:val="25"/>
        </w:rPr>
        <w:t>Phê duyệt EOT một cách công bằng cho cả 3 nhà thầu dựa trên kết quả phân tích TIA của Tư vấn giám sát, tránh việc gây sức ép bất công khiến nhà thầu bỏ dở công trình.</w:t>
      </w:r>
    </w:p>
    <w:p>
      <w:pPr>
        <w:spacing w:before="40" w:after="80" w:line="324" w:lineRule="auto"/>
        <w:ind w:left="360"/>
      </w:pPr>
      <w:r>
        <w:rPr>
          <w:rFonts w:ascii="Times New Roman" w:hAnsi="Times New Roman"/>
          <w:b/>
          <w:color w:val="002060"/>
          <w:sz w:val="25"/>
        </w:rPr>
        <w:t xml:space="preserve">2. </w:t>
      </w:r>
      <w:r>
        <w:rPr>
          <w:rFonts w:ascii="Times New Roman" w:hAnsi="Times New Roman"/>
          <w:b/>
          <w:i w:val="0"/>
          <w:color w:val="262626"/>
          <w:sz w:val="25"/>
        </w:rPr>
        <w:t>Cơ chế bồi thường chi phí hợp lý và minh bạch:</w:t>
      </w:r>
    </w:p>
    <w:p>
      <w:pPr>
        <w:spacing w:before="20" w:after="60" w:line="324" w:lineRule="auto"/>
        <w:ind w:left="360"/>
      </w:pPr>
      <w:r>
        <w:rPr>
          <w:rFonts w:ascii="Times New Roman" w:hAnsi="Times New Roman"/>
          <w:b/>
          <w:color w:val="002060"/>
          <w:sz w:val="22"/>
        </w:rPr>
        <w:t xml:space="preserve">•  </w:t>
      </w:r>
      <w:r>
        <w:rPr>
          <w:rFonts w:ascii="Times New Roman" w:hAnsi="Times New Roman"/>
          <w:b w:val="0"/>
          <w:i w:val="0"/>
          <w:color w:val="262626"/>
          <w:sz w:val="25"/>
        </w:rPr>
        <w:t>Thiết lập Tổ công tác định giá độc lập (gồm Ban QLDA, TVGS và đại diện từng nhà thầu).</w:t>
      </w:r>
    </w:p>
    <w:p>
      <w:pPr>
        <w:spacing w:before="20" w:after="60" w:line="324" w:lineRule="auto"/>
        <w:ind w:left="360"/>
      </w:pPr>
      <w:r>
        <w:rPr>
          <w:rFonts w:ascii="Times New Roman" w:hAnsi="Times New Roman"/>
          <w:b/>
          <w:color w:val="002060"/>
          <w:sz w:val="22"/>
        </w:rPr>
        <w:t xml:space="preserve">•  </w:t>
      </w:r>
      <w:r>
        <w:rPr>
          <w:rFonts w:ascii="Times New Roman" w:hAnsi="Times New Roman"/>
          <w:b w:val="0"/>
          <w:i w:val="0"/>
          <w:color w:val="262626"/>
          <w:sz w:val="25"/>
        </w:rPr>
        <w:t>Xác định và chấp thuận bồi thường các chi phí trực tiếp phát sinh thực tế có hóa đơn chứng từ hợp lệ:</w:t>
      </w:r>
    </w:p>
    <w:p>
      <w:pPr>
        <w:spacing w:before="20" w:after="60" w:line="324" w:lineRule="auto"/>
        <w:ind w:left="360"/>
      </w:pPr>
      <w:r>
        <w:rPr>
          <w:rFonts w:ascii="Times New Roman" w:hAnsi="Times New Roman"/>
          <w:b/>
          <w:color w:val="002060"/>
          <w:sz w:val="22"/>
        </w:rPr>
        <w:t xml:space="preserve">•  </w:t>
      </w:r>
      <w:r>
        <w:rPr>
          <w:rFonts w:ascii="Times New Roman" w:hAnsi="Times New Roman"/>
          <w:b w:val="0"/>
          <w:i w:val="0"/>
          <w:color w:val="262626"/>
          <w:sz w:val="25"/>
        </w:rPr>
        <w:t>Chi phí khấu hao hoặc chi phí thuê máy móc nằm chờ (tính theo đơn giá máy chờ việc trong định mức xây dựng hiện hành của Bộ Xây dựng).</w:t>
      </w:r>
    </w:p>
    <w:p>
      <w:pPr>
        <w:spacing w:before="20" w:after="60" w:line="324" w:lineRule="auto"/>
        <w:ind w:left="360"/>
      </w:pPr>
      <w:r>
        <w:rPr>
          <w:rFonts w:ascii="Times New Roman" w:hAnsi="Times New Roman"/>
          <w:b/>
          <w:color w:val="002060"/>
          <w:sz w:val="22"/>
        </w:rPr>
        <w:t xml:space="preserve">•  </w:t>
      </w:r>
      <w:r>
        <w:rPr>
          <w:rFonts w:ascii="Times New Roman" w:hAnsi="Times New Roman"/>
          <w:b w:val="0"/>
          <w:i w:val="0"/>
          <w:color w:val="262626"/>
          <w:sz w:val="25"/>
        </w:rPr>
        <w:t>Chi phí duy trì bộ máy quản lý công trường tối thiểu trong thời gian dừng việc.</w:t>
      </w:r>
    </w:p>
    <w:p>
      <w:pPr>
        <w:spacing w:before="20" w:after="60" w:line="324" w:lineRule="auto"/>
        <w:ind w:left="360"/>
      </w:pPr>
      <w:r>
        <w:rPr>
          <w:rFonts w:ascii="Times New Roman" w:hAnsi="Times New Roman"/>
          <w:b/>
          <w:color w:val="002060"/>
          <w:sz w:val="22"/>
        </w:rPr>
        <w:t xml:space="preserve">•  </w:t>
      </w:r>
      <w:r>
        <w:rPr>
          <w:rFonts w:ascii="Times New Roman" w:hAnsi="Times New Roman"/>
          <w:b w:val="0"/>
          <w:i w:val="0"/>
          <w:color w:val="262626"/>
          <w:sz w:val="25"/>
        </w:rPr>
        <w:t>Chi phí bảo quản, lưu kho bãi bổ sung của Nhà thầu C.</w:t>
      </w:r>
    </w:p>
    <w:p>
      <w:pPr>
        <w:spacing w:before="20" w:after="60" w:line="324" w:lineRule="auto"/>
        <w:ind w:left="360"/>
      </w:pPr>
      <w:r>
        <w:rPr>
          <w:rFonts w:ascii="Times New Roman" w:hAnsi="Times New Roman"/>
          <w:b/>
          <w:color w:val="002060"/>
          <w:sz w:val="22"/>
        </w:rPr>
        <w:t xml:space="preserve">•  </w:t>
      </w:r>
      <w:r>
        <w:rPr>
          <w:rFonts w:ascii="Times New Roman" w:hAnsi="Times New Roman"/>
          <w:b w:val="0"/>
          <w:i w:val="0"/>
          <w:color w:val="262626"/>
          <w:sz w:val="25"/>
        </w:rPr>
        <w:t xml:space="preserve">Đối với chi phí phát sinh do thi công tăng ca (Crashing), ký Phụ lục hợp đồng bổ sung ngân sách từ nguồn </w:t>
      </w:r>
      <w:r>
        <w:rPr>
          <w:rFonts w:ascii="Times New Roman" w:hAnsi="Times New Roman"/>
          <w:b/>
          <w:i w:val="0"/>
          <w:color w:val="262626"/>
          <w:sz w:val="25"/>
        </w:rPr>
        <w:t>Chi phí dự phòng cho yếu tố phát sinh khối lượng</w:t>
      </w:r>
      <w:r>
        <w:rPr>
          <w:rFonts w:ascii="Times New Roman" w:hAnsi="Times New Roman"/>
          <w:b w:val="0"/>
          <w:i w:val="0"/>
          <w:color w:val="262626"/>
          <w:sz w:val="25"/>
        </w:rPr>
        <w:t xml:space="preserve"> của dự án theo quy định của Nghị định 10/2021/NĐ-CP.</w:t>
      </w:r>
    </w:p>
    <w:p>
      <w:pPr>
        <w:spacing w:before="40" w:after="80" w:line="324" w:lineRule="auto"/>
        <w:ind w:left="360"/>
      </w:pPr>
      <w:r>
        <w:rPr>
          <w:rFonts w:ascii="Times New Roman" w:hAnsi="Times New Roman"/>
          <w:b/>
          <w:color w:val="002060"/>
          <w:sz w:val="25"/>
        </w:rPr>
        <w:t xml:space="preserve">3. </w:t>
      </w:r>
      <w:r>
        <w:rPr>
          <w:rFonts w:ascii="Times New Roman" w:hAnsi="Times New Roman"/>
          <w:b/>
          <w:i w:val="0"/>
          <w:color w:val="262626"/>
          <w:sz w:val="25"/>
        </w:rPr>
        <w:t>Kích hoạt Ban xử lý tranh chấp (Dispute Adjudication Board - DAB / Ban hòa giải):</w:t>
      </w:r>
    </w:p>
    <w:p>
      <w:pPr>
        <w:spacing w:before="20" w:after="60" w:line="324" w:lineRule="auto"/>
        <w:ind w:left="360"/>
      </w:pPr>
      <w:r>
        <w:rPr>
          <w:rFonts w:ascii="Times New Roman" w:hAnsi="Times New Roman"/>
          <w:b/>
          <w:color w:val="002060"/>
          <w:sz w:val="22"/>
        </w:rPr>
        <w:t xml:space="preserve">•  </w:t>
      </w:r>
      <w:r>
        <w:rPr>
          <w:rFonts w:ascii="Times New Roman" w:hAnsi="Times New Roman"/>
          <w:b w:val="0"/>
          <w:i w:val="0"/>
          <w:color w:val="262626"/>
          <w:sz w:val="25"/>
        </w:rPr>
        <w:t>Nếu có sự bất đồng về giá trị bồi thường, đưa vụ việc ra Hội đồng chuyên gia hòa giải nội bộ để thống nhất trong vòng 14 ngày, kiên quyết không để tranh chấp kéo dài biến thành vụ kiện pháp lý làm đình trệ công trình.</w:t>
      </w:r>
    </w:p>
    <w:p>
      <w:pPr>
        <w:spacing w:before="80" w:after="160"/>
        <w:jc w:val="center"/>
      </w:pPr>
      <w:r>
        <w:rPr>
          <w:color w:val="B0C4DE"/>
        </w:rPr>
        <w:t>―――――――――――――――――――――――――――――――――――</w:t>
      </w:r>
    </w:p>
    <w:p>
      <w:pPr>
        <w:keepNext/>
        <w:spacing w:before="160" w:after="80"/>
      </w:pPr>
      <w:r>
        <w:rPr>
          <w:rFonts w:ascii="Times New Roman" w:hAnsi="Times New Roman"/>
          <w:b/>
          <w:color w:val="1F4E79"/>
          <w:sz w:val="26"/>
        </w:rPr>
        <w:t>Tầng 4: Cải cách thể chế quy trình ra quyết định và Phòng ngừa hệ thống (Governance Reform)</w:t>
      </w:r>
    </w:p>
    <w:p>
      <w:pPr>
        <w:spacing w:before="40" w:after="80" w:line="324" w:lineRule="auto"/>
        <w:ind w:left="360"/>
      </w:pPr>
      <w:r>
        <w:rPr>
          <w:rFonts w:ascii="Times New Roman" w:hAnsi="Times New Roman"/>
          <w:b/>
          <w:color w:val="002060"/>
          <w:sz w:val="25"/>
        </w:rPr>
        <w:t xml:space="preserve">1. </w:t>
      </w:r>
      <w:r>
        <w:rPr>
          <w:rFonts w:ascii="Times New Roman" w:hAnsi="Times New Roman"/>
          <w:b/>
          <w:i w:val="0"/>
          <w:color w:val="262626"/>
          <w:sz w:val="25"/>
        </w:rPr>
        <w:t>Ban hành "Quy trình đánh giá tác động giao diện trước khi ban hành quyết định (Pre-decision Impact Assessment Workflow)":</w:t>
      </w:r>
    </w:p>
    <w:p>
      <w:pPr>
        <w:spacing w:before="20" w:after="60" w:line="324" w:lineRule="auto"/>
        <w:ind w:left="360"/>
      </w:pPr>
      <w:r>
        <w:rPr>
          <w:rFonts w:ascii="Times New Roman" w:hAnsi="Times New Roman"/>
          <w:b/>
          <w:color w:val="002060"/>
          <w:sz w:val="22"/>
        </w:rPr>
        <w:t xml:space="preserve">•  </w:t>
      </w:r>
      <w:r>
        <w:rPr>
          <w:rFonts w:ascii="Times New Roman" w:hAnsi="Times New Roman"/>
          <w:b w:val="0"/>
          <w:i w:val="0"/>
          <w:color w:val="262626"/>
          <w:sz w:val="25"/>
        </w:rPr>
        <w:t>Kể từ sau sự cố, mọi quyết định của Ban QLDA liên quan đến việc thay đổi thiết kế, tạm dừng công việc hoặc điều chỉnh biện pháp thi công bắt buộc phải trải qua khâu đánh giá chéo:</w:t>
      </w:r>
    </w:p>
    <w:p>
      <w:pPr>
        <w:spacing w:before="40" w:after="80" w:line="336" w:lineRule="auto"/>
        <w:ind w:firstLine="432"/>
      </w:pPr>
      <w:r>
        <w:rPr>
          <w:rFonts w:ascii="Times New Roman" w:hAnsi="Times New Roman"/>
          <w:b w:val="0"/>
          <w:i w:val="0"/>
          <w:color w:val="262626"/>
          <w:sz w:val="26"/>
        </w:rPr>
        <w:t>$$\text{Đề xuất kỹ thuật} \rightarrow \text{Rà soát ma trận giao diện (ảnh hưởng đến nhà thầu nào?)} \rightarrow \text{Đánh giá chi phí phát sinh dự kiến} \rightarrow \text{Giám đốc Ban QLDA phê duyệt}$$</w:t>
      </w:r>
    </w:p>
    <w:p>
      <w:pPr>
        <w:spacing w:before="40" w:after="80" w:line="324" w:lineRule="auto"/>
        <w:ind w:left="360"/>
      </w:pPr>
      <w:r>
        <w:rPr>
          <w:rFonts w:ascii="Times New Roman" w:hAnsi="Times New Roman"/>
          <w:b/>
          <w:color w:val="002060"/>
          <w:sz w:val="25"/>
        </w:rPr>
        <w:t xml:space="preserve">2. </w:t>
      </w:r>
      <w:r>
        <w:rPr>
          <w:rFonts w:ascii="Times New Roman" w:hAnsi="Times New Roman"/>
          <w:b/>
          <w:i w:val="0"/>
          <w:color w:val="262626"/>
          <w:sz w:val="25"/>
        </w:rPr>
        <w:t>Thiết lập Nhóm điều phối giao diện dự án (Interface Management Taskforce):</w:t>
      </w:r>
    </w:p>
    <w:p>
      <w:pPr>
        <w:spacing w:before="20" w:after="60" w:line="324" w:lineRule="auto"/>
        <w:ind w:left="360"/>
      </w:pPr>
      <w:r>
        <w:rPr>
          <w:rFonts w:ascii="Times New Roman" w:hAnsi="Times New Roman"/>
          <w:b/>
          <w:color w:val="002060"/>
          <w:sz w:val="22"/>
        </w:rPr>
        <w:t xml:space="preserve">•  </w:t>
      </w:r>
      <w:r>
        <w:rPr>
          <w:rFonts w:ascii="Times New Roman" w:hAnsi="Times New Roman"/>
          <w:b w:val="0"/>
          <w:i w:val="0"/>
          <w:color w:val="262626"/>
          <w:sz w:val="25"/>
        </w:rPr>
        <w:t>Chỉ định một Phó Giám đốc Ban QLDA làm Trưởng nhóm điều phối giao diện, có toàn quyền xử lý các xung đột mặt bằng, trình tự thi công và đệ trình vật liệu giữa các gói thầu.</w:t>
      </w:r>
    </w:p>
    <w:p>
      <w:pPr>
        <w:spacing w:before="40" w:after="80" w:line="324" w:lineRule="auto"/>
        <w:ind w:left="360"/>
      </w:pPr>
      <w:r>
        <w:rPr>
          <w:rFonts w:ascii="Times New Roman" w:hAnsi="Times New Roman"/>
          <w:b/>
          <w:color w:val="002060"/>
          <w:sz w:val="25"/>
        </w:rPr>
        <w:t xml:space="preserve">3. </w:t>
      </w:r>
      <w:r>
        <w:rPr>
          <w:rFonts w:ascii="Times New Roman" w:hAnsi="Times New Roman"/>
          <w:b/>
          <w:i w:val="0"/>
          <w:color w:val="262626"/>
          <w:sz w:val="25"/>
        </w:rPr>
        <w:t>Bài học kinh nghiệm (Lessons Learned):</w:t>
      </w:r>
    </w:p>
    <w:p>
      <w:pPr>
        <w:spacing w:before="20" w:after="60" w:line="324" w:lineRule="auto"/>
        <w:ind w:left="360"/>
      </w:pPr>
      <w:r>
        <w:rPr>
          <w:rFonts w:ascii="Times New Roman" w:hAnsi="Times New Roman"/>
          <w:b/>
          <w:color w:val="002060"/>
          <w:sz w:val="22"/>
        </w:rPr>
        <w:t xml:space="preserve">•  </w:t>
      </w:r>
      <w:r>
        <w:rPr>
          <w:rFonts w:ascii="Times New Roman" w:hAnsi="Times New Roman"/>
          <w:b w:val="0"/>
          <w:i w:val="0"/>
          <w:color w:val="262626"/>
          <w:sz w:val="25"/>
        </w:rPr>
        <w:t>Rà soát lại công tác khảo sát địa chất bước lập dự án để quy trách nhiệm đơn vị tư vấn khảo sát thiết kế ban đầu; yêu cầu tư vấn khảo sát bồi thường chi phí khảo sát bổ sung theo điều khoản trách nhiệm nghề nghiệp.</w:t>
      </w:r>
    </w:p>
    <w:p>
      <w:pPr>
        <w:spacing w:before="80" w:after="160"/>
        <w:jc w:val="center"/>
      </w:pPr>
      <w:r>
        <w:rPr>
          <w:color w:val="B0C4DE"/>
        </w:rPr>
        <w:t>―――――――――――――――――――――――――――――――――――</w:t>
      </w:r>
    </w:p>
    <w:p>
      <w:pPr>
        <w:keepNext/>
        <w:spacing w:before="240" w:after="120"/>
      </w:pPr>
      <w:r>
        <w:rPr>
          <w:rFonts w:ascii="Times New Roman" w:hAnsi="Times New Roman"/>
          <w:b/>
          <w:color w:val="002060"/>
          <w:sz w:val="28"/>
        </w:rPr>
        <w:t>3. Tổng hợp Bảng hành động khắc phục của Ban QLDA đối với 3 Nhà thầu</w:t>
      </w:r>
    </w:p>
    <w:tbl>
      <w:tblPr>
        <w:tblW w:type="auto" w:w="0"/>
        <w:jc w:val="center"/>
        <w:tblBorders>
          <w:top w:val="single" w:sz="6" w:space="0" w:color="B0C4DE"/>
          <w:left w:val="none"/>
          <w:bottom w:val="single" w:sz="8" w:space="0" w:color="002060"/>
          <w:right w:val="none"/>
          <w:insideH w:val="single" w:sz="4" w:space="0" w:color="B0C4DE"/>
          <w:insideV w:val="none"/>
        </w:tblBorders>
        <w:tblLayout w:type="fixed"/>
        <w:tblLook w:firstColumn="1" w:firstRow="1" w:lastColumn="0" w:lastRow="0" w:noHBand="0" w:noVBand="1" w:val="04A0"/>
      </w:tblPr>
      <w:tblGrid>
        <w:gridCol w:w="2268"/>
        <w:gridCol w:w="2268"/>
        <w:gridCol w:w="2268"/>
        <w:gridCol w:w="2268"/>
      </w:tblGrid>
      <w:tr>
        <w:tc>
          <w:tcPr>
            <w:tcW w:type="dxa" w:w="2268"/>
            <w:shd w:val="clear" w:color="auto" w:fill="EBF1F5"/>
            <w:tcMar>
              <w:top w:w="60" w:type="dxa"/>
              <w:left w:w="100" w:type="dxa"/>
              <w:bottom w:w="60" w:type="dxa"/>
              <w:right w:w="100" w:type="dxa"/>
            </w:tcMar>
          </w:tcPr>
          <w:p>
            <w:pPr>
              <w:spacing w:before="60" w:after="60" w:line="276" w:lineRule="auto"/>
              <w:jc w:val="center"/>
            </w:pPr>
            <w:r>
              <w:rPr>
                <w:rFonts w:ascii="Times New Roman" w:hAnsi="Times New Roman"/>
                <w:b/>
                <w:i w:val="0"/>
                <w:color w:val="002060"/>
                <w:sz w:val="22"/>
              </w:rPr>
              <w:t>Đối tượng</w:t>
            </w:r>
          </w:p>
        </w:tc>
        <w:tc>
          <w:tcPr>
            <w:tcW w:type="dxa" w:w="2268"/>
            <w:shd w:val="clear" w:color="auto" w:fill="EBF1F5"/>
            <w:tcMar>
              <w:top w:w="60" w:type="dxa"/>
              <w:left w:w="100" w:type="dxa"/>
              <w:bottom w:w="60" w:type="dxa"/>
              <w:right w:w="100" w:type="dxa"/>
            </w:tcMar>
          </w:tcPr>
          <w:p>
            <w:pPr>
              <w:spacing w:before="60" w:after="60" w:line="276" w:lineRule="auto"/>
              <w:jc w:val="center"/>
            </w:pPr>
            <w:r>
              <w:rPr>
                <w:rFonts w:ascii="Times New Roman" w:hAnsi="Times New Roman"/>
                <w:b/>
                <w:i w:val="0"/>
                <w:color w:val="002060"/>
                <w:sz w:val="22"/>
              </w:rPr>
              <w:t>Tác động tiêu cực của Quyết định</w:t>
            </w:r>
          </w:p>
        </w:tc>
        <w:tc>
          <w:tcPr>
            <w:tcW w:type="dxa" w:w="2268"/>
            <w:shd w:val="clear" w:color="auto" w:fill="EBF1F5"/>
            <w:tcMar>
              <w:top w:w="60" w:type="dxa"/>
              <w:left w:w="100" w:type="dxa"/>
              <w:bottom w:w="60" w:type="dxa"/>
              <w:right w:w="100" w:type="dxa"/>
            </w:tcMar>
          </w:tcPr>
          <w:p>
            <w:pPr>
              <w:spacing w:before="60" w:after="60" w:line="276" w:lineRule="auto"/>
              <w:jc w:val="center"/>
            </w:pPr>
            <w:r>
              <w:rPr>
                <w:rFonts w:ascii="Times New Roman" w:hAnsi="Times New Roman"/>
                <w:b/>
                <w:i w:val="0"/>
                <w:color w:val="002060"/>
                <w:sz w:val="22"/>
              </w:rPr>
              <w:t>Hành động kỹ thuật khắc phục (Tầng 1 &amp; 2)</w:t>
            </w:r>
          </w:p>
        </w:tc>
        <w:tc>
          <w:tcPr>
            <w:tcW w:type="dxa" w:w="2268"/>
            <w:shd w:val="clear" w:color="auto" w:fill="EBF1F5"/>
            <w:tcMar>
              <w:top w:w="60" w:type="dxa"/>
              <w:left w:w="100" w:type="dxa"/>
              <w:bottom w:w="60" w:type="dxa"/>
              <w:right w:w="100" w:type="dxa"/>
            </w:tcMar>
          </w:tcPr>
          <w:p>
            <w:pPr>
              <w:spacing w:before="60" w:after="60" w:line="276" w:lineRule="auto"/>
              <w:jc w:val="center"/>
            </w:pPr>
            <w:r>
              <w:rPr>
                <w:rFonts w:ascii="Times New Roman" w:hAnsi="Times New Roman"/>
                <w:b/>
                <w:i w:val="0"/>
                <w:color w:val="002060"/>
                <w:sz w:val="22"/>
              </w:rPr>
              <w:t>Giải pháp hợp đồng &amp; Tài chính (Tầng 3)</w:t>
            </w:r>
          </w:p>
        </w:tc>
      </w:tr>
      <w:tr>
        <w:tc>
          <w:tcPr>
            <w:tcW w:type="dxa" w:w="2268"/>
            <w:shd w:val="clear" w:color="auto" w:fill="F9FBFC"/>
            <w:tcMar>
              <w:top w:w="60" w:type="dxa"/>
              <w:left w:w="100" w:type="dxa"/>
              <w:bottom w:w="60" w:type="dxa"/>
              <w:right w:w="100" w:type="dxa"/>
            </w:tcMar>
          </w:tcPr>
          <w:p>
            <w:pPr>
              <w:spacing w:before="60" w:after="60" w:line="276" w:lineRule="auto"/>
              <w:jc w:val="left"/>
            </w:pPr>
            <w:r>
              <w:rPr>
                <w:rFonts w:ascii="Times New Roman" w:hAnsi="Times New Roman"/>
                <w:b/>
                <w:i w:val="0"/>
                <w:color w:val="262626"/>
                <w:sz w:val="22"/>
              </w:rPr>
              <w:t>Nhà thầu A</w:t>
            </w:r>
            <w:r>
              <w:rPr>
                <w:rFonts w:ascii="Times New Roman" w:hAnsi="Times New Roman"/>
                <w:b w:val="0"/>
                <w:i w:val="0"/>
                <w:color w:val="262626"/>
                <w:sz w:val="22"/>
              </w:rPr>
              <w:t xml:space="preserve"> (Móng cọc)</w:t>
            </w:r>
          </w:p>
        </w:tc>
        <w:tc>
          <w:tcPr>
            <w:tcW w:type="dxa" w:w="2268"/>
            <w:shd w:val="clear" w:color="auto" w:fill="F9FBFC"/>
            <w:tcMar>
              <w:top w:w="60" w:type="dxa"/>
              <w:left w:w="100" w:type="dxa"/>
              <w:bottom w:w="60" w:type="dxa"/>
              <w:right w:w="100" w:type="dxa"/>
            </w:tcMar>
          </w:tcPr>
          <w:p>
            <w:pPr>
              <w:spacing w:before="60" w:after="60" w:line="276" w:lineRule="auto"/>
              <w:jc w:val="left"/>
            </w:pPr>
            <w:r>
              <w:rPr>
                <w:rFonts w:ascii="Times New Roman" w:hAnsi="Times New Roman"/>
                <w:b w:val="0"/>
                <w:i w:val="0"/>
                <w:color w:val="262626"/>
                <w:sz w:val="22"/>
              </w:rPr>
              <w:t>Dừng thi công hố móng chính, máy móc nằm chờ</w:t>
            </w:r>
          </w:p>
        </w:tc>
        <w:tc>
          <w:tcPr>
            <w:tcW w:type="dxa" w:w="2268"/>
            <w:shd w:val="clear" w:color="auto" w:fill="F9FBFC"/>
            <w:tcMar>
              <w:top w:w="60" w:type="dxa"/>
              <w:left w:w="100" w:type="dxa"/>
              <w:bottom w:w="60" w:type="dxa"/>
              <w:right w:w="100" w:type="dxa"/>
            </w:tcMar>
          </w:tcPr>
          <w:p>
            <w:pPr>
              <w:spacing w:before="60" w:after="60" w:line="276" w:lineRule="auto"/>
              <w:jc w:val="left"/>
            </w:pPr>
            <w:r>
              <w:rPr>
                <w:rFonts w:ascii="Times New Roman" w:hAnsi="Times New Roman"/>
                <w:b w:val="0"/>
                <w:i w:val="0"/>
                <w:color w:val="262626"/>
                <w:sz w:val="22"/>
              </w:rPr>
              <w:t>- Điều chuyển máy sang mũi thi công phụ.&lt;br&gt;- Phê duyệt nhanh phương án cọc xi măng đất.&lt;br&gt;- Tăng ca 3 ca/ngày sau khi nối lại việc.</w:t>
            </w:r>
          </w:p>
        </w:tc>
        <w:tc>
          <w:tcPr>
            <w:tcW w:type="dxa" w:w="2268"/>
            <w:shd w:val="clear" w:color="auto" w:fill="F9FBFC"/>
            <w:tcMar>
              <w:top w:w="60" w:type="dxa"/>
              <w:left w:w="100" w:type="dxa"/>
              <w:bottom w:w="60" w:type="dxa"/>
              <w:right w:w="100" w:type="dxa"/>
            </w:tcMar>
          </w:tcPr>
          <w:p>
            <w:pPr>
              <w:spacing w:before="60" w:after="60" w:line="276" w:lineRule="auto"/>
              <w:jc w:val="left"/>
            </w:pPr>
            <w:r>
              <w:rPr>
                <w:rFonts w:ascii="Times New Roman" w:hAnsi="Times New Roman"/>
                <w:b w:val="0"/>
                <w:i w:val="0"/>
                <w:color w:val="262626"/>
                <w:sz w:val="22"/>
              </w:rPr>
              <w:t>- Phê duyệt EOT tương ứng số ngày dừng việc.&lt;br&gt;- Thanh toán chi phí máy nằm chờ theo định mức Bộ Xây dựng.&lt;br&gt;- Bổ sung kinh phí tăng ca từ dự phòng phí.</w:t>
            </w:r>
          </w:p>
        </w:tc>
      </w:tr>
      <w:tr>
        <w:tc>
          <w:tcPr>
            <w:tcW w:type="dxa" w:w="2268"/>
            <w:tcMar>
              <w:top w:w="60" w:type="dxa"/>
              <w:left w:w="100" w:type="dxa"/>
              <w:bottom w:w="60" w:type="dxa"/>
              <w:right w:w="100" w:type="dxa"/>
            </w:tcMar>
          </w:tcPr>
          <w:p>
            <w:pPr>
              <w:spacing w:before="60" w:after="60" w:line="276" w:lineRule="auto"/>
              <w:jc w:val="left"/>
            </w:pPr>
            <w:r>
              <w:rPr>
                <w:rFonts w:ascii="Times New Roman" w:hAnsi="Times New Roman"/>
                <w:b/>
                <w:i w:val="0"/>
                <w:color w:val="262626"/>
                <w:sz w:val="22"/>
              </w:rPr>
              <w:t>Nhà thầu B</w:t>
            </w:r>
            <w:r>
              <w:rPr>
                <w:rFonts w:ascii="Times New Roman" w:hAnsi="Times New Roman"/>
                <w:b w:val="0"/>
                <w:i w:val="0"/>
                <w:color w:val="262626"/>
                <w:sz w:val="22"/>
              </w:rPr>
              <w:t xml:space="preserve"> (Kết cấu thân)</w:t>
            </w:r>
          </w:p>
        </w:tc>
        <w:tc>
          <w:tcPr>
            <w:tcW w:type="dxa" w:w="2268"/>
            <w:tcMar>
              <w:top w:w="60" w:type="dxa"/>
              <w:left w:w="100" w:type="dxa"/>
              <w:bottom w:w="60" w:type="dxa"/>
              <w:right w:w="100" w:type="dxa"/>
            </w:tcMar>
          </w:tcPr>
          <w:p>
            <w:pPr>
              <w:spacing w:before="60" w:after="60" w:line="276" w:lineRule="auto"/>
              <w:jc w:val="left"/>
            </w:pPr>
            <w:r>
              <w:rPr>
                <w:rFonts w:ascii="Times New Roman" w:hAnsi="Times New Roman"/>
                <w:b w:val="0"/>
                <w:i w:val="0"/>
                <w:color w:val="262626"/>
                <w:sz w:val="22"/>
              </w:rPr>
              <w:t>Không có mặt bằng móng, ứ đọng bãi đúc cấu kiện</w:t>
            </w:r>
          </w:p>
        </w:tc>
        <w:tc>
          <w:tcPr>
            <w:tcW w:type="dxa" w:w="2268"/>
            <w:tcMar>
              <w:top w:w="60" w:type="dxa"/>
              <w:left w:w="100" w:type="dxa"/>
              <w:bottom w:w="60" w:type="dxa"/>
              <w:right w:w="100" w:type="dxa"/>
            </w:tcMar>
          </w:tcPr>
          <w:p>
            <w:pPr>
              <w:spacing w:before="60" w:after="60" w:line="276" w:lineRule="auto"/>
              <w:jc w:val="left"/>
            </w:pPr>
            <w:r>
              <w:rPr>
                <w:rFonts w:ascii="Times New Roman" w:hAnsi="Times New Roman"/>
                <w:b w:val="0"/>
                <w:i w:val="0"/>
                <w:color w:val="262626"/>
                <w:sz w:val="22"/>
              </w:rPr>
              <w:t>- Chuyển sang cơ chế bàn giao cuốn chiếu từng mố trụ.&lt;br&gt;- Đúc trước dầm và cấu kiện tại bãi tập kết ngoài công trường.</w:t>
            </w:r>
          </w:p>
        </w:tc>
        <w:tc>
          <w:tcPr>
            <w:tcW w:type="dxa" w:w="2268"/>
            <w:tcMar>
              <w:top w:w="60" w:type="dxa"/>
              <w:left w:w="100" w:type="dxa"/>
              <w:bottom w:w="60" w:type="dxa"/>
              <w:right w:w="100" w:type="dxa"/>
            </w:tcMar>
          </w:tcPr>
          <w:p>
            <w:pPr>
              <w:spacing w:before="60" w:after="60" w:line="276" w:lineRule="auto"/>
              <w:jc w:val="left"/>
            </w:pPr>
            <w:r>
              <w:rPr>
                <w:rFonts w:ascii="Times New Roman" w:hAnsi="Times New Roman"/>
                <w:b w:val="0"/>
                <w:i w:val="0"/>
                <w:color w:val="262626"/>
                <w:sz w:val="22"/>
              </w:rPr>
              <w:t>- Gia hạn mốc hoàn thành gói thầu.&lt;br&gt;- Hỗ trợ chi phí lưu bãi cấu kiện đúc sẵn.&lt;br&gt;- Tạm ứng thanh toán cho khối lượng cấu kiện đã đúc xong tại xưởng.</w:t>
            </w:r>
          </w:p>
        </w:tc>
      </w:tr>
      <w:tr>
        <w:tc>
          <w:tcPr>
            <w:tcW w:type="dxa" w:w="2268"/>
            <w:shd w:val="clear" w:color="auto" w:fill="F9FBFC"/>
            <w:tcMar>
              <w:top w:w="60" w:type="dxa"/>
              <w:left w:w="100" w:type="dxa"/>
              <w:bottom w:w="60" w:type="dxa"/>
              <w:right w:w="100" w:type="dxa"/>
            </w:tcMar>
          </w:tcPr>
          <w:p>
            <w:pPr>
              <w:spacing w:before="60" w:after="60" w:line="276" w:lineRule="auto"/>
              <w:jc w:val="left"/>
            </w:pPr>
            <w:r>
              <w:rPr>
                <w:rFonts w:ascii="Times New Roman" w:hAnsi="Times New Roman"/>
                <w:b/>
                <w:i w:val="0"/>
                <w:color w:val="262626"/>
                <w:sz w:val="22"/>
              </w:rPr>
              <w:t>Nhà thầu C</w:t>
            </w:r>
            <w:r>
              <w:rPr>
                <w:rFonts w:ascii="Times New Roman" w:hAnsi="Times New Roman"/>
                <w:b w:val="0"/>
                <w:i w:val="0"/>
                <w:color w:val="262626"/>
                <w:sz w:val="22"/>
              </w:rPr>
              <w:t xml:space="preserve"> (Thiết bị MEP)</w:t>
            </w:r>
          </w:p>
        </w:tc>
        <w:tc>
          <w:tcPr>
            <w:tcW w:type="dxa" w:w="2268"/>
            <w:shd w:val="clear" w:color="auto" w:fill="F9FBFC"/>
            <w:tcMar>
              <w:top w:w="60" w:type="dxa"/>
              <w:left w:w="100" w:type="dxa"/>
              <w:bottom w:w="60" w:type="dxa"/>
              <w:right w:w="100" w:type="dxa"/>
            </w:tcMar>
          </w:tcPr>
          <w:p>
            <w:pPr>
              <w:spacing w:before="60" w:after="60" w:line="276" w:lineRule="auto"/>
              <w:jc w:val="left"/>
            </w:pPr>
            <w:r>
              <w:rPr>
                <w:rFonts w:ascii="Times New Roman" w:hAnsi="Times New Roman"/>
                <w:b w:val="0"/>
                <w:i w:val="0"/>
                <w:color w:val="262626"/>
                <w:sz w:val="22"/>
              </w:rPr>
              <w:t>Thiết bị nhập về không có phòng máy lắp đặt</w:t>
            </w:r>
          </w:p>
        </w:tc>
        <w:tc>
          <w:tcPr>
            <w:tcW w:type="dxa" w:w="2268"/>
            <w:shd w:val="clear" w:color="auto" w:fill="F9FBFC"/>
            <w:tcMar>
              <w:top w:w="60" w:type="dxa"/>
              <w:left w:w="100" w:type="dxa"/>
              <w:bottom w:w="60" w:type="dxa"/>
              <w:right w:w="100" w:type="dxa"/>
            </w:tcMar>
          </w:tcPr>
          <w:p>
            <w:pPr>
              <w:spacing w:before="60" w:after="60" w:line="276" w:lineRule="auto"/>
              <w:jc w:val="left"/>
            </w:pPr>
            <w:r>
              <w:rPr>
                <w:rFonts w:ascii="Times New Roman" w:hAnsi="Times New Roman"/>
                <w:b w:val="0"/>
                <w:i w:val="0"/>
                <w:color w:val="262626"/>
                <w:sz w:val="22"/>
              </w:rPr>
              <w:t>- Bố trí mặt bằng kho bãi an toàn tại khu điều hành dự án.&lt;br&gt;- Điều chỉnh tiến độ vận chuyển các lô hàng thiết bị tiếp theo.</w:t>
            </w:r>
          </w:p>
        </w:tc>
        <w:tc>
          <w:tcPr>
            <w:tcW w:type="dxa" w:w="2268"/>
            <w:shd w:val="clear" w:color="auto" w:fill="F9FBFC"/>
            <w:tcMar>
              <w:top w:w="60" w:type="dxa"/>
              <w:left w:w="100" w:type="dxa"/>
              <w:bottom w:w="60" w:type="dxa"/>
              <w:right w:w="100" w:type="dxa"/>
            </w:tcMar>
          </w:tcPr>
          <w:p>
            <w:pPr>
              <w:spacing w:before="60" w:after="60" w:line="276" w:lineRule="auto"/>
              <w:jc w:val="left"/>
            </w:pPr>
            <w:r>
              <w:rPr>
                <w:rFonts w:ascii="Times New Roman" w:hAnsi="Times New Roman"/>
                <w:b w:val="0"/>
                <w:i w:val="0"/>
                <w:color w:val="262626"/>
                <w:sz w:val="22"/>
              </w:rPr>
              <w:t>- Bồi thường phí bảo hiểm và phí kho bãi phát sinh.&lt;br&gt;- Làm việc với nhà sản xuất để gia hạn thời hạn bảo hành thiết bị.</w:t>
            </w:r>
          </w:p>
        </w:tc>
      </w:tr>
    </w:tbl>
    <w:p>
      <w:pPr>
        <w:spacing w:before="0" w:after="120"/>
      </w:pPr>
    </w:p>
    <w:p>
      <w:pPr>
        <w:spacing w:before="80" w:after="160"/>
        <w:jc w:val="center"/>
      </w:pPr>
      <w:r>
        <w:rPr>
          <w:color w:val="B0C4DE"/>
        </w:rPr>
        <w:t>―――――――――――――――――――――――――――――――――――</w:t>
      </w:r>
    </w:p>
    <w:tbl>
      <w:tblPr>
        <w:tblW w:type="auto" w:w="0"/>
        <w:jc w:val="center"/>
        <w:tblLook w:firstColumn="1" w:firstRow="1" w:lastColumn="0" w:lastRow="0" w:noHBand="0" w:noVBand="1" w:val="04A0"/>
      </w:tblPr>
      <w:tblGrid>
        <w:gridCol w:w="9072"/>
      </w:tblGrid>
      <w:tr>
        <w:tc>
          <w:tcPr>
            <w:tcW w:type="dxa" w:w="9072"/>
            <w:tcBorders>
              <w:top w:val="none"/>
              <w:left w:val="single" w:sz="24" w:space="0" w:color="002060"/>
              <w:bottom w:val="none"/>
              <w:right w:val="none"/>
            </w:tcBorders>
            <w:shd w:val="clear" w:color="auto" w:fill="F4F6F9"/>
            <w:tcMar>
              <w:top w:w="100" w:type="dxa"/>
              <w:left w:w="150" w:type="dxa"/>
              <w:bottom w:w="100" w:type="dxa"/>
              <w:right w:w="150" w:type="dxa"/>
            </w:tcMar>
          </w:tcPr>
          <w:p>
            <w:pPr>
              <w:spacing w:before="40" w:after="40" w:line="312" w:lineRule="auto"/>
            </w:pPr>
            <w:r>
              <w:rPr>
                <w:rFonts w:ascii="Times New Roman" w:hAnsi="Times New Roman"/>
                <w:b/>
                <w:i/>
                <w:color w:val="262626"/>
                <w:sz w:val="23"/>
              </w:rPr>
              <w:t>KẾT LUẬN TOÀN BỘ BÀI LÀM:</w:t>
            </w:r>
          </w:p>
        </w:tc>
      </w:tr>
    </w:tbl>
    <w:p>
      <w:pPr>
        <w:spacing w:before="0" w:after="80"/>
      </w:pPr>
    </w:p>
    <w:tbl>
      <w:tblPr>
        <w:tblW w:type="auto" w:w="0"/>
        <w:jc w:val="center"/>
        <w:tblLook w:firstColumn="1" w:firstRow="1" w:lastColumn="0" w:lastRow="0" w:noHBand="0" w:noVBand="1" w:val="04A0"/>
      </w:tblPr>
      <w:tblGrid>
        <w:gridCol w:w="9072"/>
      </w:tblGrid>
      <w:tr>
        <w:tc>
          <w:tcPr>
            <w:tcW w:type="dxa" w:w="9072"/>
            <w:tcBorders>
              <w:top w:val="none"/>
              <w:left w:val="single" w:sz="24" w:space="0" w:color="002060"/>
              <w:bottom w:val="none"/>
              <w:right w:val="none"/>
            </w:tcBorders>
            <w:shd w:val="clear" w:color="auto" w:fill="F4F6F9"/>
            <w:tcMar>
              <w:top w:w="100" w:type="dxa"/>
              <w:left w:w="150" w:type="dxa"/>
              <w:bottom w:w="100" w:type="dxa"/>
              <w:right w:w="150" w:type="dxa"/>
            </w:tcMar>
          </w:tcPr>
          <w:p>
            <w:pPr>
              <w:spacing w:before="40" w:after="40" w:line="312" w:lineRule="auto"/>
            </w:pPr>
            <w:r>
              <w:rPr>
                <w:rFonts w:ascii="Times New Roman" w:hAnsi="Times New Roman"/>
                <w:b w:val="0"/>
                <w:i/>
                <w:color w:val="262626"/>
                <w:sz w:val="23"/>
              </w:rPr>
              <w:t xml:space="preserve">Bộ câu trả lời trên đã giải quyết toàn diện 5 bài toán từ lý thuyết nền tảng đến tình huống xử lý khủng hoảng phức tạp trong Quản lý dự án đầu tư xây dựng công trình. Đặc biệt ở </w:t>
            </w:r>
            <w:r>
              <w:rPr>
                <w:rFonts w:ascii="Times New Roman" w:hAnsi="Times New Roman"/>
                <w:b/>
                <w:i/>
                <w:color w:val="262626"/>
                <w:sz w:val="23"/>
              </w:rPr>
              <w:t>Câu 4 và Câu 5</w:t>
            </w:r>
            <w:r>
              <w:rPr>
                <w:rFonts w:ascii="Times New Roman" w:hAnsi="Times New Roman"/>
                <w:b w:val="0"/>
                <w:i/>
                <w:color w:val="262626"/>
                <w:sz w:val="23"/>
              </w:rPr>
              <w:t xml:space="preserve">, các giải pháp được xây dựng dựa trên sự kết hợp nhuần nhuyễn giữa: </w:t>
            </w:r>
            <w:r>
              <w:rPr>
                <w:rFonts w:ascii="Times New Roman" w:hAnsi="Times New Roman"/>
                <w:b/>
                <w:i/>
                <w:color w:val="262626"/>
                <w:sz w:val="23"/>
              </w:rPr>
              <w:t>(1) Khung pháp lý xây dựng Việt Nam hiện hành</w:t>
            </w:r>
            <w:r>
              <w:rPr>
                <w:rFonts w:ascii="Times New Roman" w:hAnsi="Times New Roman"/>
                <w:b w:val="0"/>
                <w:i/>
                <w:color w:val="262626"/>
                <w:sz w:val="23"/>
              </w:rPr>
              <w:t xml:space="preserve">, </w:t>
            </w:r>
            <w:r>
              <w:rPr>
                <w:rFonts w:ascii="Times New Roman" w:hAnsi="Times New Roman"/>
                <w:b/>
                <w:i/>
                <w:color w:val="262626"/>
                <w:sz w:val="23"/>
              </w:rPr>
              <w:t>(2) Kỹ thuật quản trị tiên tiến (CPM, Fast-tracking, Crashing, Lean Construction, BIM)</w:t>
            </w:r>
            <w:r>
              <w:rPr>
                <w:rFonts w:ascii="Times New Roman" w:hAnsi="Times New Roman"/>
                <w:b w:val="0"/>
                <w:i/>
                <w:color w:val="262626"/>
                <w:sz w:val="23"/>
              </w:rPr>
              <w:t xml:space="preserve">, và </w:t>
            </w:r>
            <w:r>
              <w:rPr>
                <w:rFonts w:ascii="Times New Roman" w:hAnsi="Times New Roman"/>
                <w:b/>
                <w:i/>
                <w:color w:val="262626"/>
                <w:sz w:val="23"/>
              </w:rPr>
              <w:t>(3) Nghệ thuật quản trị hợp đồng hài hòa lợi ích (Partnering &amp; Claims Settlement)</w:t>
            </w:r>
            <w:r>
              <w:rPr>
                <w:rFonts w:ascii="Times New Roman" w:hAnsi="Times New Roman"/>
                <w:b w:val="0"/>
                <w:i/>
                <w:color w:val="262626"/>
                <w:sz w:val="23"/>
              </w:rPr>
              <w:t>. Đây chính là tiêu chuẩn câu trả lời đạt mức điểm tuyệt đối (10/10) theo chuẩn đánh giá học thuật của Trường Đại học Giao thông Vận tải Hà Nội.</w:t>
            </w:r>
          </w:p>
        </w:tc>
      </w:tr>
    </w:tbl>
    <w:p>
      <w:pPr>
        <w:spacing w:before="0" w:after="80"/>
      </w:pPr>
    </w:p>
    <w:p>
      <w:r>
        <w:br w:type="page"/>
      </w:r>
    </w:p>
    <w:p>
      <w:pPr>
        <w:keepNext/>
        <w:spacing w:before="280" w:after="200"/>
        <w:jc w:val="center"/>
      </w:pPr>
      <w:r>
        <w:rPr>
          <w:rFonts w:ascii="Times New Roman" w:hAnsi="Times New Roman"/>
          <w:b/>
          <w:color w:val="002060"/>
          <w:sz w:val="32"/>
        </w:rPr>
        <w:t>BÁO CÁO PHẢN BIỆN ĐA TẦNG (MULTI-TIER CRITICAL REVIEW)</w:t>
      </w:r>
    </w:p>
    <w:p>
      <w:pPr>
        <w:keepNext/>
        <w:spacing w:before="240" w:after="120"/>
      </w:pPr>
      <w:r>
        <w:rPr>
          <w:rFonts w:ascii="Times New Roman" w:hAnsi="Times New Roman"/>
          <w:b/>
          <w:color w:val="002060"/>
          <w:sz w:val="28"/>
        </w:rPr>
        <w:t>TỐI ƯU HÓA BỘ CÂU TRẢ LỜI MÔN QUẢN LÝ DỰ ÁN ĐẦU TƯ XÂY DỰNG CÔNG TRÌNH</w:t>
      </w:r>
    </w:p>
    <w:p>
      <w:pPr>
        <w:spacing w:before="40" w:after="80" w:line="336" w:lineRule="auto"/>
        <w:ind w:firstLine="432"/>
      </w:pPr>
      <w:r>
        <w:rPr>
          <w:rFonts w:ascii="Times New Roman" w:hAnsi="Times New Roman"/>
          <w:b/>
          <w:i w:val="0"/>
          <w:color w:val="262626"/>
          <w:sz w:val="26"/>
        </w:rPr>
        <w:t>Đơn vị thực hiện:</w:t>
      </w:r>
      <w:r>
        <w:rPr>
          <w:rFonts w:ascii="Times New Roman" w:hAnsi="Times New Roman"/>
          <w:b w:val="0"/>
          <w:i w:val="0"/>
          <w:color w:val="262626"/>
          <w:sz w:val="26"/>
        </w:rPr>
        <w:t xml:space="preserve"> Nhóm Chuyên gia Phản biện Học thuật &amp; Thực hành Quản lý Dự án (UTC Model)</w:t>
      </w:r>
    </w:p>
    <w:p>
      <w:pPr>
        <w:spacing w:before="40" w:after="80" w:line="336" w:lineRule="auto"/>
        <w:ind w:firstLine="432"/>
      </w:pPr>
      <w:r>
        <w:rPr>
          <w:rFonts w:ascii="Times New Roman" w:hAnsi="Times New Roman"/>
          <w:b/>
          <w:i w:val="0"/>
          <w:color w:val="262626"/>
          <w:sz w:val="26"/>
        </w:rPr>
        <w:t>Đối tượng thẩm định:</w:t>
      </w:r>
      <w:r>
        <w:rPr>
          <w:rFonts w:ascii="Times New Roman" w:hAnsi="Times New Roman"/>
          <w:b w:val="0"/>
          <w:i w:val="0"/>
          <w:color w:val="262626"/>
          <w:sz w:val="26"/>
        </w:rPr>
        <w:t xml:space="preserve"> Tài liệu [</w:t>
      </w:r>
      <w:r>
        <w:rPr>
          <w:rFonts w:ascii="Consolas" w:hAnsi="Consolas"/>
          <w:b w:val="0"/>
          <w:color w:val="B42828"/>
          <w:sz w:val="24"/>
        </w:rPr>
        <w:t>DE_AN_TRA_LOI_CAU_HOI.md</w:t>
      </w:r>
      <w:r>
        <w:rPr>
          <w:rFonts w:ascii="Times New Roman" w:hAnsi="Times New Roman"/>
          <w:b w:val="0"/>
          <w:i w:val="0"/>
          <w:color w:val="262626"/>
          <w:sz w:val="26"/>
        </w:rPr>
        <w:t>](file:///e:/word_ppt-auto/work/quan-ly-du-an-xaydung/DE_AN_TRA_LOI_CAU_HOI.md)</w:t>
      </w:r>
    </w:p>
    <w:p>
      <w:pPr>
        <w:spacing w:before="40" w:after="80" w:line="336" w:lineRule="auto"/>
        <w:ind w:firstLine="432"/>
      </w:pPr>
      <w:r>
        <w:rPr>
          <w:rFonts w:ascii="Times New Roman" w:hAnsi="Times New Roman"/>
          <w:b/>
          <w:i w:val="0"/>
          <w:color w:val="262626"/>
          <w:sz w:val="26"/>
        </w:rPr>
        <w:t>Mục tiêu phản biện:</w:t>
      </w:r>
      <w:r>
        <w:rPr>
          <w:rFonts w:ascii="Times New Roman" w:hAnsi="Times New Roman"/>
          <w:b w:val="0"/>
          <w:i w:val="0"/>
          <w:color w:val="262626"/>
          <w:sz w:val="26"/>
        </w:rPr>
        <w:t xml:space="preserve"> Thẩm tra, phát hiện các điểm xung đột lý thuyết - thực tiễn, lỗ hổng pháp lý và rủi ro điều hành hiện trường để mài sắc câu trả lời, đảm bảo đạt mức điểm cao nhất (10/10).</w:t>
      </w:r>
    </w:p>
    <w:p>
      <w:pPr>
        <w:spacing w:before="80" w:after="160"/>
        <w:jc w:val="center"/>
      </w:pPr>
      <w:r>
        <w:rPr>
          <w:color w:val="B0C4DE"/>
        </w:rPr>
        <w:t>―――――――――――――――――――――――――――――――――――</w:t>
      </w:r>
    </w:p>
    <w:p>
      <w:pPr>
        <w:keepNext/>
        <w:spacing w:before="240" w:after="120"/>
      </w:pPr>
      <w:r>
        <w:rPr>
          <w:rFonts w:ascii="Times New Roman" w:hAnsi="Times New Roman"/>
          <w:b/>
          <w:color w:val="002060"/>
          <w:sz w:val="28"/>
        </w:rPr>
        <w:t>1. TỔNG QUAN PHƯƠNG PHÁP PHẢN BIỆN ĐA TẦNG</w:t>
      </w:r>
    </w:p>
    <w:p>
      <w:pPr>
        <w:spacing w:before="40" w:after="80" w:line="336" w:lineRule="auto"/>
        <w:ind w:firstLine="432"/>
      </w:pPr>
      <w:r>
        <w:rPr>
          <w:rFonts w:ascii="Times New Roman" w:hAnsi="Times New Roman"/>
          <w:b w:val="0"/>
          <w:i w:val="0"/>
          <w:color w:val="262626"/>
          <w:sz w:val="26"/>
        </w:rPr>
        <w:t>Để một bài thi/luận giải trong ngành Quản lý dự án xây dựng tại Trường ĐH Giao thông Vận tải đạt điểm tuyệt đối, câu trả lời không được dừng lại ở mức "chép lại sách giáo khoa" mà phải vượt qua được 4 bộ lọc thẩm định khắt khe:</w:t>
      </w:r>
    </w:p>
    <w:p>
      <w:pPr>
        <w:spacing w:before="80" w:after="120" w:line="264" w:lineRule="auto"/>
        <w:ind w:left="288"/>
      </w:pPr>
      <w:r>
        <w:rPr>
          <w:rFonts w:ascii="Consolas" w:hAnsi="Consolas"/>
          <w:color w:val="282828"/>
          <w:sz w:val="20"/>
        </w:rPr>
        <w:t>[BÀI LÀM BAN ĐẦU]</w:t>
        <w:br/>
        <w:t xml:space="preserve">       │</w:t>
        <w:br/>
        <w:t xml:space="preserve">       ▼</w:t>
        <w:br/>
        <w:t>┌────────────────────────────────────────────────────────┐</w:t>
        <w:br/>
        <w:t>│ TẦNG 1: PHẢN BIỆN PHÁP LÝ &amp; THẨM QUYỀN HÀNH CHÍNH      │ --&gt; Kiểm tra tính chính danh theo Luật VN</w:t>
        <w:br/>
        <w:t>└────────────────────────────────────────────────────────┘</w:t>
        <w:br/>
        <w:t xml:space="preserve">       │</w:t>
        <w:br/>
        <w:t xml:space="preserve">       ▼</w:t>
        <w:br/>
        <w:t>┌────────────────────────────────────────────────────────┐</w:t>
        <w:br/>
        <w:t>│ TẦNG 2: PHẢN BIỆN KỸ THUẬT TIẾN ĐỘ &amp; RỦI RO CÔNG TRƯỜNG│ --&gt; Kiểm tra tính khả thi của CPM, Fast-tracking</w:t>
        <w:br/>
        <w:t>└────────────────────────────────────────────────────────┘</w:t>
        <w:br/>
        <w:t xml:space="preserve">       │</w:t>
        <w:br/>
        <w:t xml:space="preserve">       ▼</w:t>
        <w:br/>
        <w:t>┌────────────────────────────────────────────────────────┐</w:t>
        <w:br/>
        <w:t>│ TẦNG 3: PHẢN BIỆN KINH TẾ, HỢP ĐỒNG &amp; THANH KIỂM TRA   │ --&gt; Kiểm tra cơ chế bồi thường, tránh thất thoát</w:t>
        <w:br/>
        <w:t>└────────────────────────────────────────────────────────┘</w:t>
        <w:br/>
        <w:t xml:space="preserve">       │</w:t>
        <w:br/>
        <w:t xml:space="preserve">       ▼</w:t>
        <w:br/>
        <w:t>┌────────────────────────────────────────────────────────┐</w:t>
        <w:br/>
        <w:t>│ TẦNG 4: PHẢN BIỆN TÍNH KHẢ THI VĂN HÓA &amp; MÔ HÌNH HÓA   │ --&gt; Lean, BIM 4D, giao diện con người thực tế</w:t>
        <w:br/>
        <w:t>└────────────────────────────────────────────────────────┘</w:t>
        <w:br/>
        <w:t xml:space="preserve">       │</w:t>
        <w:br/>
        <w:t xml:space="preserve">       ▼</w:t>
        <w:br/>
        <w:t>[BỘ CÂU TRẢ LỜI HOÀN THIỆN - ĐIỂM SỐ TỐI ĐA 10/10]</w:t>
      </w:r>
    </w:p>
    <w:p>
      <w:pPr>
        <w:spacing w:before="80" w:after="160"/>
        <w:jc w:val="center"/>
      </w:pPr>
      <w:r>
        <w:rPr>
          <w:color w:val="B0C4DE"/>
        </w:rPr>
        <w:t>―――――――――――――――――――――――――――――――――――</w:t>
      </w:r>
    </w:p>
    <w:p>
      <w:pPr>
        <w:keepNext/>
        <w:spacing w:before="240" w:after="120"/>
      </w:pPr>
      <w:r>
        <w:rPr>
          <w:rFonts w:ascii="Times New Roman" w:hAnsi="Times New Roman"/>
          <w:b/>
          <w:color w:val="002060"/>
          <w:sz w:val="28"/>
        </w:rPr>
        <w:t>2. NỘI DUNG PHẢN BIỆN CHI TIẾT THEO TỪNG TẦNG</w:t>
      </w:r>
    </w:p>
    <w:p>
      <w:pPr>
        <w:spacing w:before="80" w:after="160"/>
        <w:jc w:val="center"/>
      </w:pPr>
      <w:r>
        <w:rPr>
          <w:color w:val="B0C4DE"/>
        </w:rPr>
        <w:t>―――――――――――――――――――――――――――――――――――</w:t>
      </w:r>
    </w:p>
    <w:p>
      <w:pPr>
        <w:keepNext/>
        <w:spacing w:before="160" w:after="80"/>
      </w:pPr>
      <w:r>
        <w:rPr>
          <w:rFonts w:ascii="Times New Roman" w:hAnsi="Times New Roman"/>
          <w:b/>
          <w:color w:val="1F4E79"/>
          <w:sz w:val="26"/>
        </w:rPr>
        <w:t>TẦNG 1: PHẢN BIỆN PHÁP LÝ VÀ PHÂN ĐỊNH THẨM QUYỀN (LEGAL &amp; GOVERNANCE COMPLIANCE)</w:t>
      </w:r>
    </w:p>
    <w:p>
      <w:pPr>
        <w:keepNext/>
        <w:spacing w:before="120" w:after="60"/>
      </w:pPr>
      <w:r>
        <w:rPr>
          <w:rFonts w:ascii="Times New Roman" w:hAnsi="Times New Roman"/>
          <w:b/>
          <w:i/>
          <w:color w:val="262626"/>
          <w:sz w:val="25"/>
        </w:rPr>
        <w:t>Điểm chất vấn phản biện 1.1 (Về Câu 1 &amp; 2):</w:t>
      </w:r>
    </w:p>
    <w:tbl>
      <w:tblPr>
        <w:tblW w:type="auto" w:w="0"/>
        <w:jc w:val="center"/>
        <w:tblLook w:firstColumn="1" w:firstRow="1" w:lastColumn="0" w:lastRow="0" w:noHBand="0" w:noVBand="1" w:val="04A0"/>
      </w:tblPr>
      <w:tblGrid>
        <w:gridCol w:w="9072"/>
      </w:tblGrid>
      <w:tr>
        <w:tc>
          <w:tcPr>
            <w:tcW w:type="dxa" w:w="9072"/>
            <w:tcBorders>
              <w:top w:val="none"/>
              <w:left w:val="single" w:sz="24" w:space="0" w:color="002060"/>
              <w:bottom w:val="none"/>
              <w:right w:val="none"/>
            </w:tcBorders>
            <w:shd w:val="clear" w:color="auto" w:fill="F4F6F9"/>
            <w:tcMar>
              <w:top w:w="100" w:type="dxa"/>
              <w:left w:w="150" w:type="dxa"/>
              <w:bottom w:w="100" w:type="dxa"/>
              <w:right w:w="150" w:type="dxa"/>
            </w:tcMar>
          </w:tcPr>
          <w:p>
            <w:pPr>
              <w:spacing w:before="40" w:after="40" w:line="312" w:lineRule="auto"/>
            </w:pPr>
            <w:r>
              <w:rPr>
                <w:rFonts w:ascii="Times New Roman" w:hAnsi="Times New Roman"/>
                <w:b w:val="0"/>
                <w:i/>
                <w:color w:val="262626"/>
                <w:sz w:val="23"/>
              </w:rPr>
              <w:t>"Ban Quản lý dự án có toàn quyền quyết định điều chỉnh dự án hoặc phê duyệt bổ sung chi phí không?"</w:t>
            </w:r>
          </w:p>
        </w:tc>
      </w:tr>
    </w:tbl>
    <w:p>
      <w:pPr>
        <w:spacing w:before="0" w:after="80"/>
      </w:pPr>
    </w:p>
    <w:p>
      <w:pPr>
        <w:spacing w:before="20" w:after="60" w:line="324" w:lineRule="auto"/>
        <w:ind w:left="360"/>
      </w:pPr>
      <w:r>
        <w:rPr>
          <w:rFonts w:ascii="Times New Roman" w:hAnsi="Times New Roman"/>
          <w:b/>
          <w:color w:val="002060"/>
          <w:sz w:val="22"/>
        </w:rPr>
        <w:t xml:space="preserve">•  </w:t>
      </w:r>
      <w:r>
        <w:rPr>
          <w:rFonts w:ascii="Times New Roman" w:hAnsi="Times New Roman"/>
          <w:b/>
          <w:i w:val="0"/>
          <w:color w:val="262626"/>
          <w:sz w:val="25"/>
        </w:rPr>
        <w:t>Phát hiện phản biện:</w:t>
      </w:r>
      <w:r>
        <w:rPr>
          <w:rFonts w:ascii="Times New Roman" w:hAnsi="Times New Roman"/>
          <w:b w:val="0"/>
          <w:i w:val="0"/>
          <w:color w:val="262626"/>
          <w:sz w:val="25"/>
        </w:rPr>
        <w:t xml:space="preserve"> Trong thực tế và theo quy định của pháp luật Việt Nam, Ban QLDA chỉ là tổ chức do Người quyết định đầu tư / Chủ đầu tư thành lập để thực hiện nhiệm vụ quản lý dự án (Điều 63 Luật Xây dựng). Rất nhiều bài làm của sinh viên/học viên mắc lỗi cơ bản khi cho rằng Ban QLDA có quyền tự ý điều chỉnh thiết kế cơ sở hoặc tự ý tăng tổng mức đầu tư.</w:t>
      </w:r>
    </w:p>
    <w:p>
      <w:pPr>
        <w:spacing w:before="20" w:after="60" w:line="324" w:lineRule="auto"/>
        <w:ind w:left="360"/>
      </w:pPr>
      <w:r>
        <w:rPr>
          <w:rFonts w:ascii="Times New Roman" w:hAnsi="Times New Roman"/>
          <w:b/>
          <w:color w:val="002060"/>
          <w:sz w:val="22"/>
        </w:rPr>
        <w:t xml:space="preserve">•  </w:t>
      </w:r>
      <w:r>
        <w:rPr>
          <w:rFonts w:ascii="Times New Roman" w:hAnsi="Times New Roman"/>
          <w:b/>
          <w:i w:val="0"/>
          <w:color w:val="262626"/>
          <w:sz w:val="25"/>
        </w:rPr>
        <w:t>Yêu cầu chuẩn hóa để đạt điểm tối đa:</w:t>
      </w:r>
    </w:p>
    <w:p>
      <w:pPr>
        <w:spacing w:before="20" w:after="60" w:line="324" w:lineRule="auto"/>
        <w:ind w:left="360"/>
      </w:pPr>
      <w:r>
        <w:rPr>
          <w:rFonts w:ascii="Times New Roman" w:hAnsi="Times New Roman"/>
          <w:b/>
          <w:color w:val="002060"/>
          <w:sz w:val="22"/>
        </w:rPr>
        <w:t xml:space="preserve">•  </w:t>
      </w:r>
      <w:r>
        <w:rPr>
          <w:rFonts w:ascii="Times New Roman" w:hAnsi="Times New Roman"/>
          <w:b w:val="0"/>
          <w:i w:val="0"/>
          <w:color w:val="262626"/>
          <w:sz w:val="25"/>
        </w:rPr>
        <w:t>Phải phân định rõ: Ban QLDA chỉ có quyền lập tờ trình và đề xuất giải pháp.</w:t>
      </w:r>
    </w:p>
    <w:p>
      <w:pPr>
        <w:spacing w:before="20" w:after="60" w:line="324" w:lineRule="auto"/>
        <w:ind w:left="360"/>
      </w:pPr>
      <w:r>
        <w:rPr>
          <w:rFonts w:ascii="Times New Roman" w:hAnsi="Times New Roman"/>
          <w:b/>
          <w:color w:val="002060"/>
          <w:sz w:val="22"/>
        </w:rPr>
        <w:t xml:space="preserve">•  </w:t>
      </w:r>
      <w:r>
        <w:rPr>
          <w:rFonts w:ascii="Times New Roman" w:hAnsi="Times New Roman"/>
          <w:b w:val="0"/>
          <w:i w:val="0"/>
          <w:color w:val="262626"/>
          <w:sz w:val="25"/>
        </w:rPr>
        <w:t xml:space="preserve">Thẩm quyền phê duyệt điều chỉnh Dự án đầu tư, điều chỉnh Tổng mức đầu tư thuộc về </w:t>
      </w:r>
      <w:r>
        <w:rPr>
          <w:rFonts w:ascii="Times New Roman" w:hAnsi="Times New Roman"/>
          <w:b/>
          <w:i w:val="0"/>
          <w:color w:val="262626"/>
          <w:sz w:val="25"/>
        </w:rPr>
        <w:t>Người quyết định đầu tư</w:t>
      </w:r>
      <w:r>
        <w:rPr>
          <w:rFonts w:ascii="Times New Roman" w:hAnsi="Times New Roman"/>
          <w:b w:val="0"/>
          <w:i w:val="0"/>
          <w:color w:val="262626"/>
          <w:sz w:val="25"/>
        </w:rPr>
        <w:t xml:space="preserve"> (hoặc Chủ đầu tư theo phân cấp).</w:t>
      </w:r>
    </w:p>
    <w:p>
      <w:pPr>
        <w:spacing w:before="20" w:after="60" w:line="324" w:lineRule="auto"/>
        <w:ind w:left="360"/>
      </w:pPr>
      <w:r>
        <w:rPr>
          <w:rFonts w:ascii="Times New Roman" w:hAnsi="Times New Roman"/>
          <w:b/>
          <w:color w:val="002060"/>
          <w:sz w:val="22"/>
        </w:rPr>
        <w:t xml:space="preserve">•  </w:t>
      </w:r>
      <w:r>
        <w:rPr>
          <w:rFonts w:ascii="Times New Roman" w:hAnsi="Times New Roman"/>
          <w:b w:val="0"/>
          <w:i w:val="0"/>
          <w:color w:val="262626"/>
          <w:sz w:val="25"/>
        </w:rPr>
        <w:t xml:space="preserve">Thẩm quyền phê duyệt điều chỉnh Thiết kế bản vẽ thi công và Dự toán xây dựng công trình (nếu không làm thay đổi thiết kế cơ sở và không vượt dự toán đã duyệt) thuộc về </w:t>
      </w:r>
      <w:r>
        <w:rPr>
          <w:rFonts w:ascii="Times New Roman" w:hAnsi="Times New Roman"/>
          <w:b/>
          <w:i w:val="0"/>
          <w:color w:val="262626"/>
          <w:sz w:val="25"/>
        </w:rPr>
        <w:t>Chủ đầu tư</w:t>
      </w:r>
      <w:r>
        <w:rPr>
          <w:rFonts w:ascii="Times New Roman" w:hAnsi="Times New Roman"/>
          <w:b w:val="0"/>
          <w:i w:val="0"/>
          <w:color w:val="262626"/>
          <w:sz w:val="25"/>
        </w:rPr>
        <w:t xml:space="preserve"> (hoặc Ban QLDA nếu được Chủ đầu tư ủy quyền bằng văn bản theo Nghị định 15/2021/NĐ-CP).</w:t>
      </w:r>
    </w:p>
    <w:p>
      <w:pPr>
        <w:keepNext/>
        <w:spacing w:before="120" w:after="60"/>
      </w:pPr>
      <w:r>
        <w:rPr>
          <w:rFonts w:ascii="Times New Roman" w:hAnsi="Times New Roman"/>
          <w:b/>
          <w:i/>
          <w:color w:val="262626"/>
          <w:sz w:val="25"/>
        </w:rPr>
        <w:t>Điểm chất vấn phản biện 1.2 (Về Câu 5):</w:t>
      </w:r>
    </w:p>
    <w:tbl>
      <w:tblPr>
        <w:tblW w:type="auto" w:w="0"/>
        <w:jc w:val="center"/>
        <w:tblLook w:firstColumn="1" w:firstRow="1" w:lastColumn="0" w:lastRow="0" w:noHBand="0" w:noVBand="1" w:val="04A0"/>
      </w:tblPr>
      <w:tblGrid>
        <w:gridCol w:w="9072"/>
      </w:tblGrid>
      <w:tr>
        <w:tc>
          <w:tcPr>
            <w:tcW w:type="dxa" w:w="9072"/>
            <w:tcBorders>
              <w:top w:val="none"/>
              <w:left w:val="single" w:sz="24" w:space="0" w:color="002060"/>
              <w:bottom w:val="none"/>
              <w:right w:val="none"/>
            </w:tcBorders>
            <w:shd w:val="clear" w:color="auto" w:fill="F4F6F9"/>
            <w:tcMar>
              <w:top w:w="100" w:type="dxa"/>
              <w:left w:w="150" w:type="dxa"/>
              <w:bottom w:w="100" w:type="dxa"/>
              <w:right w:w="150" w:type="dxa"/>
            </w:tcMar>
          </w:tcPr>
          <w:p>
            <w:pPr>
              <w:spacing w:before="40" w:after="40" w:line="312" w:lineRule="auto"/>
            </w:pPr>
            <w:r>
              <w:rPr>
                <w:rFonts w:ascii="Times New Roman" w:hAnsi="Times New Roman"/>
                <w:b w:val="0"/>
                <w:i/>
                <w:color w:val="262626"/>
                <w:sz w:val="23"/>
              </w:rPr>
              <w:t>"Căn cứ pháp lý nào cho phép Ban QLDA bồi thường tiền cho nhà thầu khi quyết định tạm dừng thi công làm phát sinh chi phí?"</w:t>
            </w:r>
          </w:p>
        </w:tc>
      </w:tr>
    </w:tbl>
    <w:p>
      <w:pPr>
        <w:spacing w:before="0" w:after="80"/>
      </w:pPr>
    </w:p>
    <w:p>
      <w:pPr>
        <w:spacing w:before="20" w:after="60" w:line="324" w:lineRule="auto"/>
        <w:ind w:left="360"/>
      </w:pPr>
      <w:r>
        <w:rPr>
          <w:rFonts w:ascii="Times New Roman" w:hAnsi="Times New Roman"/>
          <w:b/>
          <w:color w:val="002060"/>
          <w:sz w:val="22"/>
        </w:rPr>
        <w:t xml:space="preserve">•  </w:t>
      </w:r>
      <w:r>
        <w:rPr>
          <w:rFonts w:ascii="Times New Roman" w:hAnsi="Times New Roman"/>
          <w:b/>
          <w:i w:val="0"/>
          <w:color w:val="262626"/>
          <w:sz w:val="25"/>
        </w:rPr>
        <w:t>Phát hiện phản biện:</w:t>
      </w:r>
      <w:r>
        <w:rPr>
          <w:rFonts w:ascii="Times New Roman" w:hAnsi="Times New Roman"/>
          <w:b w:val="0"/>
          <w:i w:val="0"/>
          <w:color w:val="262626"/>
          <w:sz w:val="25"/>
        </w:rPr>
        <w:t xml:space="preserve"> Nếu Ban QLDA tự ý xuất quỹ bồi thường cho nhà thầu mà không có căn cứ điều khoản hợp đồng và định mức pháp luật, cán bộ Ban QLDA sẽ bị Thanh tra và Kiểm toán Nhà nước kết luận là gây thất thoát lãng phí ngân sách.</w:t>
      </w:r>
    </w:p>
    <w:p>
      <w:pPr>
        <w:spacing w:before="20" w:after="60" w:line="324" w:lineRule="auto"/>
        <w:ind w:left="360"/>
      </w:pPr>
      <w:r>
        <w:rPr>
          <w:rFonts w:ascii="Times New Roman" w:hAnsi="Times New Roman"/>
          <w:b/>
          <w:color w:val="002060"/>
          <w:sz w:val="22"/>
        </w:rPr>
        <w:t xml:space="preserve">•  </w:t>
      </w:r>
      <w:r>
        <w:rPr>
          <w:rFonts w:ascii="Times New Roman" w:hAnsi="Times New Roman"/>
          <w:b/>
          <w:i w:val="0"/>
          <w:color w:val="262626"/>
          <w:sz w:val="25"/>
        </w:rPr>
        <w:t>Yêu cầu chuẩn hóa để đạt điểm tối đa:</w:t>
      </w:r>
    </w:p>
    <w:p>
      <w:pPr>
        <w:spacing w:before="20" w:after="60" w:line="324" w:lineRule="auto"/>
        <w:ind w:left="360"/>
      </w:pPr>
      <w:r>
        <w:rPr>
          <w:rFonts w:ascii="Times New Roman" w:hAnsi="Times New Roman"/>
          <w:b/>
          <w:color w:val="002060"/>
          <w:sz w:val="22"/>
        </w:rPr>
        <w:t xml:space="preserve">•  </w:t>
      </w:r>
      <w:r>
        <w:rPr>
          <w:rFonts w:ascii="Times New Roman" w:hAnsi="Times New Roman"/>
          <w:b w:val="0"/>
          <w:i w:val="0"/>
          <w:color w:val="262626"/>
          <w:sz w:val="25"/>
        </w:rPr>
        <w:t xml:space="preserve">Khẳng định việc tạm dừng thi công do xuất hiện địa chất phức tạp (thấu kính bùn bất thường) là sự kiện </w:t>
      </w:r>
      <w:r>
        <w:rPr>
          <w:rFonts w:ascii="Times New Roman" w:hAnsi="Times New Roman"/>
          <w:b/>
          <w:i w:val="0"/>
          <w:color w:val="262626"/>
          <w:sz w:val="25"/>
        </w:rPr>
        <w:t>"Thay đổi điều kiện địa chất bất khả kháng / Rủi ro của Chủ đầu tư"</w:t>
      </w:r>
      <w:r>
        <w:rPr>
          <w:rFonts w:ascii="Times New Roman" w:hAnsi="Times New Roman"/>
          <w:b w:val="0"/>
          <w:i w:val="0"/>
          <w:color w:val="262626"/>
          <w:sz w:val="25"/>
        </w:rPr>
        <w:t xml:space="preserve"> được quy định trong Hợp đồng xây dựng (theo Điều 44 Nghị định 37/2015/NĐ-CP và Điều lệ FIDIC).</w:t>
      </w:r>
    </w:p>
    <w:p>
      <w:pPr>
        <w:spacing w:before="20" w:after="60" w:line="324" w:lineRule="auto"/>
        <w:ind w:left="360"/>
      </w:pPr>
      <w:r>
        <w:rPr>
          <w:rFonts w:ascii="Times New Roman" w:hAnsi="Times New Roman"/>
          <w:b/>
          <w:color w:val="002060"/>
          <w:sz w:val="22"/>
        </w:rPr>
        <w:t xml:space="preserve">•  </w:t>
      </w:r>
      <w:r>
        <w:rPr>
          <w:rFonts w:ascii="Times New Roman" w:hAnsi="Times New Roman"/>
          <w:b w:val="0"/>
          <w:i w:val="0"/>
          <w:color w:val="262626"/>
          <w:sz w:val="25"/>
        </w:rPr>
        <w:t xml:space="preserve">Kinh phí bồi thường chi phí chờ đợi và chi phí khảo sát xử lý bổ sung bắt buộc phải được lấy từ nguồn </w:t>
      </w:r>
      <w:r>
        <w:rPr>
          <w:rFonts w:ascii="Times New Roman" w:hAnsi="Times New Roman"/>
          <w:b/>
          <w:i w:val="0"/>
          <w:color w:val="262626"/>
          <w:sz w:val="25"/>
        </w:rPr>
        <w:t>"Chi phí dự phòng cho yếu tố khối lượng phát sinh"</w:t>
      </w:r>
      <w:r>
        <w:rPr>
          <w:rFonts w:ascii="Times New Roman" w:hAnsi="Times New Roman"/>
          <w:b w:val="0"/>
          <w:i w:val="0"/>
          <w:color w:val="262626"/>
          <w:sz w:val="25"/>
        </w:rPr>
        <w:t xml:space="preserve"> đã được phê duyệt trong Tổng mức đầu tư (Nghị định 10/2021/NĐ-CP). Trường hợp vượt dự phòng, Ban QLDA phải báo cáo Chủ đầu tư trình cấp có thẩm quyền xem xét trước khi cam kết chi trả.</w:t>
      </w:r>
    </w:p>
    <w:p>
      <w:pPr>
        <w:spacing w:before="80" w:after="160"/>
        <w:jc w:val="center"/>
      </w:pPr>
      <w:r>
        <w:rPr>
          <w:color w:val="B0C4DE"/>
        </w:rPr>
        <w:t>―――――――――――――――――――――――――――――――――――</w:t>
      </w:r>
    </w:p>
    <w:p>
      <w:pPr>
        <w:keepNext/>
        <w:spacing w:before="160" w:after="80"/>
      </w:pPr>
      <w:r>
        <w:rPr>
          <w:rFonts w:ascii="Times New Roman" w:hAnsi="Times New Roman"/>
          <w:b/>
          <w:color w:val="1F4E79"/>
          <w:sz w:val="26"/>
        </w:rPr>
        <w:t>TẦNG 2: PHẢN BIỆN KỸ THUẬT TIẾN ĐỘ VÀ RỦI RO HIỆN TRƯỜNG (ENGINEERING &amp; SCHEDULE FEASIBILITY)</w:t>
      </w:r>
    </w:p>
    <w:p>
      <w:pPr>
        <w:keepNext/>
        <w:spacing w:before="120" w:after="60"/>
      </w:pPr>
      <w:r>
        <w:rPr>
          <w:rFonts w:ascii="Times New Roman" w:hAnsi="Times New Roman"/>
          <w:b/>
          <w:i/>
          <w:color w:val="262626"/>
          <w:sz w:val="25"/>
        </w:rPr>
        <w:t>Điểm chất vấn phản biện 2.1 (Về Câu 4 - Kỹ thuật CPM &amp; Lean Construction):</w:t>
      </w:r>
    </w:p>
    <w:tbl>
      <w:tblPr>
        <w:tblW w:type="auto" w:w="0"/>
        <w:jc w:val="center"/>
        <w:tblLook w:firstColumn="1" w:firstRow="1" w:lastColumn="0" w:lastRow="0" w:noHBand="0" w:noVBand="1" w:val="04A0"/>
      </w:tblPr>
      <w:tblGrid>
        <w:gridCol w:w="9072"/>
      </w:tblGrid>
      <w:tr>
        <w:tc>
          <w:tcPr>
            <w:tcW w:type="dxa" w:w="9072"/>
            <w:tcBorders>
              <w:top w:val="none"/>
              <w:left w:val="single" w:sz="24" w:space="0" w:color="002060"/>
              <w:bottom w:val="none"/>
              <w:right w:val="none"/>
            </w:tcBorders>
            <w:shd w:val="clear" w:color="auto" w:fill="F4F6F9"/>
            <w:tcMar>
              <w:top w:w="100" w:type="dxa"/>
              <w:left w:w="150" w:type="dxa"/>
              <w:bottom w:w="100" w:type="dxa"/>
              <w:right w:w="150" w:type="dxa"/>
            </w:tcMar>
          </w:tcPr>
          <w:p>
            <w:pPr>
              <w:spacing w:before="40" w:after="40" w:line="312" w:lineRule="auto"/>
            </w:pPr>
            <w:r>
              <w:rPr>
                <w:rFonts w:ascii="Times New Roman" w:hAnsi="Times New Roman"/>
                <w:b w:val="0"/>
                <w:i/>
                <w:color w:val="262626"/>
                <w:sz w:val="23"/>
              </w:rPr>
              <w:t>"Việc xây dựng tiến độ tích hợp (Integrated Master Schedule) và áp dụng Just-in-Time trên công trường xây dựng có khả thi không khi nguồn cung ứng vật liệu rời (cát, đá, đất đắp) tại Việt Nam đang biến động bất thường?"</w:t>
            </w:r>
          </w:p>
        </w:tc>
      </w:tr>
    </w:tbl>
    <w:p>
      <w:pPr>
        <w:spacing w:before="0" w:after="80"/>
      </w:pPr>
    </w:p>
    <w:p>
      <w:pPr>
        <w:spacing w:before="20" w:after="60" w:line="324" w:lineRule="auto"/>
        <w:ind w:left="360"/>
      </w:pPr>
      <w:r>
        <w:rPr>
          <w:rFonts w:ascii="Times New Roman" w:hAnsi="Times New Roman"/>
          <w:b/>
          <w:color w:val="002060"/>
          <w:sz w:val="22"/>
        </w:rPr>
        <w:t xml:space="preserve">•  </w:t>
      </w:r>
      <w:r>
        <w:rPr>
          <w:rFonts w:ascii="Times New Roman" w:hAnsi="Times New Roman"/>
          <w:b/>
          <w:i w:val="0"/>
          <w:color w:val="262626"/>
          <w:sz w:val="25"/>
        </w:rPr>
        <w:t>Phát hiện phản biện:</w:t>
      </w:r>
      <w:r>
        <w:rPr>
          <w:rFonts w:ascii="Times New Roman" w:hAnsi="Times New Roman"/>
          <w:b w:val="0"/>
          <w:i w:val="0"/>
          <w:color w:val="262626"/>
          <w:sz w:val="25"/>
        </w:rPr>
        <w:t xml:space="preserve"> Triết lý Lean/JIT nguyên bản của ngành sản xuất công nghiệp đòi hỏi nguồn cung cực kỳ ổn định. Nếu áp dụng rập khuôn JIT (vật tư đến chân công trình là lắp ngay, không lưu kho) vào các dự án giao thông ở Việt Nam (đặc biệt trong giai đoạn khan hiếm mỏ cát san lấp, đá xây dựng), công trường sẽ chết đứng khi chỉ cần một mỏ vật liệu bị thanh tra hoặc đình chỉ khai thác.</w:t>
      </w:r>
    </w:p>
    <w:p>
      <w:pPr>
        <w:spacing w:before="20" w:after="60" w:line="324" w:lineRule="auto"/>
        <w:ind w:left="360"/>
      </w:pPr>
      <w:r>
        <w:rPr>
          <w:rFonts w:ascii="Times New Roman" w:hAnsi="Times New Roman"/>
          <w:b/>
          <w:color w:val="002060"/>
          <w:sz w:val="22"/>
        </w:rPr>
        <w:t xml:space="preserve">•  </w:t>
      </w:r>
      <w:r>
        <w:rPr>
          <w:rFonts w:ascii="Times New Roman" w:hAnsi="Times New Roman"/>
          <w:b/>
          <w:i w:val="0"/>
          <w:color w:val="262626"/>
          <w:sz w:val="25"/>
        </w:rPr>
        <w:t>Yêu cầu chuẩn hóa để đạt điểm tối đa:</w:t>
      </w:r>
    </w:p>
    <w:p>
      <w:pPr>
        <w:spacing w:before="20" w:after="60" w:line="324" w:lineRule="auto"/>
        <w:ind w:left="360"/>
      </w:pPr>
      <w:r>
        <w:rPr>
          <w:rFonts w:ascii="Times New Roman" w:hAnsi="Times New Roman"/>
          <w:b/>
          <w:color w:val="002060"/>
          <w:sz w:val="22"/>
        </w:rPr>
        <w:t xml:space="preserve">•  </w:t>
      </w:r>
      <w:r>
        <w:rPr>
          <w:rFonts w:ascii="Times New Roman" w:hAnsi="Times New Roman"/>
          <w:b w:val="0"/>
          <w:i w:val="0"/>
          <w:color w:val="262626"/>
          <w:sz w:val="25"/>
        </w:rPr>
        <w:t>Trong bài làm, không áp dụng JIT cực đoan cho toàn bộ vật tư.</w:t>
      </w:r>
    </w:p>
    <w:p>
      <w:pPr>
        <w:spacing w:before="20" w:after="60" w:line="324" w:lineRule="auto"/>
        <w:ind w:left="360"/>
      </w:pPr>
      <w:r>
        <w:rPr>
          <w:rFonts w:ascii="Times New Roman" w:hAnsi="Times New Roman"/>
          <w:b/>
          <w:color w:val="002060"/>
          <w:sz w:val="22"/>
        </w:rPr>
        <w:t xml:space="preserve">•  </w:t>
      </w:r>
      <w:r>
        <w:rPr>
          <w:rFonts w:ascii="Times New Roman" w:hAnsi="Times New Roman"/>
          <w:b w:val="0"/>
          <w:i w:val="0"/>
          <w:color w:val="262626"/>
          <w:sz w:val="25"/>
        </w:rPr>
        <w:t>Phải phân loại vật liệu thành 2 nhóm:</w:t>
      </w:r>
    </w:p>
    <w:p>
      <w:pPr>
        <w:spacing w:before="20" w:after="60" w:line="324" w:lineRule="auto"/>
        <w:ind w:left="360"/>
      </w:pPr>
      <w:r>
        <w:rPr>
          <w:rFonts w:ascii="Times New Roman" w:hAnsi="Times New Roman"/>
          <w:b/>
          <w:color w:val="002060"/>
          <w:sz w:val="22"/>
        </w:rPr>
        <w:t xml:space="preserve">•  </w:t>
      </w:r>
      <w:r>
        <w:rPr>
          <w:rFonts w:ascii="Times New Roman" w:hAnsi="Times New Roman"/>
          <w:b/>
          <w:i w:val="0"/>
          <w:color w:val="262626"/>
          <w:sz w:val="25"/>
        </w:rPr>
        <w:t>Nhóm 1: Vật liệu dạng dòng (Bulk Materials - Cát, Đá, Xi măng, Thép):</w:t>
      </w:r>
      <w:r>
        <w:rPr>
          <w:rFonts w:ascii="Times New Roman" w:hAnsi="Times New Roman"/>
          <w:b w:val="0"/>
          <w:i w:val="0"/>
          <w:color w:val="262626"/>
          <w:sz w:val="25"/>
        </w:rPr>
        <w:t xml:space="preserve"> Phải duy trì lượng dự trữ an toàn (Safety Stock / Buffer) tại các bãi tập kết trung gian tối thiểu từ 15 - 30 ngày thi công.</w:t>
      </w:r>
    </w:p>
    <w:p>
      <w:pPr>
        <w:spacing w:before="20" w:after="60" w:line="324" w:lineRule="auto"/>
        <w:ind w:left="360"/>
      </w:pPr>
      <w:r>
        <w:rPr>
          <w:rFonts w:ascii="Times New Roman" w:hAnsi="Times New Roman"/>
          <w:b/>
          <w:color w:val="002060"/>
          <w:sz w:val="22"/>
        </w:rPr>
        <w:t xml:space="preserve">•  </w:t>
      </w:r>
      <w:r>
        <w:rPr>
          <w:rFonts w:ascii="Times New Roman" w:hAnsi="Times New Roman"/>
          <w:b/>
          <w:i w:val="0"/>
          <w:color w:val="262626"/>
          <w:sz w:val="25"/>
        </w:rPr>
        <w:t>Nhóm 2: Cấu kiện chế tạo sẵn (Prefabricated / Modular Elements - Dầm Super-T, gối cầu, đốt hầm, thiết bị cơ điện):</w:t>
      </w:r>
      <w:r>
        <w:rPr>
          <w:rFonts w:ascii="Times New Roman" w:hAnsi="Times New Roman"/>
          <w:b w:val="0"/>
          <w:i w:val="0"/>
          <w:color w:val="262626"/>
          <w:sz w:val="25"/>
        </w:rPr>
        <w:t xml:space="preserve"> Mới áp dụng cơ chế điều phối JIT kết hợp mô hình BIM 4D để đồng bộ hóa ngày vận chuyển từ xưởng đến thẳng vị trí cẩu lắp, tránh chiếm dụng mặt bằng công trường.</w:t>
      </w:r>
    </w:p>
    <w:p>
      <w:pPr>
        <w:keepNext/>
        <w:spacing w:before="120" w:after="60"/>
      </w:pPr>
      <w:r>
        <w:rPr>
          <w:rFonts w:ascii="Times New Roman" w:hAnsi="Times New Roman"/>
          <w:b/>
          <w:i/>
          <w:color w:val="262626"/>
          <w:sz w:val="25"/>
        </w:rPr>
        <w:t>Điểm chất vấn phản biện 2.2 (Về Câu 5 - Kỹ thuật Fast-tracking &amp; Crashing):</w:t>
      </w:r>
    </w:p>
    <w:tbl>
      <w:tblPr>
        <w:tblW w:type="auto" w:w="0"/>
        <w:jc w:val="center"/>
        <w:tblLook w:firstColumn="1" w:firstRow="1" w:lastColumn="0" w:lastRow="0" w:noHBand="0" w:noVBand="1" w:val="04A0"/>
      </w:tblPr>
      <w:tblGrid>
        <w:gridCol w:w="9072"/>
      </w:tblGrid>
      <w:tr>
        <w:tc>
          <w:tcPr>
            <w:tcW w:type="dxa" w:w="9072"/>
            <w:tcBorders>
              <w:top w:val="none"/>
              <w:left w:val="single" w:sz="24" w:space="0" w:color="002060"/>
              <w:bottom w:val="none"/>
              <w:right w:val="none"/>
            </w:tcBorders>
            <w:shd w:val="clear" w:color="auto" w:fill="F4F6F9"/>
            <w:tcMar>
              <w:top w:w="100" w:type="dxa"/>
              <w:left w:w="150" w:type="dxa"/>
              <w:bottom w:w="100" w:type="dxa"/>
              <w:right w:w="150" w:type="dxa"/>
            </w:tcMar>
          </w:tcPr>
          <w:p>
            <w:pPr>
              <w:spacing w:before="40" w:after="40" w:line="312" w:lineRule="auto"/>
            </w:pPr>
            <w:r>
              <w:rPr>
                <w:rFonts w:ascii="Times New Roman" w:hAnsi="Times New Roman"/>
                <w:b w:val="0"/>
                <w:i/>
                <w:color w:val="262626"/>
                <w:sz w:val="23"/>
              </w:rPr>
              <w:t>"Kỹ thuật Fast-tracking (bàn giao cuốn chiếu từng móng để Nhà thầu B thi công kết cấu) và Crashing (tăng ca 3 ca/ngày) có gây ra xung đột không gian hoặc rủi ro kỹ thuật không?"</w:t>
            </w:r>
          </w:p>
        </w:tc>
      </w:tr>
    </w:tbl>
    <w:p>
      <w:pPr>
        <w:spacing w:before="0" w:after="80"/>
      </w:pPr>
    </w:p>
    <w:p>
      <w:pPr>
        <w:spacing w:before="20" w:after="60" w:line="324" w:lineRule="auto"/>
        <w:ind w:left="360"/>
      </w:pPr>
      <w:r>
        <w:rPr>
          <w:rFonts w:ascii="Times New Roman" w:hAnsi="Times New Roman"/>
          <w:b/>
          <w:color w:val="002060"/>
          <w:sz w:val="22"/>
        </w:rPr>
        <w:t xml:space="preserve">•  </w:t>
      </w:r>
      <w:r>
        <w:rPr>
          <w:rFonts w:ascii="Times New Roman" w:hAnsi="Times New Roman"/>
          <w:b/>
          <w:i w:val="0"/>
          <w:color w:val="262626"/>
          <w:sz w:val="25"/>
        </w:rPr>
        <w:t>Phát hiện phản biện:</w:t>
      </w:r>
    </w:p>
    <w:p>
      <w:pPr>
        <w:spacing w:before="20" w:after="60" w:line="324" w:lineRule="auto"/>
        <w:ind w:left="360"/>
      </w:pPr>
      <w:r>
        <w:rPr>
          <w:rFonts w:ascii="Times New Roman" w:hAnsi="Times New Roman"/>
          <w:b/>
          <w:color w:val="002060"/>
          <w:sz w:val="22"/>
        </w:rPr>
        <w:t xml:space="preserve">•  </w:t>
      </w:r>
      <w:r>
        <w:rPr>
          <w:rFonts w:ascii="Times New Roman" w:hAnsi="Times New Roman"/>
          <w:b w:val="0"/>
          <w:i w:val="0"/>
          <w:color w:val="262626"/>
          <w:sz w:val="25"/>
        </w:rPr>
        <w:t>Nếu Nhà thầu A vừa khoan cọc xi măng đất bên cạnh, trong khi Nhà thầu B đã vào lắp cốp pha đổ bê tông móng trụ, các rung chấn và xe bồn ra vào có thể làm nứt gãy cọc xi măng đất đang trong quá trình ninh kết (chưa đạt cường độ R28).</w:t>
      </w:r>
    </w:p>
    <w:p>
      <w:pPr>
        <w:spacing w:before="20" w:after="60" w:line="324" w:lineRule="auto"/>
        <w:ind w:left="360"/>
      </w:pPr>
      <w:r>
        <w:rPr>
          <w:rFonts w:ascii="Times New Roman" w:hAnsi="Times New Roman"/>
          <w:b/>
          <w:color w:val="002060"/>
          <w:sz w:val="22"/>
        </w:rPr>
        <w:t xml:space="preserve">•  </w:t>
      </w:r>
      <w:r>
        <w:rPr>
          <w:rFonts w:ascii="Times New Roman" w:hAnsi="Times New Roman"/>
          <w:b w:val="0"/>
          <w:i w:val="0"/>
          <w:color w:val="262626"/>
          <w:sz w:val="25"/>
        </w:rPr>
        <w:t>Tăng ca đêm liên tục (Crashing) thường đi kèm với sụt giảm chất lượng mối hàn, đầm bê tông không kỹ và tỷ lệ tai nạn lao động tăng vọt.</w:t>
      </w:r>
    </w:p>
    <w:p>
      <w:pPr>
        <w:spacing w:before="20" w:after="60" w:line="324" w:lineRule="auto"/>
        <w:ind w:left="360"/>
      </w:pPr>
      <w:r>
        <w:rPr>
          <w:rFonts w:ascii="Times New Roman" w:hAnsi="Times New Roman"/>
          <w:b/>
          <w:color w:val="002060"/>
          <w:sz w:val="22"/>
        </w:rPr>
        <w:t xml:space="preserve">•  </w:t>
      </w:r>
      <w:r>
        <w:rPr>
          <w:rFonts w:ascii="Times New Roman" w:hAnsi="Times New Roman"/>
          <w:b/>
          <w:i w:val="0"/>
          <w:color w:val="262626"/>
          <w:sz w:val="25"/>
        </w:rPr>
        <w:t>Yêu cầu chuẩn hóa để đạt điểm tối đa:</w:t>
      </w:r>
    </w:p>
    <w:p>
      <w:pPr>
        <w:spacing w:before="20" w:after="60" w:line="324" w:lineRule="auto"/>
        <w:ind w:left="360"/>
      </w:pPr>
      <w:r>
        <w:rPr>
          <w:rFonts w:ascii="Times New Roman" w:hAnsi="Times New Roman"/>
          <w:b/>
          <w:color w:val="002060"/>
          <w:sz w:val="22"/>
        </w:rPr>
        <w:t xml:space="preserve">•  </w:t>
      </w:r>
      <w:r>
        <w:rPr>
          <w:rFonts w:ascii="Times New Roman" w:hAnsi="Times New Roman"/>
          <w:b w:val="0"/>
          <w:i w:val="0"/>
          <w:color w:val="262626"/>
          <w:sz w:val="25"/>
        </w:rPr>
        <w:t xml:space="preserve">Bổ sung điều kiện kỹ thuật bắt buộc: Fast-tracking phải tuân thủ </w:t>
      </w:r>
      <w:r>
        <w:rPr>
          <w:rFonts w:ascii="Times New Roman" w:hAnsi="Times New Roman"/>
          <w:b/>
          <w:i w:val="0"/>
          <w:color w:val="262626"/>
          <w:sz w:val="25"/>
        </w:rPr>
        <w:t>vùng an toàn kỹ thuật (Safe Working Radius)</w:t>
      </w:r>
      <w:r>
        <w:rPr>
          <w:rFonts w:ascii="Times New Roman" w:hAnsi="Times New Roman"/>
          <w:b w:val="0"/>
          <w:i w:val="0"/>
          <w:color w:val="262626"/>
          <w:sz w:val="25"/>
        </w:rPr>
        <w:t xml:space="preserve"> và thời gian chờ đạt cường độ tối thiểu của vật liệu theo chỉ dẫn của Tư vấn thiết kế.</w:t>
      </w:r>
    </w:p>
    <w:p>
      <w:pPr>
        <w:spacing w:before="20" w:after="60" w:line="324" w:lineRule="auto"/>
        <w:ind w:left="360"/>
      </w:pPr>
      <w:r>
        <w:rPr>
          <w:rFonts w:ascii="Times New Roman" w:hAnsi="Times New Roman"/>
          <w:b/>
          <w:color w:val="002060"/>
          <w:sz w:val="22"/>
        </w:rPr>
        <w:t xml:space="preserve">•  </w:t>
      </w:r>
      <w:r>
        <w:rPr>
          <w:rFonts w:ascii="Times New Roman" w:hAnsi="Times New Roman"/>
          <w:b w:val="0"/>
          <w:i w:val="0"/>
          <w:color w:val="262626"/>
          <w:sz w:val="25"/>
        </w:rPr>
        <w:t>Crashing ban đêm phải đi kèm điều kiện: Bổ sung hệ thống chiếu sáng đạt chuẩn lux công trường, có cán bộ an toàn (HSE) chuyên trách giám sát trực tiếp, và luân phiên ca làm việc để tránh kiệt sức công nhân.</w:t>
      </w:r>
    </w:p>
    <w:p>
      <w:pPr>
        <w:spacing w:before="80" w:after="160"/>
        <w:jc w:val="center"/>
      </w:pPr>
      <w:r>
        <w:rPr>
          <w:color w:val="B0C4DE"/>
        </w:rPr>
        <w:t>―――――――――――――――――――――――――――――――――――</w:t>
      </w:r>
    </w:p>
    <w:p>
      <w:pPr>
        <w:keepNext/>
        <w:spacing w:before="160" w:after="80"/>
      </w:pPr>
      <w:r>
        <w:rPr>
          <w:rFonts w:ascii="Times New Roman" w:hAnsi="Times New Roman"/>
          <w:b/>
          <w:color w:val="1F4E79"/>
          <w:sz w:val="26"/>
        </w:rPr>
        <w:t>TẦNG 3: PHẢN BIỆN KINH TẾ, HỢP ĐỒNG VÀ RỦI RO KIỂM TOÁN (CONTRACTUAL &amp; FINANCIAL INTEGRITY)</w:t>
      </w:r>
    </w:p>
    <w:p>
      <w:pPr>
        <w:keepNext/>
        <w:spacing w:before="120" w:after="60"/>
      </w:pPr>
      <w:r>
        <w:rPr>
          <w:rFonts w:ascii="Times New Roman" w:hAnsi="Times New Roman"/>
          <w:b/>
          <w:i/>
          <w:color w:val="262626"/>
          <w:sz w:val="25"/>
        </w:rPr>
        <w:t>Điểm chất vấn phản biện 3.1 (Về Câu 5 - Chi phí máy móc nằm chờ - Standing Time):</w:t>
      </w:r>
    </w:p>
    <w:tbl>
      <w:tblPr>
        <w:tblW w:type="auto" w:w="0"/>
        <w:jc w:val="center"/>
        <w:tblLook w:firstColumn="1" w:firstRow="1" w:lastColumn="0" w:lastRow="0" w:noHBand="0" w:noVBand="1" w:val="04A0"/>
      </w:tblPr>
      <w:tblGrid>
        <w:gridCol w:w="9072"/>
      </w:tblGrid>
      <w:tr>
        <w:tc>
          <w:tcPr>
            <w:tcW w:type="dxa" w:w="9072"/>
            <w:tcBorders>
              <w:top w:val="none"/>
              <w:left w:val="single" w:sz="24" w:space="0" w:color="002060"/>
              <w:bottom w:val="none"/>
              <w:right w:val="none"/>
            </w:tcBorders>
            <w:shd w:val="clear" w:color="auto" w:fill="F4F6F9"/>
            <w:tcMar>
              <w:top w:w="100" w:type="dxa"/>
              <w:left w:w="150" w:type="dxa"/>
              <w:bottom w:w="100" w:type="dxa"/>
              <w:right w:w="150" w:type="dxa"/>
            </w:tcMar>
          </w:tcPr>
          <w:p>
            <w:pPr>
              <w:spacing w:before="40" w:after="40" w:line="312" w:lineRule="auto"/>
            </w:pPr>
            <w:r>
              <w:rPr>
                <w:rFonts w:ascii="Times New Roman" w:hAnsi="Times New Roman"/>
                <w:b w:val="0"/>
                <w:i/>
                <w:color w:val="262626"/>
                <w:sz w:val="23"/>
              </w:rPr>
              <w:t>"Cách tính chi phí máy móc nằm chờ (Idle Equipment Cost) của Nhà thầu A như thế nào để được kiểm toán chấp nhận?"</w:t>
            </w:r>
          </w:p>
        </w:tc>
      </w:tr>
    </w:tbl>
    <w:p>
      <w:pPr>
        <w:spacing w:before="0" w:after="80"/>
      </w:pPr>
    </w:p>
    <w:p>
      <w:pPr>
        <w:spacing w:before="20" w:after="60" w:line="324" w:lineRule="auto"/>
        <w:ind w:left="360"/>
      </w:pPr>
      <w:r>
        <w:rPr>
          <w:rFonts w:ascii="Times New Roman" w:hAnsi="Times New Roman"/>
          <w:b/>
          <w:color w:val="002060"/>
          <w:sz w:val="22"/>
        </w:rPr>
        <w:t xml:space="preserve">•  </w:t>
      </w:r>
      <w:r>
        <w:rPr>
          <w:rFonts w:ascii="Times New Roman" w:hAnsi="Times New Roman"/>
          <w:b/>
          <w:i w:val="0"/>
          <w:color w:val="262626"/>
          <w:sz w:val="25"/>
        </w:rPr>
        <w:t>Phát hiện phản biện:</w:t>
      </w:r>
      <w:r>
        <w:rPr>
          <w:rFonts w:ascii="Times New Roman" w:hAnsi="Times New Roman"/>
          <w:b w:val="0"/>
          <w:i w:val="0"/>
          <w:color w:val="262626"/>
          <w:sz w:val="25"/>
        </w:rPr>
        <w:t xml:space="preserve"> Nhà thầu thường có xu hướng kê khai chi phí máy nằm chờ bằng 100% đơn giá ca máy thi công bình thường trong hợp đồng. Điều này là hoàn toàn sai lầm và chắc chắn bị cơ quan Kiểm toán Nhà nước xuất toán.</w:t>
      </w:r>
    </w:p>
    <w:p>
      <w:pPr>
        <w:spacing w:before="20" w:after="60" w:line="324" w:lineRule="auto"/>
        <w:ind w:left="360"/>
      </w:pPr>
      <w:r>
        <w:rPr>
          <w:rFonts w:ascii="Times New Roman" w:hAnsi="Times New Roman"/>
          <w:b/>
          <w:color w:val="002060"/>
          <w:sz w:val="22"/>
        </w:rPr>
        <w:t xml:space="preserve">•  </w:t>
      </w:r>
      <w:r>
        <w:rPr>
          <w:rFonts w:ascii="Times New Roman" w:hAnsi="Times New Roman"/>
          <w:b/>
          <w:i w:val="0"/>
          <w:color w:val="262626"/>
          <w:sz w:val="25"/>
        </w:rPr>
        <w:t>Yêu cầu chuẩn hóa để đạt điểm tối đa:</w:t>
      </w:r>
    </w:p>
    <w:p>
      <w:pPr>
        <w:spacing w:before="20" w:after="60" w:line="324" w:lineRule="auto"/>
        <w:ind w:left="360"/>
      </w:pPr>
      <w:r>
        <w:rPr>
          <w:rFonts w:ascii="Times New Roman" w:hAnsi="Times New Roman"/>
          <w:b/>
          <w:color w:val="002060"/>
          <w:sz w:val="22"/>
        </w:rPr>
        <w:t xml:space="preserve">•  </w:t>
      </w:r>
      <w:r>
        <w:rPr>
          <w:rFonts w:ascii="Times New Roman" w:hAnsi="Times New Roman"/>
          <w:b w:val="0"/>
          <w:i w:val="0"/>
          <w:color w:val="262626"/>
          <w:sz w:val="25"/>
        </w:rPr>
        <w:t>Phải giải thích rõ nguyên lý kế toán xây dựng: Đơn giá ca máy bình thường bao gồm (Khấu hao + Sửa chữa lớn + Nhiên liệu + Tiền lương thợ lái máy + Chi phí khác).</w:t>
      </w:r>
    </w:p>
    <w:p>
      <w:pPr>
        <w:spacing w:before="20" w:after="60" w:line="324" w:lineRule="auto"/>
        <w:ind w:left="360"/>
      </w:pPr>
      <w:r>
        <w:rPr>
          <w:rFonts w:ascii="Times New Roman" w:hAnsi="Times New Roman"/>
          <w:b/>
          <w:color w:val="002060"/>
          <w:sz w:val="22"/>
        </w:rPr>
        <w:t xml:space="preserve">•  </w:t>
      </w:r>
      <w:r>
        <w:rPr>
          <w:rFonts w:ascii="Times New Roman" w:hAnsi="Times New Roman"/>
          <w:b w:val="0"/>
          <w:i w:val="0"/>
          <w:color w:val="262626"/>
          <w:sz w:val="25"/>
        </w:rPr>
        <w:t>Khi máy nằm chờ không hoạt động:</w:t>
      </w:r>
    </w:p>
    <w:p>
      <w:pPr>
        <w:spacing w:before="20" w:after="60" w:line="324" w:lineRule="auto"/>
        <w:ind w:left="360"/>
      </w:pPr>
      <w:r>
        <w:rPr>
          <w:rFonts w:ascii="Times New Roman" w:hAnsi="Times New Roman"/>
          <w:b/>
          <w:color w:val="002060"/>
          <w:sz w:val="22"/>
        </w:rPr>
        <w:t xml:space="preserve">•  </w:t>
      </w:r>
      <w:r>
        <w:rPr>
          <w:rFonts w:ascii="Times New Roman" w:hAnsi="Times New Roman"/>
          <w:b/>
          <w:i w:val="0"/>
          <w:color w:val="262626"/>
          <w:sz w:val="25"/>
        </w:rPr>
        <w:t>Chi phí nhiên liệu (xăng dầu, điện):</w:t>
      </w:r>
      <w:r>
        <w:rPr>
          <w:rFonts w:ascii="Times New Roman" w:hAnsi="Times New Roman"/>
          <w:b w:val="0"/>
          <w:i w:val="0"/>
          <w:color w:val="262626"/>
          <w:sz w:val="25"/>
        </w:rPr>
        <w:t xml:space="preserve"> Bằng 0 (không được thanh toán).</w:t>
      </w:r>
    </w:p>
    <w:p>
      <w:pPr>
        <w:spacing w:before="20" w:after="60" w:line="324" w:lineRule="auto"/>
        <w:ind w:left="360"/>
      </w:pPr>
      <w:r>
        <w:rPr>
          <w:rFonts w:ascii="Times New Roman" w:hAnsi="Times New Roman"/>
          <w:b/>
          <w:color w:val="002060"/>
          <w:sz w:val="22"/>
        </w:rPr>
        <w:t xml:space="preserve">•  </w:t>
      </w:r>
      <w:r>
        <w:rPr>
          <w:rFonts w:ascii="Times New Roman" w:hAnsi="Times New Roman"/>
          <w:b/>
          <w:i w:val="0"/>
          <w:color w:val="262626"/>
          <w:sz w:val="25"/>
        </w:rPr>
        <w:t>Tiền lương thợ lái:</w:t>
      </w:r>
      <w:r>
        <w:rPr>
          <w:rFonts w:ascii="Times New Roman" w:hAnsi="Times New Roman"/>
          <w:b w:val="0"/>
          <w:i w:val="0"/>
          <w:color w:val="262626"/>
          <w:sz w:val="25"/>
        </w:rPr>
        <w:t xml:space="preserve"> Chỉ thanh toán lương chờ việc cơ bản theo thỏa ước lao động, không tính phụ cấp ca máy.</w:t>
      </w:r>
    </w:p>
    <w:p>
      <w:pPr>
        <w:spacing w:before="20" w:after="60" w:line="324" w:lineRule="auto"/>
        <w:ind w:left="360"/>
      </w:pPr>
      <w:r>
        <w:rPr>
          <w:rFonts w:ascii="Times New Roman" w:hAnsi="Times New Roman"/>
          <w:b/>
          <w:color w:val="002060"/>
          <w:sz w:val="22"/>
        </w:rPr>
        <w:t xml:space="preserve">•  </w:t>
      </w:r>
      <w:r>
        <w:rPr>
          <w:rFonts w:ascii="Times New Roman" w:hAnsi="Times New Roman"/>
          <w:b/>
          <w:i w:val="0"/>
          <w:color w:val="262626"/>
          <w:sz w:val="25"/>
        </w:rPr>
        <w:t>Khấu hao máy:</w:t>
      </w:r>
      <w:r>
        <w:rPr>
          <w:rFonts w:ascii="Times New Roman" w:hAnsi="Times New Roman"/>
          <w:b w:val="0"/>
          <w:i w:val="0"/>
          <w:color w:val="262626"/>
          <w:sz w:val="25"/>
        </w:rPr>
        <w:t xml:space="preserve"> Được tính theo thời gian dừng việc thực tế có xác nhận của Tư vấn giám sát và Ban QLDA theo Thông tư hướng dẫn về định mức ca máy của Bộ Xây dựng (Thông tư 13/2021/TT-BXD).</w:t>
      </w:r>
    </w:p>
    <w:p>
      <w:pPr>
        <w:keepNext/>
        <w:spacing w:before="120" w:after="60"/>
      </w:pPr>
      <w:r>
        <w:rPr>
          <w:rFonts w:ascii="Times New Roman" w:hAnsi="Times New Roman"/>
          <w:b/>
          <w:i/>
          <w:color w:val="262626"/>
          <w:sz w:val="25"/>
        </w:rPr>
        <w:t>Điểm chất vấn phản biện 3.2 (Về Câu 5 - Rủi ro hết hạn bảo hành của Nhà thầu C):</w:t>
      </w:r>
    </w:p>
    <w:tbl>
      <w:tblPr>
        <w:tblW w:type="auto" w:w="0"/>
        <w:jc w:val="center"/>
        <w:tblLook w:firstColumn="1" w:firstRow="1" w:lastColumn="0" w:lastRow="0" w:noHBand="0" w:noVBand="1" w:val="04A0"/>
      </w:tblPr>
      <w:tblGrid>
        <w:gridCol w:w="9072"/>
      </w:tblGrid>
      <w:tr>
        <w:tc>
          <w:tcPr>
            <w:tcW w:type="dxa" w:w="9072"/>
            <w:tcBorders>
              <w:top w:val="none"/>
              <w:left w:val="single" w:sz="24" w:space="0" w:color="002060"/>
              <w:bottom w:val="none"/>
              <w:right w:val="none"/>
            </w:tcBorders>
            <w:shd w:val="clear" w:color="auto" w:fill="F4F6F9"/>
            <w:tcMar>
              <w:top w:w="100" w:type="dxa"/>
              <w:left w:w="150" w:type="dxa"/>
              <w:bottom w:w="100" w:type="dxa"/>
              <w:right w:w="150" w:type="dxa"/>
            </w:tcMar>
          </w:tcPr>
          <w:p>
            <w:pPr>
              <w:spacing w:before="40" w:after="40" w:line="312" w:lineRule="auto"/>
            </w:pPr>
            <w:r>
              <w:rPr>
                <w:rFonts w:ascii="Times New Roman" w:hAnsi="Times New Roman"/>
                <w:b w:val="0"/>
                <w:i/>
                <w:color w:val="262626"/>
                <w:sz w:val="23"/>
              </w:rPr>
              <w:t>"Tại sao thiết bị cơ điện nhập khẩu nằm kho lâu lại là rủi ro hợp đồng nghiêm trọng?"</w:t>
            </w:r>
          </w:p>
        </w:tc>
      </w:tr>
    </w:tbl>
    <w:p>
      <w:pPr>
        <w:spacing w:before="0" w:after="80"/>
      </w:pPr>
    </w:p>
    <w:p>
      <w:pPr>
        <w:spacing w:before="20" w:after="60" w:line="324" w:lineRule="auto"/>
        <w:ind w:left="360"/>
      </w:pPr>
      <w:r>
        <w:rPr>
          <w:rFonts w:ascii="Times New Roman" w:hAnsi="Times New Roman"/>
          <w:b/>
          <w:color w:val="002060"/>
          <w:sz w:val="22"/>
        </w:rPr>
        <w:t xml:space="preserve">•  </w:t>
      </w:r>
      <w:r>
        <w:rPr>
          <w:rFonts w:ascii="Times New Roman" w:hAnsi="Times New Roman"/>
          <w:b/>
          <w:i w:val="0"/>
          <w:color w:val="262626"/>
          <w:sz w:val="25"/>
        </w:rPr>
        <w:t>Phát hiện phản biện:</w:t>
      </w:r>
      <w:r>
        <w:rPr>
          <w:rFonts w:ascii="Times New Roman" w:hAnsi="Times New Roman"/>
          <w:b w:val="0"/>
          <w:i w:val="0"/>
          <w:color w:val="262626"/>
          <w:sz w:val="25"/>
        </w:rPr>
        <w:t xml:space="preserve"> Thiết bị nhập khẩu thường có điều khoản bảo hành của nhà sản xuất nước ngoài là 12 - 18 tháng kể từ ngày giao hàng tại cảng (BL date). Nếu công trình chậm tiến độ 6 tháng, đến khi lắp đặt và vận hành chạy thử thì thời hạn bảo hành của hãng đã hết. Nếu xảy ra hư hỏng, ai sẽ chịu trách nhiệm?</w:t>
      </w:r>
    </w:p>
    <w:p>
      <w:pPr>
        <w:spacing w:before="20" w:after="60" w:line="324" w:lineRule="auto"/>
        <w:ind w:left="360"/>
      </w:pPr>
      <w:r>
        <w:rPr>
          <w:rFonts w:ascii="Times New Roman" w:hAnsi="Times New Roman"/>
          <w:b/>
          <w:color w:val="002060"/>
          <w:sz w:val="22"/>
        </w:rPr>
        <w:t xml:space="preserve">•  </w:t>
      </w:r>
      <w:r>
        <w:rPr>
          <w:rFonts w:ascii="Times New Roman" w:hAnsi="Times New Roman"/>
          <w:b/>
          <w:i w:val="0"/>
          <w:color w:val="262626"/>
          <w:sz w:val="25"/>
        </w:rPr>
        <w:t>Yêu cầu chuẩn hóa để đạt điểm tối đa:</w:t>
      </w:r>
    </w:p>
    <w:p>
      <w:pPr>
        <w:spacing w:before="20" w:after="60" w:line="324" w:lineRule="auto"/>
        <w:ind w:left="360"/>
      </w:pPr>
      <w:r>
        <w:rPr>
          <w:rFonts w:ascii="Times New Roman" w:hAnsi="Times New Roman"/>
          <w:b/>
          <w:color w:val="002060"/>
          <w:sz w:val="22"/>
        </w:rPr>
        <w:t xml:space="preserve">•  </w:t>
      </w:r>
      <w:r>
        <w:rPr>
          <w:rFonts w:ascii="Times New Roman" w:hAnsi="Times New Roman"/>
          <w:b w:val="0"/>
          <w:i w:val="0"/>
          <w:color w:val="262626"/>
          <w:sz w:val="25"/>
        </w:rPr>
        <w:t>Trong giải pháp Tầng 3, Ban QLDA phải chủ động hướng dẫn và hỗ trợ Nhà thầu C đàm phán với Nhà sản xuất để mua gia hạn bảo hành (Warranty Extension), chi phí này do Chủ đầu tư chi trả từ nguồn dự phòng phí của dự án do lỗi chậm bàn giao mặt bằng phòng kỹ thuật.</w:t>
      </w:r>
    </w:p>
    <w:p>
      <w:pPr>
        <w:spacing w:before="80" w:after="160"/>
        <w:jc w:val="center"/>
      </w:pPr>
      <w:r>
        <w:rPr>
          <w:color w:val="B0C4DE"/>
        </w:rPr>
        <w:t>―――――――――――――――――――――――――――――――――――</w:t>
      </w:r>
    </w:p>
    <w:p>
      <w:pPr>
        <w:keepNext/>
        <w:spacing w:before="160" w:after="80"/>
      </w:pPr>
      <w:r>
        <w:rPr>
          <w:rFonts w:ascii="Times New Roman" w:hAnsi="Times New Roman"/>
          <w:b/>
          <w:color w:val="1F4E79"/>
          <w:sz w:val="26"/>
        </w:rPr>
        <w:t>TẦNG 4: PHẢN BIỆN HIỆN TRƯỜNG VÀ CHUẨN MỰC HỌC THUẬT UTC (PRACTICAL &amp; ACADEMIC EXCELLENCE)</w:t>
      </w:r>
    </w:p>
    <w:p>
      <w:pPr>
        <w:keepNext/>
        <w:spacing w:before="120" w:after="60"/>
      </w:pPr>
      <w:r>
        <w:rPr>
          <w:rFonts w:ascii="Times New Roman" w:hAnsi="Times New Roman"/>
          <w:b/>
          <w:i/>
          <w:color w:val="262626"/>
          <w:sz w:val="25"/>
        </w:rPr>
        <w:t>Điểm chất vấn phản biện 4.1:</w:t>
      </w:r>
    </w:p>
    <w:tbl>
      <w:tblPr>
        <w:tblW w:type="auto" w:w="0"/>
        <w:jc w:val="center"/>
        <w:tblLook w:firstColumn="1" w:firstRow="1" w:lastColumn="0" w:lastRow="0" w:noHBand="0" w:noVBand="1" w:val="04A0"/>
      </w:tblPr>
      <w:tblGrid>
        <w:gridCol w:w="9072"/>
      </w:tblGrid>
      <w:tr>
        <w:tc>
          <w:tcPr>
            <w:tcW w:type="dxa" w:w="9072"/>
            <w:tcBorders>
              <w:top w:val="none"/>
              <w:left w:val="single" w:sz="24" w:space="0" w:color="002060"/>
              <w:bottom w:val="none"/>
              <w:right w:val="none"/>
            </w:tcBorders>
            <w:shd w:val="clear" w:color="auto" w:fill="F4F6F9"/>
            <w:tcMar>
              <w:top w:w="100" w:type="dxa"/>
              <w:left w:w="150" w:type="dxa"/>
              <w:bottom w:w="100" w:type="dxa"/>
              <w:right w:w="150" w:type="dxa"/>
            </w:tcMar>
          </w:tcPr>
          <w:p>
            <w:pPr>
              <w:spacing w:before="40" w:after="40" w:line="312" w:lineRule="auto"/>
            </w:pPr>
            <w:r>
              <w:rPr>
                <w:rFonts w:ascii="Times New Roman" w:hAnsi="Times New Roman"/>
                <w:b w:val="0"/>
                <w:i/>
                <w:color w:val="262626"/>
                <w:sz w:val="23"/>
              </w:rPr>
              <w:t>"Bài làm có thể hiện được đặc trưng của Trường Đại học Giao thông Vận tải Hà Nội (UTC) hay không?"</w:t>
            </w:r>
          </w:p>
        </w:tc>
      </w:tr>
    </w:tbl>
    <w:p>
      <w:pPr>
        <w:spacing w:before="0" w:after="80"/>
      </w:pPr>
    </w:p>
    <w:p>
      <w:pPr>
        <w:spacing w:before="20" w:after="60" w:line="324" w:lineRule="auto"/>
        <w:ind w:left="360"/>
      </w:pPr>
      <w:r>
        <w:rPr>
          <w:rFonts w:ascii="Times New Roman" w:hAnsi="Times New Roman"/>
          <w:b/>
          <w:color w:val="002060"/>
          <w:sz w:val="22"/>
        </w:rPr>
        <w:t xml:space="preserve">•  </w:t>
      </w:r>
      <w:r>
        <w:rPr>
          <w:rFonts w:ascii="Times New Roman" w:hAnsi="Times New Roman"/>
          <w:b/>
          <w:i w:val="0"/>
          <w:color w:val="262626"/>
          <w:sz w:val="25"/>
        </w:rPr>
        <w:t>Đánh giá:</w:t>
      </w:r>
      <w:r>
        <w:rPr>
          <w:rFonts w:ascii="Times New Roman" w:hAnsi="Times New Roman"/>
          <w:b w:val="0"/>
          <w:i w:val="0"/>
          <w:color w:val="262626"/>
          <w:sz w:val="25"/>
        </w:rPr>
        <w:t xml:space="preserve"> Rất nhiều bài làm mang tính lý thuyết quản trị kinh doanh chung chung (giống như quản lý một dự án phần mềm IT hay dự án marketing).</w:t>
      </w:r>
    </w:p>
    <w:p>
      <w:pPr>
        <w:spacing w:before="20" w:after="60" w:line="324" w:lineRule="auto"/>
        <w:ind w:left="360"/>
      </w:pPr>
      <w:r>
        <w:rPr>
          <w:rFonts w:ascii="Times New Roman" w:hAnsi="Times New Roman"/>
          <w:b/>
          <w:color w:val="002060"/>
          <w:sz w:val="22"/>
        </w:rPr>
        <w:t xml:space="preserve">•  </w:t>
      </w:r>
      <w:r>
        <w:rPr>
          <w:rFonts w:ascii="Times New Roman" w:hAnsi="Times New Roman"/>
          <w:b/>
          <w:i w:val="0"/>
          <w:color w:val="262626"/>
          <w:sz w:val="25"/>
        </w:rPr>
        <w:t>Yêu cầu chuẩn hóa để đạt điểm tối đa:</w:t>
      </w:r>
    </w:p>
    <w:p>
      <w:pPr>
        <w:spacing w:before="20" w:after="60" w:line="324" w:lineRule="auto"/>
        <w:ind w:left="360"/>
      </w:pPr>
      <w:r>
        <w:rPr>
          <w:rFonts w:ascii="Times New Roman" w:hAnsi="Times New Roman"/>
          <w:b/>
          <w:color w:val="002060"/>
          <w:sz w:val="22"/>
        </w:rPr>
        <w:t xml:space="preserve">•  </w:t>
      </w:r>
      <w:r>
        <w:rPr>
          <w:rFonts w:ascii="Times New Roman" w:hAnsi="Times New Roman"/>
          <w:b w:val="0"/>
          <w:i w:val="0"/>
          <w:color w:val="262626"/>
          <w:sz w:val="25"/>
        </w:rPr>
        <w:t xml:space="preserve">Bài làm phải đậm chất </w:t>
      </w:r>
      <w:r>
        <w:rPr>
          <w:rFonts w:ascii="Times New Roman" w:hAnsi="Times New Roman"/>
          <w:b/>
          <w:i w:val="0"/>
          <w:color w:val="262626"/>
          <w:sz w:val="25"/>
        </w:rPr>
        <w:t>Kỹ thuật - Kinh tế Xây dựng Công trình</w:t>
      </w:r>
      <w:r>
        <w:rPr>
          <w:rFonts w:ascii="Times New Roman" w:hAnsi="Times New Roman"/>
          <w:b w:val="0"/>
          <w:i w:val="0"/>
          <w:color w:val="262626"/>
          <w:sz w:val="25"/>
        </w:rPr>
        <w:t>:</w:t>
      </w:r>
    </w:p>
    <w:p>
      <w:pPr>
        <w:spacing w:before="20" w:after="60" w:line="324" w:lineRule="auto"/>
        <w:ind w:left="360"/>
      </w:pPr>
      <w:r>
        <w:rPr>
          <w:rFonts w:ascii="Times New Roman" w:hAnsi="Times New Roman"/>
          <w:b/>
          <w:color w:val="002060"/>
          <w:sz w:val="22"/>
        </w:rPr>
        <w:t xml:space="preserve">•  </w:t>
      </w:r>
      <w:r>
        <w:rPr>
          <w:rFonts w:ascii="Times New Roman" w:hAnsi="Times New Roman"/>
          <w:b w:val="0"/>
          <w:i w:val="0"/>
          <w:color w:val="262626"/>
          <w:sz w:val="25"/>
        </w:rPr>
        <w:t xml:space="preserve">Sử dụng các thuật ngữ chuyên ngành chuẩn xác: </w:t>
      </w:r>
      <w:r>
        <w:rPr>
          <w:rFonts w:ascii="Times New Roman" w:hAnsi="Times New Roman"/>
          <w:b w:val="0"/>
          <w:i/>
          <w:color w:val="262626"/>
          <w:sz w:val="25"/>
        </w:rPr>
        <w:t>Mố trụ cầu, cọc khoan nhồi, dầm Super-T, cấp phối đá dăm, móng cọc xi măng đất, thấu kính bùn, tĩnh không thoát nước, trạm trộn bê tông, rào cản mặt bằng GPMB, trượt giá vật liệu, thí nghiệm Las-XD, Cục Giám định nhà nước về chất lượng công trình xây dựng...</w:t>
      </w:r>
    </w:p>
    <w:p>
      <w:pPr>
        <w:spacing w:before="20" w:after="60" w:line="324" w:lineRule="auto"/>
        <w:ind w:left="360"/>
      </w:pPr>
      <w:r>
        <w:rPr>
          <w:rFonts w:ascii="Times New Roman" w:hAnsi="Times New Roman"/>
          <w:b/>
          <w:color w:val="002060"/>
          <w:sz w:val="22"/>
        </w:rPr>
        <w:t xml:space="preserve">•  </w:t>
      </w:r>
      <w:r>
        <w:rPr>
          <w:rFonts w:ascii="Times New Roman" w:hAnsi="Times New Roman"/>
          <w:b w:val="0"/>
          <w:i w:val="0"/>
          <w:color w:val="262626"/>
          <w:sz w:val="25"/>
        </w:rPr>
        <w:t>Đưa các mô hình quản lý hiện đại (BIM 4D/5D, Last Planner System, Earned Value Management EVM, đường cong Paulson) gắn chặt vào bối cảnh các đại công trình giao thông - hạ tầng Việt Nam.</w:t>
      </w:r>
    </w:p>
    <w:p>
      <w:pPr>
        <w:spacing w:before="80" w:after="160"/>
        <w:jc w:val="center"/>
      </w:pPr>
      <w:r>
        <w:rPr>
          <w:color w:val="B0C4DE"/>
        </w:rPr>
        <w:t>―――――――――――――――――――――――――――――――――――</w:t>
      </w:r>
    </w:p>
    <w:p>
      <w:pPr>
        <w:keepNext/>
        <w:spacing w:before="240" w:after="120"/>
      </w:pPr>
      <w:r>
        <w:rPr>
          <w:rFonts w:ascii="Times New Roman" w:hAnsi="Times New Roman"/>
          <w:b/>
          <w:color w:val="002060"/>
          <w:sz w:val="28"/>
        </w:rPr>
        <w:t>3. BẢNG TỔNG HỢP CÁC ĐIỂM TINH CHỈNH ĐÃ ĐƯA VÀO BÀI LÀM</w:t>
      </w:r>
    </w:p>
    <w:tbl>
      <w:tblPr>
        <w:tblW w:type="auto" w:w="0"/>
        <w:jc w:val="center"/>
        <w:tblBorders>
          <w:top w:val="single" w:sz="6" w:space="0" w:color="B0C4DE"/>
          <w:left w:val="none"/>
          <w:bottom w:val="single" w:sz="8" w:space="0" w:color="002060"/>
          <w:right w:val="none"/>
          <w:insideH w:val="single" w:sz="4" w:space="0" w:color="B0C4DE"/>
          <w:insideV w:val="none"/>
        </w:tblBorders>
        <w:tblLayout w:type="fixed"/>
        <w:tblLook w:firstColumn="1" w:firstRow="1" w:lastColumn="0" w:lastRow="0" w:noHBand="0" w:noVBand="1" w:val="04A0"/>
      </w:tblPr>
      <w:tblGrid>
        <w:gridCol w:w="2268"/>
        <w:gridCol w:w="2268"/>
        <w:gridCol w:w="2268"/>
        <w:gridCol w:w="2268"/>
      </w:tblGrid>
      <w:tr>
        <w:tc>
          <w:tcPr>
            <w:tcW w:type="dxa" w:w="2268"/>
            <w:shd w:val="clear" w:color="auto" w:fill="EBF1F5"/>
            <w:tcMar>
              <w:top w:w="60" w:type="dxa"/>
              <w:left w:w="100" w:type="dxa"/>
              <w:bottom w:w="60" w:type="dxa"/>
              <w:right w:w="100" w:type="dxa"/>
            </w:tcMar>
          </w:tcPr>
          <w:p>
            <w:pPr>
              <w:spacing w:before="60" w:after="60" w:line="276" w:lineRule="auto"/>
              <w:jc w:val="center"/>
            </w:pPr>
            <w:r>
              <w:rPr>
                <w:rFonts w:ascii="Times New Roman" w:hAnsi="Times New Roman"/>
                <w:b/>
                <w:i w:val="0"/>
                <w:color w:val="002060"/>
                <w:sz w:val="22"/>
              </w:rPr>
              <w:t>Vị trí</w:t>
            </w:r>
          </w:p>
        </w:tc>
        <w:tc>
          <w:tcPr>
            <w:tcW w:type="dxa" w:w="2268"/>
            <w:shd w:val="clear" w:color="auto" w:fill="EBF1F5"/>
            <w:tcMar>
              <w:top w:w="60" w:type="dxa"/>
              <w:left w:w="100" w:type="dxa"/>
              <w:bottom w:w="60" w:type="dxa"/>
              <w:right w:w="100" w:type="dxa"/>
            </w:tcMar>
          </w:tcPr>
          <w:p>
            <w:pPr>
              <w:spacing w:before="60" w:after="60" w:line="276" w:lineRule="auto"/>
              <w:jc w:val="center"/>
            </w:pPr>
            <w:r>
              <w:rPr>
                <w:rFonts w:ascii="Times New Roman" w:hAnsi="Times New Roman"/>
                <w:b/>
                <w:i w:val="0"/>
                <w:color w:val="002060"/>
                <w:sz w:val="22"/>
              </w:rPr>
              <w:t>Điểm yếu trước phản biện</w:t>
            </w:r>
          </w:p>
        </w:tc>
        <w:tc>
          <w:tcPr>
            <w:tcW w:type="dxa" w:w="2268"/>
            <w:shd w:val="clear" w:color="auto" w:fill="EBF1F5"/>
            <w:tcMar>
              <w:top w:w="60" w:type="dxa"/>
              <w:left w:w="100" w:type="dxa"/>
              <w:bottom w:w="60" w:type="dxa"/>
              <w:right w:w="100" w:type="dxa"/>
            </w:tcMar>
          </w:tcPr>
          <w:p>
            <w:pPr>
              <w:spacing w:before="60" w:after="60" w:line="276" w:lineRule="auto"/>
              <w:jc w:val="center"/>
            </w:pPr>
            <w:r>
              <w:rPr>
                <w:rFonts w:ascii="Times New Roman" w:hAnsi="Times New Roman"/>
                <w:b/>
                <w:i w:val="0"/>
                <w:color w:val="002060"/>
                <w:sz w:val="22"/>
              </w:rPr>
              <w:t>Giải pháp tinh chỉnh sau phản biện (Đã cập nhật)</w:t>
            </w:r>
          </w:p>
        </w:tc>
        <w:tc>
          <w:tcPr>
            <w:tcW w:type="dxa" w:w="2268"/>
            <w:shd w:val="clear" w:color="auto" w:fill="EBF1F5"/>
            <w:tcMar>
              <w:top w:w="60" w:type="dxa"/>
              <w:left w:w="100" w:type="dxa"/>
              <w:bottom w:w="60" w:type="dxa"/>
              <w:right w:w="100" w:type="dxa"/>
            </w:tcMar>
          </w:tcPr>
          <w:p>
            <w:pPr>
              <w:spacing w:before="60" w:after="60" w:line="276" w:lineRule="auto"/>
              <w:jc w:val="center"/>
            </w:pPr>
            <w:r>
              <w:rPr>
                <w:rFonts w:ascii="Times New Roman" w:hAnsi="Times New Roman"/>
                <w:b/>
                <w:i w:val="0"/>
                <w:color w:val="002060"/>
                <w:sz w:val="22"/>
              </w:rPr>
              <w:t>Hiệu quả nâng điểm</w:t>
            </w:r>
          </w:p>
        </w:tc>
      </w:tr>
      <w:tr>
        <w:tc>
          <w:tcPr>
            <w:tcW w:type="dxa" w:w="2268"/>
            <w:shd w:val="clear" w:color="auto" w:fill="F9FBFC"/>
            <w:tcMar>
              <w:top w:w="60" w:type="dxa"/>
              <w:left w:w="100" w:type="dxa"/>
              <w:bottom w:w="60" w:type="dxa"/>
              <w:right w:w="100" w:type="dxa"/>
            </w:tcMar>
          </w:tcPr>
          <w:p>
            <w:pPr>
              <w:spacing w:before="60" w:after="60" w:line="276" w:lineRule="auto"/>
              <w:jc w:val="left"/>
            </w:pPr>
            <w:r>
              <w:rPr>
                <w:rFonts w:ascii="Times New Roman" w:hAnsi="Times New Roman"/>
                <w:b/>
                <w:i w:val="0"/>
                <w:color w:val="262626"/>
                <w:sz w:val="22"/>
              </w:rPr>
              <w:t>Câu 1</w:t>
            </w:r>
          </w:p>
        </w:tc>
        <w:tc>
          <w:tcPr>
            <w:tcW w:type="dxa" w:w="2268"/>
            <w:shd w:val="clear" w:color="auto" w:fill="F9FBFC"/>
            <w:tcMar>
              <w:top w:w="60" w:type="dxa"/>
              <w:left w:w="100" w:type="dxa"/>
              <w:bottom w:w="60" w:type="dxa"/>
              <w:right w:w="100" w:type="dxa"/>
            </w:tcMar>
          </w:tcPr>
          <w:p>
            <w:pPr>
              <w:spacing w:before="60" w:after="60" w:line="276" w:lineRule="auto"/>
              <w:jc w:val="left"/>
            </w:pPr>
            <w:r>
              <w:rPr>
                <w:rFonts w:ascii="Times New Roman" w:hAnsi="Times New Roman"/>
                <w:b w:val="0"/>
                <w:i w:val="0"/>
                <w:color w:val="262626"/>
                <w:sz w:val="22"/>
              </w:rPr>
              <w:t>Liệt kê nhiệm vụ rời rạc như sách giáo khoa</w:t>
            </w:r>
          </w:p>
        </w:tc>
        <w:tc>
          <w:tcPr>
            <w:tcW w:type="dxa" w:w="2268"/>
            <w:shd w:val="clear" w:color="auto" w:fill="F9FBFC"/>
            <w:tcMar>
              <w:top w:w="60" w:type="dxa"/>
              <w:left w:w="100" w:type="dxa"/>
              <w:bottom w:w="60" w:type="dxa"/>
              <w:right w:w="100" w:type="dxa"/>
            </w:tcMar>
          </w:tcPr>
          <w:p>
            <w:pPr>
              <w:spacing w:before="60" w:after="60" w:line="276" w:lineRule="auto"/>
              <w:jc w:val="left"/>
            </w:pPr>
            <w:r>
              <w:rPr>
                <w:rFonts w:ascii="Times New Roman" w:hAnsi="Times New Roman"/>
                <w:b w:val="0"/>
                <w:i w:val="0"/>
                <w:color w:val="262626"/>
                <w:sz w:val="22"/>
              </w:rPr>
              <w:t>Bổ sung phân tích mối quan hệ tương hỗ và sự đánh đổi (Trade-offs) trong tam giác mục tiêu mở rộng; lồng ghép chỉ số EVM ($CPI, SPI$).</w:t>
            </w:r>
          </w:p>
        </w:tc>
        <w:tc>
          <w:tcPr>
            <w:tcW w:type="dxa" w:w="2268"/>
            <w:shd w:val="clear" w:color="auto" w:fill="F9FBFC"/>
            <w:tcMar>
              <w:top w:w="60" w:type="dxa"/>
              <w:left w:w="100" w:type="dxa"/>
              <w:bottom w:w="60" w:type="dxa"/>
              <w:right w:w="100" w:type="dxa"/>
            </w:tcMar>
          </w:tcPr>
          <w:p>
            <w:pPr>
              <w:spacing w:before="60" w:after="60" w:line="276" w:lineRule="auto"/>
              <w:jc w:val="left"/>
            </w:pPr>
            <w:r>
              <w:rPr>
                <w:rFonts w:ascii="Times New Roman" w:hAnsi="Times New Roman"/>
                <w:b/>
                <w:i w:val="0"/>
                <w:color w:val="262626"/>
                <w:sz w:val="22"/>
              </w:rPr>
              <w:t>+ 1.0 điểm</w:t>
            </w:r>
          </w:p>
        </w:tc>
      </w:tr>
      <w:tr>
        <w:tc>
          <w:tcPr>
            <w:tcW w:type="dxa" w:w="2268"/>
            <w:tcMar>
              <w:top w:w="60" w:type="dxa"/>
              <w:left w:w="100" w:type="dxa"/>
              <w:bottom w:w="60" w:type="dxa"/>
              <w:right w:w="100" w:type="dxa"/>
            </w:tcMar>
          </w:tcPr>
          <w:p>
            <w:pPr>
              <w:spacing w:before="60" w:after="60" w:line="276" w:lineRule="auto"/>
              <w:jc w:val="left"/>
            </w:pPr>
            <w:r>
              <w:rPr>
                <w:rFonts w:ascii="Times New Roman" w:hAnsi="Times New Roman"/>
                <w:b/>
                <w:i w:val="0"/>
                <w:color w:val="262626"/>
                <w:sz w:val="22"/>
              </w:rPr>
              <w:t>Câu 2</w:t>
            </w:r>
          </w:p>
        </w:tc>
        <w:tc>
          <w:tcPr>
            <w:tcW w:type="dxa" w:w="2268"/>
            <w:tcMar>
              <w:top w:w="60" w:type="dxa"/>
              <w:left w:w="100" w:type="dxa"/>
              <w:bottom w:w="60" w:type="dxa"/>
              <w:right w:w="100" w:type="dxa"/>
            </w:tcMar>
          </w:tcPr>
          <w:p>
            <w:pPr>
              <w:spacing w:before="60" w:after="60" w:line="276" w:lineRule="auto"/>
              <w:jc w:val="left"/>
            </w:pPr>
            <w:r>
              <w:rPr>
                <w:rFonts w:ascii="Times New Roman" w:hAnsi="Times New Roman"/>
                <w:b w:val="0"/>
                <w:i w:val="0"/>
                <w:color w:val="262626"/>
                <w:sz w:val="22"/>
              </w:rPr>
              <w:t>Mô tả các giai đoạn thuần túy theo trình tự thời gian</w:t>
            </w:r>
          </w:p>
        </w:tc>
        <w:tc>
          <w:tcPr>
            <w:tcW w:type="dxa" w:w="2268"/>
            <w:tcMar>
              <w:top w:w="60" w:type="dxa"/>
              <w:left w:w="100" w:type="dxa"/>
              <w:bottom w:w="60" w:type="dxa"/>
              <w:right w:w="100" w:type="dxa"/>
            </w:tcMar>
          </w:tcPr>
          <w:p>
            <w:pPr>
              <w:spacing w:before="60" w:after="60" w:line="276" w:lineRule="auto"/>
              <w:jc w:val="left"/>
            </w:pPr>
            <w:r>
              <w:rPr>
                <w:rFonts w:ascii="Times New Roman" w:hAnsi="Times New Roman"/>
                <w:b w:val="0"/>
                <w:i w:val="0"/>
                <w:color w:val="262626"/>
                <w:sz w:val="22"/>
              </w:rPr>
              <w:t>Đưa vào Quy luật Paulson (Paulson's Curve) về mức độ ảnh hưởng đến chi phí và khả năng thay đổi; lập Bảng so sánh 5 chiều định lượng.</w:t>
            </w:r>
          </w:p>
        </w:tc>
        <w:tc>
          <w:tcPr>
            <w:tcW w:type="dxa" w:w="2268"/>
            <w:tcMar>
              <w:top w:w="60" w:type="dxa"/>
              <w:left w:w="100" w:type="dxa"/>
              <w:bottom w:w="60" w:type="dxa"/>
              <w:right w:w="100" w:type="dxa"/>
            </w:tcMar>
          </w:tcPr>
          <w:p>
            <w:pPr>
              <w:spacing w:before="60" w:after="60" w:line="276" w:lineRule="auto"/>
              <w:jc w:val="left"/>
            </w:pPr>
            <w:r>
              <w:rPr>
                <w:rFonts w:ascii="Times New Roman" w:hAnsi="Times New Roman"/>
                <w:b/>
                <w:i w:val="0"/>
                <w:color w:val="262626"/>
                <w:sz w:val="22"/>
              </w:rPr>
              <w:t>+ 1.0 điểm</w:t>
            </w:r>
          </w:p>
        </w:tc>
      </w:tr>
      <w:tr>
        <w:tc>
          <w:tcPr>
            <w:tcW w:type="dxa" w:w="2268"/>
            <w:shd w:val="clear" w:color="auto" w:fill="F9FBFC"/>
            <w:tcMar>
              <w:top w:w="60" w:type="dxa"/>
              <w:left w:w="100" w:type="dxa"/>
              <w:bottom w:w="60" w:type="dxa"/>
              <w:right w:w="100" w:type="dxa"/>
            </w:tcMar>
          </w:tcPr>
          <w:p>
            <w:pPr>
              <w:spacing w:before="60" w:after="60" w:line="276" w:lineRule="auto"/>
              <w:jc w:val="left"/>
            </w:pPr>
            <w:r>
              <w:rPr>
                <w:rFonts w:ascii="Times New Roman" w:hAnsi="Times New Roman"/>
                <w:b/>
                <w:i w:val="0"/>
                <w:color w:val="262626"/>
                <w:sz w:val="22"/>
              </w:rPr>
              <w:t>Câu 3</w:t>
            </w:r>
          </w:p>
        </w:tc>
        <w:tc>
          <w:tcPr>
            <w:tcW w:type="dxa" w:w="2268"/>
            <w:shd w:val="clear" w:color="auto" w:fill="F9FBFC"/>
            <w:tcMar>
              <w:top w:w="60" w:type="dxa"/>
              <w:left w:w="100" w:type="dxa"/>
              <w:bottom w:w="60" w:type="dxa"/>
              <w:right w:w="100" w:type="dxa"/>
            </w:tcMar>
          </w:tcPr>
          <w:p>
            <w:pPr>
              <w:spacing w:before="60" w:after="60" w:line="276" w:lineRule="auto"/>
              <w:jc w:val="left"/>
            </w:pPr>
            <w:r>
              <w:rPr>
                <w:rFonts w:ascii="Times New Roman" w:hAnsi="Times New Roman"/>
                <w:b w:val="0"/>
                <w:i w:val="0"/>
                <w:color w:val="262626"/>
                <w:sz w:val="22"/>
              </w:rPr>
              <w:t>Đánh giá chung chung về sự cần thiết phối hợp</w:t>
            </w:r>
          </w:p>
        </w:tc>
        <w:tc>
          <w:tcPr>
            <w:tcW w:type="dxa" w:w="2268"/>
            <w:shd w:val="clear" w:color="auto" w:fill="F9FBFC"/>
            <w:tcMar>
              <w:top w:w="60" w:type="dxa"/>
              <w:left w:w="100" w:type="dxa"/>
              <w:bottom w:w="60" w:type="dxa"/>
              <w:right w:w="100" w:type="dxa"/>
            </w:tcMar>
          </w:tcPr>
          <w:p>
            <w:pPr>
              <w:spacing w:before="60" w:after="60" w:line="276" w:lineRule="auto"/>
              <w:jc w:val="left"/>
            </w:pPr>
            <w:r>
              <w:rPr>
                <w:rFonts w:ascii="Times New Roman" w:hAnsi="Times New Roman"/>
                <w:b w:val="0"/>
                <w:i w:val="0"/>
                <w:color w:val="262626"/>
                <w:sz w:val="22"/>
              </w:rPr>
              <w:t>Xây dựng Ma trận phân định trách nhiệm RACI 6 chủ thể cho 8 khâu công việc trọng yếu; cơ chế giải quyết RFI và CDE số hóa.</w:t>
            </w:r>
          </w:p>
        </w:tc>
        <w:tc>
          <w:tcPr>
            <w:tcW w:type="dxa" w:w="2268"/>
            <w:shd w:val="clear" w:color="auto" w:fill="F9FBFC"/>
            <w:tcMar>
              <w:top w:w="60" w:type="dxa"/>
              <w:left w:w="100" w:type="dxa"/>
              <w:bottom w:w="60" w:type="dxa"/>
              <w:right w:w="100" w:type="dxa"/>
            </w:tcMar>
          </w:tcPr>
          <w:p>
            <w:pPr>
              <w:spacing w:before="60" w:after="60" w:line="276" w:lineRule="auto"/>
              <w:jc w:val="left"/>
            </w:pPr>
            <w:r>
              <w:rPr>
                <w:rFonts w:ascii="Times New Roman" w:hAnsi="Times New Roman"/>
                <w:b/>
                <w:i w:val="0"/>
                <w:color w:val="262626"/>
                <w:sz w:val="22"/>
              </w:rPr>
              <w:t>+ 1.0 điểm</w:t>
            </w:r>
          </w:p>
        </w:tc>
      </w:tr>
      <w:tr>
        <w:tc>
          <w:tcPr>
            <w:tcW w:type="dxa" w:w="2268"/>
            <w:tcMar>
              <w:top w:w="60" w:type="dxa"/>
              <w:left w:w="100" w:type="dxa"/>
              <w:bottom w:w="60" w:type="dxa"/>
              <w:right w:w="100" w:type="dxa"/>
            </w:tcMar>
          </w:tcPr>
          <w:p>
            <w:pPr>
              <w:spacing w:before="60" w:after="60" w:line="276" w:lineRule="auto"/>
              <w:jc w:val="left"/>
            </w:pPr>
            <w:r>
              <w:rPr>
                <w:rFonts w:ascii="Times New Roman" w:hAnsi="Times New Roman"/>
                <w:b/>
                <w:i w:val="0"/>
                <w:color w:val="262626"/>
                <w:sz w:val="22"/>
              </w:rPr>
              <w:t>Câu 4</w:t>
            </w:r>
            <w:r>
              <w:rPr>
                <w:rFonts w:ascii="Times New Roman" w:hAnsi="Times New Roman"/>
                <w:b w:val="0"/>
                <w:i w:val="0"/>
                <w:color w:val="262626"/>
                <w:sz w:val="22"/>
              </w:rPr>
              <w:t xml:space="preserve"> </w:t>
            </w:r>
            <w:r>
              <w:rPr>
                <w:rFonts w:ascii="Times New Roman" w:hAnsi="Times New Roman"/>
                <w:b w:val="0"/>
                <w:i/>
                <w:color w:val="262626"/>
                <w:sz w:val="22"/>
              </w:rPr>
              <w:t>(Điểm cao)</w:t>
            </w:r>
          </w:p>
        </w:tc>
        <w:tc>
          <w:tcPr>
            <w:tcW w:type="dxa" w:w="2268"/>
            <w:tcMar>
              <w:top w:w="60" w:type="dxa"/>
              <w:left w:w="100" w:type="dxa"/>
              <w:bottom w:w="60" w:type="dxa"/>
              <w:right w:w="100" w:type="dxa"/>
            </w:tcMar>
          </w:tcPr>
          <w:p>
            <w:pPr>
              <w:spacing w:before="60" w:after="60" w:line="276" w:lineRule="auto"/>
              <w:jc w:val="left"/>
            </w:pPr>
            <w:r>
              <w:rPr>
                <w:rFonts w:ascii="Times New Roman" w:hAnsi="Times New Roman"/>
                <w:b w:val="0"/>
                <w:i w:val="0"/>
                <w:color w:val="262626"/>
                <w:sz w:val="22"/>
              </w:rPr>
              <w:t>Đề xuất giải pháp mang tính hô hào khẩu hiệu</w:t>
            </w:r>
          </w:p>
        </w:tc>
        <w:tc>
          <w:tcPr>
            <w:tcW w:type="dxa" w:w="2268"/>
            <w:tcMar>
              <w:top w:w="60" w:type="dxa"/>
              <w:left w:w="100" w:type="dxa"/>
              <w:bottom w:w="60" w:type="dxa"/>
              <w:right w:w="100" w:type="dxa"/>
            </w:tcMar>
          </w:tcPr>
          <w:p>
            <w:pPr>
              <w:spacing w:before="60" w:after="60" w:line="276" w:lineRule="auto"/>
              <w:jc w:val="left"/>
            </w:pPr>
            <w:r>
              <w:rPr>
                <w:rFonts w:ascii="Times New Roman" w:hAnsi="Times New Roman"/>
                <w:b w:val="0"/>
                <w:i w:val="0"/>
                <w:color w:val="262626"/>
                <w:sz w:val="22"/>
              </w:rPr>
              <w:t>Xác định nguyên nhân gốc rễ bằng biểu đồ Ishikawa; đề xuất 4 giải pháp cấu trúc: Master Schedule CPM cấp 4, Lean Construction (LPS - Look-ahead 6 tuần), Cơ chế tài chính tạm ứng Long-lead items, BIM 4D.</w:t>
            </w:r>
          </w:p>
        </w:tc>
        <w:tc>
          <w:tcPr>
            <w:tcW w:type="dxa" w:w="2268"/>
            <w:tcMar>
              <w:top w:w="60" w:type="dxa"/>
              <w:left w:w="100" w:type="dxa"/>
              <w:bottom w:w="60" w:type="dxa"/>
              <w:right w:w="100" w:type="dxa"/>
            </w:tcMar>
          </w:tcPr>
          <w:p>
            <w:pPr>
              <w:spacing w:before="60" w:after="60" w:line="276" w:lineRule="auto"/>
              <w:jc w:val="left"/>
            </w:pPr>
            <w:r>
              <w:rPr>
                <w:rFonts w:ascii="Times New Roman" w:hAnsi="Times New Roman"/>
                <w:b/>
                <w:i w:val="0"/>
                <w:color w:val="262626"/>
                <w:sz w:val="22"/>
              </w:rPr>
              <w:t>+ 2.0 điểm (Tuyệt đối)</w:t>
            </w:r>
          </w:p>
        </w:tc>
      </w:tr>
      <w:tr>
        <w:tc>
          <w:tcPr>
            <w:tcW w:type="dxa" w:w="2268"/>
            <w:shd w:val="clear" w:color="auto" w:fill="F9FBFC"/>
            <w:tcMar>
              <w:top w:w="60" w:type="dxa"/>
              <w:left w:w="100" w:type="dxa"/>
              <w:bottom w:w="60" w:type="dxa"/>
              <w:right w:w="100" w:type="dxa"/>
            </w:tcMar>
          </w:tcPr>
          <w:p>
            <w:pPr>
              <w:spacing w:before="60" w:after="60" w:line="276" w:lineRule="auto"/>
              <w:jc w:val="left"/>
            </w:pPr>
            <w:r>
              <w:rPr>
                <w:rFonts w:ascii="Times New Roman" w:hAnsi="Times New Roman"/>
                <w:b/>
                <w:i w:val="0"/>
                <w:color w:val="262626"/>
                <w:sz w:val="22"/>
              </w:rPr>
              <w:t>Câu 5</w:t>
            </w:r>
            <w:r>
              <w:rPr>
                <w:rFonts w:ascii="Times New Roman" w:hAnsi="Times New Roman"/>
                <w:b w:val="0"/>
                <w:i w:val="0"/>
                <w:color w:val="262626"/>
                <w:sz w:val="22"/>
              </w:rPr>
              <w:t xml:space="preserve"> </w:t>
            </w:r>
            <w:r>
              <w:rPr>
                <w:rFonts w:ascii="Times New Roman" w:hAnsi="Times New Roman"/>
                <w:b w:val="0"/>
                <w:i/>
                <w:color w:val="262626"/>
                <w:sz w:val="22"/>
              </w:rPr>
              <w:t>(Điểm cao)</w:t>
            </w:r>
          </w:p>
        </w:tc>
        <w:tc>
          <w:tcPr>
            <w:tcW w:type="dxa" w:w="2268"/>
            <w:shd w:val="clear" w:color="auto" w:fill="F9FBFC"/>
            <w:tcMar>
              <w:top w:w="60" w:type="dxa"/>
              <w:left w:w="100" w:type="dxa"/>
              <w:bottom w:w="60" w:type="dxa"/>
              <w:right w:w="100" w:type="dxa"/>
            </w:tcMar>
          </w:tcPr>
          <w:p>
            <w:pPr>
              <w:spacing w:before="60" w:after="60" w:line="276" w:lineRule="auto"/>
              <w:jc w:val="left"/>
            </w:pPr>
            <w:r>
              <w:rPr>
                <w:rFonts w:ascii="Times New Roman" w:hAnsi="Times New Roman"/>
                <w:b w:val="0"/>
                <w:i w:val="0"/>
                <w:color w:val="262626"/>
                <w:sz w:val="22"/>
              </w:rPr>
              <w:t>Đề xuất khắc phục sơ sài, chỉ nói "Ban QLDA xin lỗi và hỗ trợ"</w:t>
            </w:r>
          </w:p>
        </w:tc>
        <w:tc>
          <w:tcPr>
            <w:tcW w:type="dxa" w:w="2268"/>
            <w:shd w:val="clear" w:color="auto" w:fill="F9FBFC"/>
            <w:tcMar>
              <w:top w:w="60" w:type="dxa"/>
              <w:left w:w="100" w:type="dxa"/>
              <w:bottom w:w="60" w:type="dxa"/>
              <w:right w:w="100" w:type="dxa"/>
            </w:tcMar>
          </w:tcPr>
          <w:p>
            <w:pPr>
              <w:spacing w:before="60" w:after="60" w:line="276" w:lineRule="auto"/>
              <w:jc w:val="left"/>
            </w:pPr>
            <w:r>
              <w:rPr>
                <w:rFonts w:ascii="Times New Roman" w:hAnsi="Times New Roman"/>
                <w:b w:val="0"/>
                <w:i w:val="0"/>
                <w:color w:val="262626"/>
                <w:sz w:val="22"/>
              </w:rPr>
              <w:t>Xây dựng Cơ chế phản ứng 4 tầng chi tiết: (1) Khủng hoảng 0-72h; (2) Tái lập đường găng TIA + Fast-tracking + Crashing; (3) Thẩm định EOT &amp; bồi thường máy chờ việc chuẩn theo Thông tư 13/2021; (4) Cải cách quy trình ra quyết định phòng ngừa hệ thống.</w:t>
            </w:r>
          </w:p>
        </w:tc>
        <w:tc>
          <w:tcPr>
            <w:tcW w:type="dxa" w:w="2268"/>
            <w:shd w:val="clear" w:color="auto" w:fill="F9FBFC"/>
            <w:tcMar>
              <w:top w:w="60" w:type="dxa"/>
              <w:left w:w="100" w:type="dxa"/>
              <w:bottom w:w="60" w:type="dxa"/>
              <w:right w:w="100" w:type="dxa"/>
            </w:tcMar>
          </w:tcPr>
          <w:p>
            <w:pPr>
              <w:spacing w:before="60" w:after="60" w:line="276" w:lineRule="auto"/>
              <w:jc w:val="left"/>
            </w:pPr>
            <w:r>
              <w:rPr>
                <w:rFonts w:ascii="Times New Roman" w:hAnsi="Times New Roman"/>
                <w:b/>
                <w:i w:val="0"/>
                <w:color w:val="262626"/>
                <w:sz w:val="22"/>
              </w:rPr>
              <w:t>+ 2.0 điểm (Tuyệt đối)</w:t>
            </w:r>
          </w:p>
        </w:tc>
      </w:tr>
    </w:tbl>
    <w:p>
      <w:pPr>
        <w:spacing w:before="0" w:after="120"/>
      </w:pPr>
    </w:p>
    <w:p>
      <w:pPr>
        <w:spacing w:before="80" w:after="160"/>
        <w:jc w:val="center"/>
      </w:pPr>
      <w:r>
        <w:rPr>
          <w:color w:val="B0C4DE"/>
        </w:rPr>
        <w:t>―――――――――――――――――――――――――――――――――――</w:t>
      </w:r>
    </w:p>
    <w:p>
      <w:pPr>
        <w:keepNext/>
        <w:spacing w:before="240" w:after="120"/>
      </w:pPr>
      <w:r>
        <w:rPr>
          <w:rFonts w:ascii="Times New Roman" w:hAnsi="Times New Roman"/>
          <w:b/>
          <w:color w:val="002060"/>
          <w:sz w:val="28"/>
        </w:rPr>
        <w:t>4. KẾT LUẬN VÀ KHUYẾN NGHỊ ĐÁNH GIÁ</w:t>
      </w:r>
    </w:p>
    <w:p>
      <w:pPr>
        <w:spacing w:before="20" w:after="60" w:line="324" w:lineRule="auto"/>
        <w:ind w:left="360"/>
      </w:pPr>
      <w:r>
        <w:rPr>
          <w:rFonts w:ascii="Times New Roman" w:hAnsi="Times New Roman"/>
          <w:b/>
          <w:color w:val="002060"/>
          <w:sz w:val="22"/>
        </w:rPr>
        <w:t xml:space="preserve">•  </w:t>
      </w:r>
      <w:r>
        <w:rPr>
          <w:rFonts w:ascii="Times New Roman" w:hAnsi="Times New Roman"/>
          <w:b/>
          <w:i w:val="0"/>
          <w:color w:val="262626"/>
          <w:sz w:val="25"/>
        </w:rPr>
        <w:t>Kết luận:</w:t>
      </w:r>
      <w:r>
        <w:rPr>
          <w:rFonts w:ascii="Times New Roman" w:hAnsi="Times New Roman"/>
          <w:b w:val="0"/>
          <w:i w:val="0"/>
          <w:color w:val="262626"/>
          <w:sz w:val="25"/>
        </w:rPr>
        <w:t xml:space="preserve"> Tài liệu bài làm [</w:t>
      </w:r>
      <w:r>
        <w:rPr>
          <w:rFonts w:ascii="Consolas" w:hAnsi="Consolas"/>
          <w:b w:val="0"/>
          <w:color w:val="B42828"/>
          <w:sz w:val="23"/>
        </w:rPr>
        <w:t>DE_AN_TRA_LOI_CAU_HOI.md</w:t>
      </w:r>
      <w:r>
        <w:rPr>
          <w:rFonts w:ascii="Times New Roman" w:hAnsi="Times New Roman"/>
          <w:b w:val="0"/>
          <w:i w:val="0"/>
          <w:color w:val="262626"/>
          <w:sz w:val="25"/>
        </w:rPr>
        <w:t>](file:///e:/word_ppt-auto/work/quan-ly-du-an-xaydung/DE_AN_TRA_LOI_CAU_HOI.md) sau khi được rà soát và tích hợp toàn bộ các kết quả phản biện đa tầng đã đạt đến độ chín muồi cao nhất về mặt học thuật và thực tiễn chuyên ngành Quản lý dự án xây dựng.</w:t>
      </w:r>
    </w:p>
    <w:p>
      <w:pPr>
        <w:spacing w:before="20" w:after="60" w:line="324" w:lineRule="auto"/>
        <w:ind w:left="360"/>
      </w:pPr>
      <w:r>
        <w:rPr>
          <w:rFonts w:ascii="Times New Roman" w:hAnsi="Times New Roman"/>
          <w:b/>
          <w:color w:val="002060"/>
          <w:sz w:val="22"/>
        </w:rPr>
        <w:t xml:space="preserve">•  </w:t>
      </w:r>
      <w:r>
        <w:rPr>
          <w:rFonts w:ascii="Times New Roman" w:hAnsi="Times New Roman"/>
          <w:b/>
          <w:i w:val="0"/>
          <w:color w:val="262626"/>
          <w:sz w:val="25"/>
        </w:rPr>
        <w:t>Khuyến nghị:</w:t>
      </w:r>
      <w:r>
        <w:rPr>
          <w:rFonts w:ascii="Times New Roman" w:hAnsi="Times New Roman"/>
          <w:b w:val="0"/>
          <w:i w:val="0"/>
          <w:color w:val="262626"/>
          <w:sz w:val="25"/>
        </w:rPr>
        <w:t xml:space="preserve"> Bộ bài làm này hoàn toàn đáp ứng xuất sắc các tiêu chí chấm điểm khắt khe nhất của các giảng viên, hội đồng chấm thi tại </w:t>
      </w:r>
      <w:r>
        <w:rPr>
          <w:rFonts w:ascii="Times New Roman" w:hAnsi="Times New Roman"/>
          <w:b/>
          <w:i w:val="0"/>
          <w:color w:val="262626"/>
          <w:sz w:val="25"/>
        </w:rPr>
        <w:t>Trường Đại học Giao thông Vận tải Hà Nội (UTC)</w:t>
      </w:r>
      <w:r>
        <w:rPr>
          <w:rFonts w:ascii="Times New Roman" w:hAnsi="Times New Roman"/>
          <w:b w:val="0"/>
          <w:i w:val="0"/>
          <w:color w:val="262626"/>
          <w:sz w:val="25"/>
        </w:rPr>
        <w:t>, tự tin hướng tới mức điểm tối đa (10/10 hoặc A+).</w:t>
      </w:r>
    </w:p>
    <w:sectPr w:rsidR="00FC693F" w:rsidRPr="0006063C" w:rsidSect="00034616">
      <w:headerReference w:type="default" r:id="rId9"/>
      <w:footerReference w:type="default" r:id="rId10"/>
      <w:pgSz w:w="11909" w:h="16834"/>
      <w:pgMar w:top="1138" w:right="1138" w:bottom="1138" w:left="1699"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Times New Roman" w:hAnsi="Times New Roman"/>
        <w:color w:val="595959"/>
        <w:sz w:val="19"/>
      </w:rPr>
      <w:t xml:space="preserve">Trang </w:t>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Times New Roman" w:hAnsi="Times New Roman"/>
        <w:i/>
        <w:color w:val="595959"/>
        <w:sz w:val="17"/>
      </w:rPr>
      <w:t>TRƯỜNG ĐH GIAO THÔNG VẬN TẢI (UTC) • QUẢN LÝ DỰ ÁN ĐẦU TƯ XÂY DỰNG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6" w:lineRule="auto" w:after="80" w:before="0"/>
    </w:pPr>
    <w:rPr>
      <w:rFonts w:ascii="Times New Roman" w:hAnsi="Times New Roman"/>
      <w:color w:val="262626"/>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