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45094" w14:textId="77777777" w:rsidR="00D513A3" w:rsidRDefault="00000000">
      <w:pPr>
        <w:spacing w:after="80"/>
        <w:jc w:val="center"/>
      </w:pPr>
      <w:r>
        <w:rPr>
          <w:b/>
          <w:bCs/>
          <w:color w:val="1A252F"/>
          <w:sz w:val="40"/>
          <w:szCs w:val="40"/>
        </w:rPr>
        <w:t>Mathematical Models for Polychrome</w:t>
      </w:r>
    </w:p>
    <w:p w14:paraId="54B43460" w14:textId="77777777" w:rsidR="00D513A3" w:rsidRDefault="00000000">
      <w:pPr>
        <w:spacing w:after="80"/>
        <w:jc w:val="center"/>
      </w:pPr>
      <w:r>
        <w:rPr>
          <w:b/>
          <w:bCs/>
          <w:color w:val="1A252F"/>
          <w:sz w:val="40"/>
          <w:szCs w:val="40"/>
        </w:rPr>
        <w:t>Heritage Deterioration Under</w:t>
      </w:r>
    </w:p>
    <w:p w14:paraId="204A3552" w14:textId="77777777" w:rsidR="00D513A3" w:rsidRDefault="00000000">
      <w:pPr>
        <w:spacing w:after="120"/>
        <w:jc w:val="center"/>
      </w:pPr>
      <w:r>
        <w:rPr>
          <w:b/>
          <w:bCs/>
          <w:color w:val="1A252F"/>
          <w:sz w:val="40"/>
          <w:szCs w:val="40"/>
        </w:rPr>
        <w:t>Temperature and Humidity</w:t>
      </w:r>
    </w:p>
    <w:p w14:paraId="59EC5A96" w14:textId="77777777" w:rsidR="00D513A3" w:rsidRDefault="00000000">
      <w:pPr>
        <w:spacing w:after="60"/>
        <w:jc w:val="center"/>
      </w:pPr>
      <w:r>
        <w:rPr>
          <w:color w:val="2C3E50"/>
          <w:sz w:val="28"/>
          <w:szCs w:val="28"/>
        </w:rPr>
        <w:t>Post-2010 Literature Review</w:t>
      </w:r>
    </w:p>
    <w:p w14:paraId="5B5C177D" w14:textId="77777777" w:rsidR="00D513A3" w:rsidRDefault="00000000">
      <w:pPr>
        <w:spacing w:after="400"/>
        <w:jc w:val="center"/>
      </w:pPr>
      <w:r>
        <w:rPr>
          <w:i/>
          <w:iCs/>
          <w:color w:val="777777"/>
          <w:sz w:val="20"/>
          <w:szCs w:val="20"/>
        </w:rPr>
        <w:t>Compiled February 2026</w:t>
      </w:r>
    </w:p>
    <w:p w14:paraId="76FDFEEF" w14:textId="77777777" w:rsidR="00D513A3" w:rsidRDefault="00000000">
      <w:pPr>
        <w:pStyle w:val="Heading1"/>
      </w:pPr>
      <w:r>
        <w:t>1. Introduction and Scope</w:t>
      </w:r>
    </w:p>
    <w:p w14:paraId="0929FF94" w14:textId="77777777" w:rsidR="00D513A3" w:rsidRDefault="00000000">
      <w:pPr>
        <w:spacing w:after="160" w:line="276" w:lineRule="auto"/>
      </w:pPr>
      <w:r>
        <w:t>This document presents a focused review of empirical mathematical models published since 2010 that describe the deterioration of painted and polychrome heritage surfaces as a function of temperature and relative humidity. It draws exclusively on post-2010 literature, including major outputs from the EU Climate for Culture project (2009–2014), advances in dose-response modelling by Strlič and colleagues at UCL, refinements to mechanical damage models by Bratasz and the Jerzy Haber Institute group, updated mould growth prediction frameworks, and recent chemo-mechanical coupling models from Eindhoven University of Technology.</w:t>
      </w:r>
    </w:p>
    <w:p w14:paraId="2B3E81D8" w14:textId="77777777" w:rsidR="00D513A3" w:rsidRDefault="00000000">
      <w:pPr>
        <w:spacing w:after="160" w:line="276" w:lineRule="auto"/>
      </w:pPr>
      <w:r>
        <w:t>A central finding remains: no single closed-form equation of the type ΔE = f(T, RH, t) has been experimentally validated for polychrome heritage surfaces. Instead, the field relies on a modular toolkit of Arrhenius kinetics, sorption-coupled dose-response functions, hygro-mechanical finite-element models, and biological growth prediction frameworks.</w:t>
      </w:r>
    </w:p>
    <w:p w14:paraId="18081456" w14:textId="77777777" w:rsidR="00D513A3" w:rsidRDefault="00000000">
      <w:pPr>
        <w:pStyle w:val="Heading1"/>
      </w:pPr>
      <w:r>
        <w:t>2. Arrhenius-Based Lifetime Multipliers</w:t>
      </w:r>
    </w:p>
    <w:p w14:paraId="0900EB0E" w14:textId="77777777" w:rsidR="00D513A3" w:rsidRDefault="00000000">
      <w:pPr>
        <w:pStyle w:val="Heading2"/>
      </w:pPr>
      <w:r>
        <w:t>2.1 The CCI Lifetime Multiplier (Michalski, updated post-2010)</w:t>
      </w:r>
    </w:p>
    <w:p w14:paraId="03463A54" w14:textId="77777777" w:rsidR="00D513A3" w:rsidRDefault="00000000">
      <w:pPr>
        <w:spacing w:after="160" w:line="276" w:lineRule="auto"/>
      </w:pPr>
      <w:r>
        <w:t>The Canadian Conservation Institute’s lifetime multiplier framework, though originally formulated by Michalski in 2002, was significantly updated and republished in CCI’s revised Climate Guidelines (2013–2017). The core equation remains:</w:t>
      </w:r>
    </w:p>
    <w:p w14:paraId="38384B82" w14:textId="77777777" w:rsidR="00D513A3" w:rsidRDefault="00000000">
      <w:pPr>
        <w:spacing w:after="160" w:line="276" w:lineRule="auto"/>
      </w:pPr>
      <w:r>
        <w:rPr>
          <w:b/>
          <w:bCs/>
          <w:i/>
          <w:iCs/>
          <w:color w:val="2C3E50"/>
          <w:sz w:val="20"/>
          <w:szCs w:val="20"/>
        </w:rPr>
        <w:t>Lifetime Multiplier:</w:t>
      </w:r>
    </w:p>
    <w:p w14:paraId="62B58D66" w14:textId="77777777" w:rsidR="00D513A3" w:rsidRDefault="00000000">
      <w:pPr>
        <w:spacing w:before="160" w:after="160"/>
        <w:jc w:val="center"/>
      </w:pPr>
      <w:r>
        <w:rPr>
          <w:rFonts w:ascii="Cambria Math" w:eastAsia="Cambria Math" w:hAnsi="Cambria Math" w:cs="Cambria Math"/>
        </w:rPr>
        <w:t>LM(T) = exp[(Eₐ / R) · (1/T₂ − 1/T₁)]</w:t>
      </w:r>
    </w:p>
    <w:p w14:paraId="69FE645C" w14:textId="77777777" w:rsidR="00D513A3" w:rsidRDefault="00000000">
      <w:pPr>
        <w:spacing w:after="160" w:line="276" w:lineRule="auto"/>
      </w:pPr>
      <w:r>
        <w:t>where T₁ is the reference temperature (typically 293.15 K = 20 °C), T₂ is the storage temperature, Eₐ is the activation energy (J/mol), and R = 8.314 J·mol⁻¹·K⁻¹. The CCI’s post-2010 documentation provides benchmark values: at Eₐ ≈ 100 kJ/mol, storage at 0 °C yields a lifetime approximately 20× longer than at 20 °C; at −20 °C, the factor reaches roughly 750×.</w:t>
      </w:r>
    </w:p>
    <w:p w14:paraId="5F5D033F" w14:textId="77777777" w:rsidR="00D513A3" w:rsidRDefault="00000000">
      <w:pPr>
        <w:pStyle w:val="Heading2"/>
      </w:pPr>
      <w:r>
        <w:t>2.2 Climate for Culture Equivalent Lifetime Multiplier (eLM)</w:t>
      </w:r>
    </w:p>
    <w:p w14:paraId="0E528253" w14:textId="77777777" w:rsidR="00D513A3" w:rsidRDefault="00000000">
      <w:pPr>
        <w:spacing w:after="160" w:line="276" w:lineRule="auto"/>
      </w:pPr>
      <w:r>
        <w:t>The EU Climate for Culture project (2009–2014; Leissner et al., 2015, Heritage Science 3: 38) extended Michalski’s framework into an equivalent Lifetime Multiplier that couples both temperature and relative humidity:</w:t>
      </w:r>
    </w:p>
    <w:p w14:paraId="0E5E55FD" w14:textId="77777777" w:rsidR="00D513A3" w:rsidRDefault="00000000">
      <w:pPr>
        <w:spacing w:after="160" w:line="276" w:lineRule="auto"/>
      </w:pPr>
      <w:r>
        <w:rPr>
          <w:b/>
          <w:bCs/>
          <w:i/>
          <w:iCs/>
          <w:color w:val="2C3E50"/>
          <w:sz w:val="20"/>
          <w:szCs w:val="20"/>
        </w:rPr>
        <w:t>eLM equation:</w:t>
      </w:r>
    </w:p>
    <w:p w14:paraId="5415885A" w14:textId="77777777" w:rsidR="00D513A3" w:rsidRDefault="00000000">
      <w:pPr>
        <w:spacing w:before="160" w:after="160"/>
        <w:jc w:val="center"/>
      </w:pPr>
      <w:r>
        <w:rPr>
          <w:rFonts w:ascii="Cambria Math" w:eastAsia="Cambria Math" w:hAnsi="Cambria Math" w:cs="Cambria Math"/>
        </w:rPr>
        <w:t>eLM = exp[(Eₐ / R) · (1/T₀ − 1/T)] · (RH₀ / RH)ⁿ</w:t>
      </w:r>
    </w:p>
    <w:p w14:paraId="591CBC6F" w14:textId="77777777" w:rsidR="00D513A3" w:rsidRDefault="00000000">
      <w:pPr>
        <w:spacing w:after="160" w:line="276" w:lineRule="auto"/>
      </w:pPr>
      <w:r>
        <w:lastRenderedPageBreak/>
        <w:t>with reference conditions T₀ = 293 K, RH₀ = 50%, Eₐ ≈ 100 kJ/mol for cellulosic materials, and humidity exponent n ≈ 1.3. An eLM value below 0.75 flags high chemical degradation risk. This model was applied across European historic buildings using whole-building hygrothermal simulation (WUFI) coupled with regional climate projections (REMO, A1B scenario) to map future indoor conditions and predict deterioration trajectories for collections.</w:t>
      </w:r>
    </w:p>
    <w:p w14:paraId="3E75E310" w14:textId="77777777" w:rsidR="00D513A3" w:rsidRDefault="00000000">
      <w:pPr>
        <w:spacing w:after="160" w:line="276" w:lineRule="auto"/>
      </w:pPr>
      <w:r>
        <w:rPr>
          <w:i/>
          <w:iCs/>
          <w:color w:val="555555"/>
          <w:sz w:val="20"/>
          <w:szCs w:val="20"/>
        </w:rPr>
        <w:t>Reference: Leissner, J. et al. (2015). Climate for Culture: assessing the impact of climate change on the future indoor climate in historic buildings using simulations. Heritage Science, 3: 38.</w:t>
      </w:r>
    </w:p>
    <w:p w14:paraId="4B94B680" w14:textId="77777777" w:rsidR="00D513A3" w:rsidRDefault="00000000">
      <w:pPr>
        <w:pStyle w:val="Heading2"/>
      </w:pPr>
      <w:r>
        <w:t>2.3 Post-2010 Activation Energy Values for Paint-Relevant Systems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400"/>
        <w:gridCol w:w="3106"/>
      </w:tblGrid>
      <w:tr w:rsidR="00D513A3" w14:paraId="07E12BC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vAlign w:val="center"/>
          </w:tcPr>
          <w:p w14:paraId="232A369A" w14:textId="77777777" w:rsidR="00D513A3" w:rsidRDefault="00000000">
            <w:r>
              <w:rPr>
                <w:rFonts w:eastAsia="Arial"/>
                <w:b/>
                <w:bCs/>
                <w:color w:val="FFFFFF"/>
                <w:sz w:val="20"/>
                <w:szCs w:val="20"/>
              </w:rPr>
              <w:t>Material / Process</w:t>
            </w:r>
          </w:p>
        </w:tc>
        <w:tc>
          <w:tcPr>
            <w:tcW w:w="16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vAlign w:val="center"/>
          </w:tcPr>
          <w:p w14:paraId="257D6D37" w14:textId="77777777" w:rsidR="00D513A3" w:rsidRDefault="00000000">
            <w:r>
              <w:rPr>
                <w:rFonts w:eastAsia="Arial"/>
                <w:b/>
                <w:bCs/>
                <w:color w:val="FFFFFF"/>
                <w:sz w:val="20"/>
                <w:szCs w:val="20"/>
              </w:rPr>
              <w:t>Eₐ (kJ/mol)</w:t>
            </w:r>
          </w:p>
        </w:tc>
        <w:tc>
          <w:tcPr>
            <w:tcW w:w="14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vAlign w:val="center"/>
          </w:tcPr>
          <w:p w14:paraId="57D3A475" w14:textId="77777777" w:rsidR="00D513A3" w:rsidRDefault="00000000">
            <w:r>
              <w:rPr>
                <w:rFonts w:eastAsia="Arial"/>
                <w:b/>
                <w:bCs/>
                <w:color w:val="FFFFFF"/>
                <w:sz w:val="20"/>
                <w:szCs w:val="20"/>
              </w:rPr>
              <w:t>Year</w:t>
            </w:r>
          </w:p>
        </w:tc>
        <w:tc>
          <w:tcPr>
            <w:tcW w:w="3106"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vAlign w:val="center"/>
          </w:tcPr>
          <w:p w14:paraId="6D58EF4C" w14:textId="77777777" w:rsidR="00D513A3" w:rsidRDefault="00000000">
            <w:r>
              <w:rPr>
                <w:rFonts w:eastAsia="Arial"/>
                <w:b/>
                <w:bCs/>
                <w:color w:val="FFFFFF"/>
                <w:sz w:val="20"/>
                <w:szCs w:val="20"/>
              </w:rPr>
              <w:t>Source</w:t>
            </w:r>
          </w:p>
        </w:tc>
      </w:tr>
      <w:tr w:rsidR="00D513A3" w14:paraId="0BC6E84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645A0E3E" w14:textId="77777777" w:rsidR="00D513A3" w:rsidRDefault="00000000">
            <w:r>
              <w:rPr>
                <w:rFonts w:eastAsia="Arial"/>
                <w:sz w:val="20"/>
                <w:szCs w:val="20"/>
              </w:rPr>
              <w:t>Cellulose hydrolysis (rag paper)</w:t>
            </w:r>
          </w:p>
        </w:tc>
        <w:tc>
          <w:tcPr>
            <w:tcW w:w="16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6DE15842" w14:textId="77777777" w:rsidR="00D513A3" w:rsidRDefault="00000000">
            <w:r>
              <w:rPr>
                <w:rFonts w:eastAsia="Arial"/>
                <w:sz w:val="20"/>
                <w:szCs w:val="20"/>
              </w:rPr>
              <w:t>100–110</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7903BFDA" w14:textId="77777777" w:rsidR="00D513A3" w:rsidRDefault="00000000">
            <w:r>
              <w:rPr>
                <w:rFonts w:eastAsia="Arial"/>
                <w:sz w:val="20"/>
                <w:szCs w:val="20"/>
              </w:rPr>
              <w:t>2011</w:t>
            </w:r>
          </w:p>
        </w:tc>
        <w:tc>
          <w:tcPr>
            <w:tcW w:w="3106"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1FE41358" w14:textId="77777777" w:rsidR="00D513A3" w:rsidRDefault="00000000">
            <w:r>
              <w:rPr>
                <w:rFonts w:eastAsia="Arial"/>
                <w:sz w:val="20"/>
                <w:szCs w:val="20"/>
              </w:rPr>
              <w:t>Menart, De Bruin &amp; Strlič</w:t>
            </w:r>
          </w:p>
        </w:tc>
      </w:tr>
      <w:tr w:rsidR="00D513A3" w14:paraId="5B891D4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C9559D" w14:textId="77777777" w:rsidR="00D513A3" w:rsidRDefault="00000000">
            <w:r>
              <w:rPr>
                <w:rFonts w:eastAsia="Arial"/>
                <w:sz w:val="20"/>
                <w:szCs w:val="20"/>
              </w:rPr>
              <w:t>Linseed oil autoxidation (peroxide)</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E64ADE" w14:textId="77777777" w:rsidR="00D513A3" w:rsidRDefault="00000000">
            <w:r>
              <w:rPr>
                <w:rFonts w:eastAsia="Arial"/>
                <w:sz w:val="20"/>
                <w:szCs w:val="20"/>
              </w:rPr>
              <w:t>~71</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D2F087" w14:textId="77777777" w:rsidR="00D513A3" w:rsidRDefault="00000000">
            <w:r>
              <w:rPr>
                <w:rFonts w:eastAsia="Arial"/>
                <w:sz w:val="20"/>
                <w:szCs w:val="20"/>
              </w:rPr>
              <w:t>2017</w:t>
            </w:r>
          </w:p>
        </w:tc>
        <w:tc>
          <w:tcPr>
            <w:tcW w:w="3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6248A1" w14:textId="77777777" w:rsidR="00D513A3" w:rsidRDefault="00000000">
            <w:r>
              <w:rPr>
                <w:rFonts w:eastAsia="Arial"/>
                <w:sz w:val="20"/>
                <w:szCs w:val="20"/>
              </w:rPr>
              <w:t>Kowalski et al.</w:t>
            </w:r>
          </w:p>
        </w:tc>
      </w:tr>
      <w:tr w:rsidR="00D513A3" w14:paraId="06DAEA0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36362ADA" w14:textId="77777777" w:rsidR="00D513A3" w:rsidRDefault="00000000">
            <w:r>
              <w:rPr>
                <w:rFonts w:eastAsia="Arial"/>
                <w:sz w:val="20"/>
                <w:szCs w:val="20"/>
              </w:rPr>
              <w:t>Linseed oil oxidative stability (PDSC)</w:t>
            </w:r>
          </w:p>
        </w:tc>
        <w:tc>
          <w:tcPr>
            <w:tcW w:w="16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5716CE27" w14:textId="77777777" w:rsidR="00D513A3" w:rsidRDefault="00000000">
            <w:r>
              <w:rPr>
                <w:rFonts w:eastAsia="Arial"/>
                <w:sz w:val="20"/>
                <w:szCs w:val="20"/>
              </w:rPr>
              <w:t>93–95</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20EF89A8" w14:textId="77777777" w:rsidR="00D513A3" w:rsidRDefault="00000000">
            <w:r>
              <w:rPr>
                <w:rFonts w:eastAsia="Arial"/>
                <w:sz w:val="20"/>
                <w:szCs w:val="20"/>
              </w:rPr>
              <w:t>2017</w:t>
            </w:r>
          </w:p>
        </w:tc>
        <w:tc>
          <w:tcPr>
            <w:tcW w:w="3106"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2080C38E" w14:textId="77777777" w:rsidR="00D513A3" w:rsidRDefault="00000000">
            <w:r>
              <w:rPr>
                <w:rFonts w:eastAsia="Arial"/>
                <w:sz w:val="20"/>
                <w:szCs w:val="20"/>
              </w:rPr>
              <w:t>Kowalski et al.</w:t>
            </w:r>
          </w:p>
        </w:tc>
      </w:tr>
      <w:tr w:rsidR="00D513A3" w14:paraId="3EE7CFF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51581A" w14:textId="77777777" w:rsidR="00D513A3" w:rsidRDefault="00000000">
            <w:r>
              <w:rPr>
                <w:rFonts w:eastAsia="Arial"/>
                <w:sz w:val="20"/>
                <w:szCs w:val="20"/>
              </w:rPr>
              <w:t>Orpiment pigment (As₂S₃) oxidation</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ADA873" w14:textId="77777777" w:rsidR="00D513A3" w:rsidRDefault="00000000">
            <w:r>
              <w:rPr>
                <w:rFonts w:eastAsia="Arial"/>
                <w:sz w:val="20"/>
                <w:szCs w:val="20"/>
              </w:rPr>
              <w:t>59.1</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2416CC" w14:textId="77777777" w:rsidR="00D513A3" w:rsidRDefault="00000000">
            <w:r>
              <w:rPr>
                <w:rFonts w:eastAsia="Arial"/>
                <w:sz w:val="20"/>
                <w:szCs w:val="20"/>
              </w:rPr>
              <w:t>2023</w:t>
            </w:r>
          </w:p>
        </w:tc>
        <w:tc>
          <w:tcPr>
            <w:tcW w:w="3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8B73D6" w14:textId="77777777" w:rsidR="00D513A3" w:rsidRDefault="00000000">
            <w:r>
              <w:rPr>
                <w:rFonts w:eastAsia="Arial"/>
                <w:sz w:val="20"/>
                <w:szCs w:val="20"/>
              </w:rPr>
              <w:t>Broers et al., JACS</w:t>
            </w:r>
          </w:p>
        </w:tc>
      </w:tr>
      <w:tr w:rsidR="00D513A3" w14:paraId="53DE284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5E219D1A" w14:textId="77777777" w:rsidR="00D513A3" w:rsidRDefault="00000000">
            <w:r>
              <w:rPr>
                <w:rFonts w:eastAsia="Arial"/>
                <w:sz w:val="20"/>
                <w:szCs w:val="20"/>
              </w:rPr>
              <w:t>Wood thermal decay</w:t>
            </w:r>
          </w:p>
        </w:tc>
        <w:tc>
          <w:tcPr>
            <w:tcW w:w="16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4A94EA00" w14:textId="77777777" w:rsidR="00D513A3" w:rsidRDefault="00000000">
            <w:r>
              <w:rPr>
                <w:rFonts w:eastAsia="Arial"/>
                <w:sz w:val="20"/>
                <w:szCs w:val="20"/>
              </w:rPr>
              <w:t>~85</w:t>
            </w:r>
          </w:p>
        </w:tc>
        <w:tc>
          <w:tcPr>
            <w:tcW w:w="14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4DE1EFFF" w14:textId="77777777" w:rsidR="00D513A3" w:rsidRDefault="00000000">
            <w:r>
              <w:rPr>
                <w:rFonts w:eastAsia="Arial"/>
                <w:sz w:val="20"/>
                <w:szCs w:val="20"/>
              </w:rPr>
              <w:t>2013</w:t>
            </w:r>
          </w:p>
        </w:tc>
        <w:tc>
          <w:tcPr>
            <w:tcW w:w="3106"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6FC0D5FC" w14:textId="77777777" w:rsidR="00D513A3" w:rsidRDefault="00000000">
            <w:r>
              <w:rPr>
                <w:rFonts w:eastAsia="Arial"/>
                <w:sz w:val="20"/>
                <w:szCs w:val="20"/>
              </w:rPr>
              <w:t>Froidevaux &amp; Navi</w:t>
            </w:r>
          </w:p>
        </w:tc>
      </w:tr>
    </w:tbl>
    <w:p w14:paraId="0CBBC57F" w14:textId="77777777" w:rsidR="00D513A3" w:rsidRDefault="00D513A3">
      <w:pPr>
        <w:spacing w:after="160" w:line="276" w:lineRule="auto"/>
      </w:pPr>
    </w:p>
    <w:p w14:paraId="1A94583B" w14:textId="77777777" w:rsidR="00D513A3" w:rsidRDefault="00000000">
      <w:pPr>
        <w:pStyle w:val="Heading1"/>
      </w:pPr>
      <w:r>
        <w:t>3. Strlič’s Dose-Response Functions and Isochrones</w:t>
      </w:r>
    </w:p>
    <w:p w14:paraId="480980A9" w14:textId="77777777" w:rsidR="00D513A3" w:rsidRDefault="00000000">
      <w:pPr>
        <w:pStyle w:val="Heading2"/>
      </w:pPr>
      <w:r>
        <w:t>3.1 The Menart–Strlič Chain-Scission Model (2011)</w:t>
      </w:r>
    </w:p>
    <w:p w14:paraId="2F99BA33" w14:textId="77777777" w:rsidR="00D513A3" w:rsidRDefault="00000000">
      <w:pPr>
        <w:spacing w:after="160" w:line="276" w:lineRule="auto"/>
      </w:pPr>
      <w:r>
        <w:t>Menart, De Bruin &amp; Strlič (2011, Polymer Degradation and Stability 96: 2029–2039) published the most rigorously parameterised dose-response function for organic heritage materials, based on the Ekenstam relation:</w:t>
      </w:r>
    </w:p>
    <w:p w14:paraId="3788F219" w14:textId="77777777" w:rsidR="00D513A3" w:rsidRDefault="00000000">
      <w:pPr>
        <w:spacing w:after="160" w:line="276" w:lineRule="auto"/>
      </w:pPr>
      <w:r>
        <w:rPr>
          <w:b/>
          <w:bCs/>
          <w:i/>
          <w:iCs/>
          <w:color w:val="2C3E50"/>
          <w:sz w:val="20"/>
          <w:szCs w:val="20"/>
        </w:rPr>
        <w:t>Chain scission rate:</w:t>
      </w:r>
    </w:p>
    <w:p w14:paraId="1BBC6C12" w14:textId="77777777" w:rsidR="00D513A3" w:rsidRDefault="00000000">
      <w:pPr>
        <w:spacing w:before="160" w:after="160"/>
        <w:jc w:val="center"/>
      </w:pPr>
      <w:r>
        <w:rPr>
          <w:rFonts w:ascii="Cambria Math" w:eastAsia="Cambria Math" w:hAnsi="Cambria Math" w:cs="Cambria Math"/>
        </w:rPr>
        <w:t>1/DP(t) − 1/DP₀ = k · t</w:t>
      </w:r>
    </w:p>
    <w:p w14:paraId="268AB0DA" w14:textId="77777777" w:rsidR="00D513A3" w:rsidRDefault="00000000">
      <w:pPr>
        <w:spacing w:after="160" w:line="276" w:lineRule="auto"/>
      </w:pPr>
      <w:r>
        <w:t>where DP is the degree of polymerisation and the rate constant k incorporates Arrhenius temperature dependence, moisture content, and acid catalysis:</w:t>
      </w:r>
    </w:p>
    <w:p w14:paraId="31AF6B85" w14:textId="77777777" w:rsidR="00D513A3" w:rsidRDefault="00000000">
      <w:pPr>
        <w:spacing w:after="160" w:line="276" w:lineRule="auto"/>
      </w:pPr>
      <w:r>
        <w:rPr>
          <w:b/>
          <w:bCs/>
          <w:i/>
          <w:iCs/>
          <w:color w:val="2C3E50"/>
          <w:sz w:val="20"/>
          <w:szCs w:val="20"/>
        </w:rPr>
        <w:t>Rate constant:</w:t>
      </w:r>
    </w:p>
    <w:p w14:paraId="31BC9C5E" w14:textId="77777777" w:rsidR="00D513A3" w:rsidRDefault="00000000">
      <w:pPr>
        <w:spacing w:before="160" w:after="160"/>
        <w:jc w:val="center"/>
      </w:pPr>
      <w:r>
        <w:rPr>
          <w:rFonts w:ascii="Cambria Math" w:eastAsia="Cambria Math" w:hAnsi="Cambria Math" w:cs="Cambria Math"/>
        </w:rPr>
        <w:t>k = (A₀ + A₂·[H₂O] + A₅·[H₂O]·[H⁺]) · exp(−Eₐ / RT)</w:t>
      </w:r>
    </w:p>
    <w:p w14:paraId="2BC78DD4" w14:textId="77777777" w:rsidR="00D513A3" w:rsidRDefault="00000000">
      <w:pPr>
        <w:spacing w:after="160" w:line="276" w:lineRule="auto"/>
      </w:pPr>
      <w:r>
        <w:t>The equilibrium moisture content [H₂O] is computed from the Paltakari–Karlsson isotherm:</w:t>
      </w:r>
    </w:p>
    <w:p w14:paraId="2198C307" w14:textId="77777777" w:rsidR="00D513A3" w:rsidRDefault="00000000">
      <w:pPr>
        <w:spacing w:after="160" w:line="276" w:lineRule="auto"/>
      </w:pPr>
      <w:r>
        <w:rPr>
          <w:b/>
          <w:bCs/>
          <w:i/>
          <w:iCs/>
          <w:color w:val="2C3E50"/>
          <w:sz w:val="20"/>
          <w:szCs w:val="20"/>
        </w:rPr>
        <w:t>Moisture content:</w:t>
      </w:r>
    </w:p>
    <w:p w14:paraId="7C7EA22E" w14:textId="77777777" w:rsidR="00D513A3" w:rsidRDefault="00000000">
      <w:pPr>
        <w:spacing w:before="160" w:after="160"/>
        <w:jc w:val="center"/>
      </w:pPr>
      <w:r>
        <w:rPr>
          <w:rFonts w:ascii="Cambria Math" w:eastAsia="Cambria Math" w:hAnsi="Cambria Math" w:cs="Cambria Math"/>
        </w:rPr>
        <w:t>[H₂O] = (ln(1 − RH) / (1.67T − 285.655))^(1/(2.491 − 0.012T))</w:t>
      </w:r>
    </w:p>
    <w:p w14:paraId="2120B939" w14:textId="77777777" w:rsidR="00D513A3" w:rsidRDefault="00000000">
      <w:pPr>
        <w:spacing w:after="160" w:line="276" w:lineRule="auto"/>
      </w:pPr>
      <w:r>
        <w:t>where RH is expressed as a fraction (0–1) and T in Kelvin. The model was fitted to 121 accelerated ageing experiments and yielded Eₐ ≈ 100–110 kJ/mol. While developed for cellulose, the mathematical structure is transferable to any hydrolysable organic binder (proteinaceous glues in gesso, ester linkages in drying oils) given appropriate parameterisation.</w:t>
      </w:r>
    </w:p>
    <w:p w14:paraId="7F6E7294" w14:textId="77777777" w:rsidR="00D513A3" w:rsidRDefault="00000000">
      <w:pPr>
        <w:pStyle w:val="Heading2"/>
      </w:pPr>
      <w:r>
        <w:lastRenderedPageBreak/>
        <w:t>3.2 Isochrones and Collection Demography (Strlič et al., 2015)</w:t>
      </w:r>
    </w:p>
    <w:p w14:paraId="4B2EA4C8" w14:textId="77777777" w:rsidR="00D513A3" w:rsidRDefault="00000000">
      <w:pPr>
        <w:spacing w:after="160" w:line="276" w:lineRule="auto"/>
      </w:pPr>
      <w:r>
        <w:t>Strlič, Grossi, Dillon, et al. (2015, Heritage Science 3: 40) extended the dose-response framework into isochrones — contour plots in T–RH space representing equal time to reach a fitness-for-use threshold (e.g., DP = 300 for paper). A key quantitative finding: a 20% RH increase produces roughly the same degradation acceleration as a 4 °C temperature increase for typical acidic paper.</w:t>
      </w:r>
    </w:p>
    <w:p w14:paraId="577460CD" w14:textId="77777777" w:rsidR="00D513A3" w:rsidRDefault="00000000">
      <w:pPr>
        <w:spacing w:after="160" w:line="276" w:lineRule="auto"/>
      </w:pPr>
      <w:r>
        <w:t>The isochrone methodology enables direct comparison of storage environments without full kinetic simulation — any (T, RH) pair can be located on the isochrone map to read off the expected time to a critical threshold. This has been adopted by the CCI and several European national archives.</w:t>
      </w:r>
    </w:p>
    <w:p w14:paraId="26B271A4" w14:textId="77777777" w:rsidR="00D513A3" w:rsidRDefault="00000000">
      <w:pPr>
        <w:spacing w:after="160" w:line="276" w:lineRule="auto"/>
      </w:pPr>
      <w:r>
        <w:rPr>
          <w:i/>
          <w:iCs/>
          <w:color w:val="555555"/>
          <w:sz w:val="20"/>
          <w:szCs w:val="20"/>
        </w:rPr>
        <w:t>Reference: Strlič, M. et al. (2015). Damage function for historic paper. Part III: Isochrones and demography of collections. Heritage Science, 3: 40.</w:t>
      </w:r>
    </w:p>
    <w:p w14:paraId="26BE59E6" w14:textId="77777777" w:rsidR="00D513A3" w:rsidRDefault="00000000">
      <w:pPr>
        <w:pStyle w:val="Heading2"/>
      </w:pPr>
      <w:r>
        <w:t>3.3 Photodegradation Factorial Model (Liu, Fearn &amp; Strlič, 2021)</w:t>
      </w:r>
    </w:p>
    <w:p w14:paraId="6F8BA4AB" w14:textId="77777777" w:rsidR="00D513A3" w:rsidRDefault="00000000">
      <w:pPr>
        <w:spacing w:after="160" w:line="276" w:lineRule="auto"/>
      </w:pPr>
      <w:r>
        <w:t>Liu, Fearn &amp; Strlič (2021, Heritage Science 9: 130) used a 2³ factorial experimental design to model the colour-change rate constant as:</w:t>
      </w:r>
    </w:p>
    <w:p w14:paraId="5B392556" w14:textId="77777777" w:rsidR="00D513A3" w:rsidRDefault="00000000">
      <w:pPr>
        <w:spacing w:after="160" w:line="276" w:lineRule="auto"/>
      </w:pPr>
      <w:r>
        <w:rPr>
          <w:b/>
          <w:bCs/>
          <w:i/>
          <w:iCs/>
          <w:color w:val="2C3E50"/>
          <w:sz w:val="20"/>
          <w:szCs w:val="20"/>
        </w:rPr>
        <w:t>Factorial model:</w:t>
      </w:r>
    </w:p>
    <w:p w14:paraId="3A5A3FC4" w14:textId="77777777" w:rsidR="00D513A3" w:rsidRDefault="00000000">
      <w:pPr>
        <w:spacing w:before="160" w:after="160"/>
        <w:jc w:val="center"/>
      </w:pPr>
      <w:r>
        <w:rPr>
          <w:rFonts w:ascii="Cambria Math" w:eastAsia="Cambria Math" w:hAnsi="Cambria Math" w:cs="Cambria Math"/>
        </w:rPr>
        <w:t>k_ΔE = β₀ + β₁x₁ + β₂x₂ + β₃x₃ + β₁₂x₁x₂ + β₁₃x₁x₃ + β₂₃x₂x₃</w:t>
      </w:r>
    </w:p>
    <w:p w14:paraId="334D0EC8" w14:textId="77777777" w:rsidR="00D513A3" w:rsidRDefault="00000000">
      <w:pPr>
        <w:spacing w:after="160" w:line="276" w:lineRule="auto"/>
      </w:pPr>
      <w:r>
        <w:t>where x₁ = oxygen concentration (5–21%), x₂ = relative humidity (30–65%), x₃ = illuminance (18–35 klx), coded as ±1. Relative humidity had the strongest main effect on discolouration rate; oxygen was second; visible-light illuminance (no UV) was weakest. Discolouration followed first-order kinetics:</w:t>
      </w:r>
    </w:p>
    <w:p w14:paraId="2E3CDA8F" w14:textId="77777777" w:rsidR="00D513A3" w:rsidRDefault="00000000">
      <w:pPr>
        <w:spacing w:after="160" w:line="276" w:lineRule="auto"/>
      </w:pPr>
      <w:r>
        <w:rPr>
          <w:b/>
          <w:bCs/>
          <w:i/>
          <w:iCs/>
          <w:color w:val="2C3E50"/>
          <w:sz w:val="20"/>
          <w:szCs w:val="20"/>
        </w:rPr>
        <w:t>Colour change:</w:t>
      </w:r>
    </w:p>
    <w:p w14:paraId="6F9979DC" w14:textId="77777777" w:rsidR="00D513A3" w:rsidRDefault="00000000">
      <w:pPr>
        <w:spacing w:before="160" w:after="160"/>
        <w:jc w:val="center"/>
      </w:pPr>
      <w:r>
        <w:rPr>
          <w:rFonts w:ascii="Cambria Math" w:eastAsia="Cambria Math" w:hAnsi="Cambria Math" w:cs="Cambria Math"/>
        </w:rPr>
        <w:t>R(t) = R₀ · exp(−k_R · t)</w:t>
      </w:r>
    </w:p>
    <w:p w14:paraId="6DE4EBEC" w14:textId="77777777" w:rsidR="00D513A3" w:rsidRDefault="00000000">
      <w:pPr>
        <w:spacing w:after="160" w:line="276" w:lineRule="auto"/>
      </w:pPr>
      <w:r>
        <w:t>with ΔE*_ab = √[(ΔL*)² + (Δa*)² + (Δb*)²]. Although tested on paper, the multivariate regression framework and the relative ranking of environmental factors are directly transferable to pigmented paint systems.</w:t>
      </w:r>
    </w:p>
    <w:p w14:paraId="023BB872" w14:textId="77777777" w:rsidR="00D513A3" w:rsidRDefault="00000000">
      <w:pPr>
        <w:spacing w:after="160" w:line="276" w:lineRule="auto"/>
      </w:pPr>
      <w:r>
        <w:rPr>
          <w:i/>
          <w:iCs/>
          <w:color w:val="555555"/>
          <w:sz w:val="20"/>
          <w:szCs w:val="20"/>
        </w:rPr>
        <w:t>Reference: Liu, Y., Fearn, T. &amp; Strlič, M. (2021). Factorial experimentation on photodegradation of historical paper by polychromatic visible radiation. Heritage Science, 9: 130.</w:t>
      </w:r>
    </w:p>
    <w:p w14:paraId="481F9CB2" w14:textId="77777777" w:rsidR="00D513A3" w:rsidRDefault="00000000">
      <w:r>
        <w:br w:type="page"/>
      </w:r>
    </w:p>
    <w:p w14:paraId="7FCB23BE" w14:textId="77777777" w:rsidR="00D513A3" w:rsidRDefault="00000000">
      <w:pPr>
        <w:pStyle w:val="Heading1"/>
      </w:pPr>
      <w:r>
        <w:lastRenderedPageBreak/>
        <w:t>4. Mechanical Damage from Hygrothermal Cycling</w:t>
      </w:r>
    </w:p>
    <w:p w14:paraId="2F272104" w14:textId="77777777" w:rsidR="00D513A3" w:rsidRDefault="00000000">
      <w:pPr>
        <w:pStyle w:val="Heading2"/>
      </w:pPr>
      <w:r>
        <w:t>4.1 Bratasz’s Finite-Element Models for Painted Wood</w:t>
      </w:r>
    </w:p>
    <w:p w14:paraId="0B2A6D00" w14:textId="77777777" w:rsidR="00D513A3" w:rsidRDefault="00000000">
      <w:pPr>
        <w:spacing w:after="160" w:line="276" w:lineRule="auto"/>
      </w:pPr>
      <w:r>
        <w:t>Bratasz and colleagues at the Jerzy Haber Institute of Catalysis and Surface Chemistry (Polish Academy of Sciences) developed finite-element models coupling moisture diffusion through wooden substrates with mechanical stress in paint and gesso layers. The governing moisture transport equation is:</w:t>
      </w:r>
    </w:p>
    <w:p w14:paraId="75A4449B" w14:textId="77777777" w:rsidR="00D513A3" w:rsidRDefault="00000000">
      <w:pPr>
        <w:spacing w:after="160" w:line="276" w:lineRule="auto"/>
      </w:pPr>
      <w:r>
        <w:rPr>
          <w:b/>
          <w:bCs/>
          <w:i/>
          <w:iCs/>
          <w:color w:val="2C3E50"/>
          <w:sz w:val="20"/>
          <w:szCs w:val="20"/>
        </w:rPr>
        <w:t>Moisture diffusion:</w:t>
      </w:r>
    </w:p>
    <w:p w14:paraId="39E8E392" w14:textId="77777777" w:rsidR="00D513A3" w:rsidRDefault="00000000">
      <w:pPr>
        <w:spacing w:before="160" w:after="160"/>
        <w:jc w:val="center"/>
      </w:pPr>
      <w:r>
        <w:rPr>
          <w:rFonts w:ascii="Cambria Math" w:eastAsia="Cambria Math" w:hAnsi="Cambria Math" w:cs="Cambria Math"/>
        </w:rPr>
        <w:t>∂M/∂t = ∇·(D(M)·∇M)</w:t>
      </w:r>
    </w:p>
    <w:p w14:paraId="366F3C38" w14:textId="77777777" w:rsidR="00D513A3" w:rsidRDefault="00000000">
      <w:pPr>
        <w:spacing w:after="160" w:line="276" w:lineRule="auto"/>
      </w:pPr>
      <w:r>
        <w:t>where M = moisture content and D(M) = moisture-dependent diffusion coefficient. Equilibrium moisture content is calculated via the GAB isotherm. Dimensional change follows:</w:t>
      </w:r>
    </w:p>
    <w:p w14:paraId="64660490" w14:textId="77777777" w:rsidR="00D513A3" w:rsidRDefault="00000000">
      <w:pPr>
        <w:spacing w:after="160" w:line="276" w:lineRule="auto"/>
      </w:pPr>
      <w:r>
        <w:rPr>
          <w:b/>
          <w:bCs/>
          <w:i/>
          <w:iCs/>
          <w:color w:val="2C3E50"/>
          <w:sz w:val="20"/>
          <w:szCs w:val="20"/>
        </w:rPr>
        <w:t>Hygroscopic strain:</w:t>
      </w:r>
    </w:p>
    <w:p w14:paraId="38C9E872" w14:textId="77777777" w:rsidR="00D513A3" w:rsidRDefault="00000000">
      <w:pPr>
        <w:spacing w:before="160" w:after="160"/>
        <w:jc w:val="center"/>
      </w:pPr>
      <w:r>
        <w:rPr>
          <w:rFonts w:ascii="Cambria Math" w:eastAsia="Cambria Math" w:hAnsi="Cambria Math" w:cs="Cambria Math"/>
        </w:rPr>
        <w:t>ε = α_T · ΔM</w:t>
      </w:r>
    </w:p>
    <w:p w14:paraId="34E738FA" w14:textId="77777777" w:rsidR="00D513A3" w:rsidRDefault="00000000">
      <w:pPr>
        <w:spacing w:after="160" w:line="276" w:lineRule="auto"/>
      </w:pPr>
      <w:r>
        <w:t>For lime wood (a common substrate for Central European panel paintings), α_T ≈ 0.28 in the tangential direction. The critical failure strain for new gesso is ε_crit ≈ 0.002 (0.2%).</w:t>
      </w:r>
    </w:p>
    <w:p w14:paraId="2581A750" w14:textId="77777777" w:rsidR="00D513A3" w:rsidRDefault="00000000">
      <w:pPr>
        <w:pStyle w:val="Heading2"/>
      </w:pPr>
      <w:r>
        <w:t>4.2 Fatigue Behaviour (Rachwał et al., 2012)</w:t>
      </w:r>
    </w:p>
    <w:p w14:paraId="79FC6F64" w14:textId="77777777" w:rsidR="00D513A3" w:rsidRDefault="00000000">
      <w:pPr>
        <w:spacing w:after="160" w:line="276" w:lineRule="auto"/>
      </w:pPr>
      <w:r>
        <w:t>Rachwał, Bratasz, Krzemień &amp; Lukośko (2012, Strain 48: 474–481) established the fatigue endurance limit for gesso on wood. Single-event fracture occurs at strain ε ≈ 0.004, while the fatigue endurance limit over 10⁴–10⁶ cycles drops to ε ≈ 0.002 or below. This translates to a safe RH variation of approximately ±15% around 50% RH for single panels, reducing to ±13% for 30 mm thick panels with 0.5 mm gesso. Crucially, panel paintings do not respond significantly to diurnal fluctuations due to the slow moisture diffusion through wood.</w:t>
      </w:r>
    </w:p>
    <w:p w14:paraId="644A4C88" w14:textId="77777777" w:rsidR="00D513A3" w:rsidRDefault="00000000">
      <w:pPr>
        <w:spacing w:after="160" w:line="276" w:lineRule="auto"/>
      </w:pPr>
      <w:r>
        <w:rPr>
          <w:i/>
          <w:iCs/>
          <w:color w:val="555555"/>
          <w:sz w:val="20"/>
          <w:szCs w:val="20"/>
        </w:rPr>
        <w:t>Reference: Rachwał, B. et al. (2012). Fatigue damage of the gesso layer in panel paintings subjected to changing climate conditions. Strain, 48: 474–481.</w:t>
      </w:r>
    </w:p>
    <w:p w14:paraId="1166EB54" w14:textId="77777777" w:rsidR="00D513A3" w:rsidRDefault="00000000">
      <w:pPr>
        <w:pStyle w:val="Heading2"/>
      </w:pPr>
      <w:r>
        <w:t>4.3 Fracture Saturation (Bratasz, Akoglu &amp; Kékicheff, 2020)</w:t>
      </w:r>
    </w:p>
    <w:p w14:paraId="345EBAE6" w14:textId="77777777" w:rsidR="00D513A3" w:rsidRDefault="00000000">
      <w:pPr>
        <w:spacing w:after="160" w:line="276" w:lineRule="auto"/>
      </w:pPr>
      <w:r>
        <w:t>Bratasz, Akoglu &amp; Kékicheff (2020, Heritage Science 8: 11) introduced the concept of fracture saturation: once craquelure is fully developed (crack spacing-to-gesso thickness ratio S/t drops below approximately 3–6), no new cracks can form because stress in the gesso is fully relieved by the existing crack network. This makes historically cracked paintings less vulnerable to environmental variations than virgin specimens — a significant finding for museum climate policy.</w:t>
      </w:r>
    </w:p>
    <w:p w14:paraId="3134EB0A" w14:textId="77777777" w:rsidR="00D513A3" w:rsidRDefault="00000000">
      <w:pPr>
        <w:spacing w:after="160" w:line="276" w:lineRule="auto"/>
      </w:pPr>
      <w:r>
        <w:rPr>
          <w:i/>
          <w:iCs/>
          <w:color w:val="555555"/>
          <w:sz w:val="20"/>
          <w:szCs w:val="20"/>
        </w:rPr>
        <w:t>Reference: Bratasz, Ł. et al. (2020). Fracture saturation in paintings makes them less vulnerable to environmental variations in museums. Heritage Science, 8: 11.</w:t>
      </w:r>
    </w:p>
    <w:p w14:paraId="56299E2C" w14:textId="77777777" w:rsidR="00D513A3" w:rsidRDefault="00000000">
      <w:pPr>
        <w:pStyle w:val="Heading2"/>
      </w:pPr>
      <w:r>
        <w:t>4.4 The HERIe Web Tool (2018–present)</w:t>
      </w:r>
    </w:p>
    <w:p w14:paraId="15A5D906" w14:textId="77777777" w:rsidR="00D513A3" w:rsidRDefault="00000000">
      <w:pPr>
        <w:spacing w:after="160" w:line="276" w:lineRule="auto"/>
      </w:pPr>
      <w:r>
        <w:t xml:space="preserve">The HERIe tool (herie.pl), developed by Kupczak, Bratasz and colleagues (2018, Studies in Conservation 63(sup1): 151–155), operationalises the finite-element mechanical models into a web-based risk assessment platform. It accepts time-series of temperature and relative humidity as input and computes strain histories, damage accumulation, and risk indices for </w:t>
      </w:r>
      <w:r>
        <w:lastRenderedPageBreak/>
        <w:t>polychrome painted wood objects. Grøntoft &amp; Stoveland (2023, Heritage 6(3): 3089–3112) applied HERIe to evaluate building protection and conservation heating scenarios in Norwegian medieval stone churches, demonstrating the tool’s applicability to real-world heritage management decisions.</w:t>
      </w:r>
    </w:p>
    <w:p w14:paraId="16838942" w14:textId="77777777" w:rsidR="00D513A3" w:rsidRDefault="00000000">
      <w:pPr>
        <w:pStyle w:val="Heading2"/>
      </w:pPr>
      <w:r>
        <w:t>4.5 Key Material Properties (Post-2010 Measurements)</w:t>
      </w:r>
    </w:p>
    <w:p w14:paraId="4F3566CB" w14:textId="77777777" w:rsidR="00D513A3" w:rsidRDefault="00000000">
      <w:pPr>
        <w:spacing w:after="160" w:line="276" w:lineRule="auto"/>
      </w:pPr>
      <w:r>
        <w:t>Tempera paint mechanical and moisture-related properties were comprehensively measured by Rachwalkowa et al. (2024, Heritage Science 12: 147):</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06"/>
      </w:tblGrid>
      <w:tr w:rsidR="00D513A3" w14:paraId="339FCD8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vAlign w:val="center"/>
          </w:tcPr>
          <w:p w14:paraId="4EB54DF7" w14:textId="77777777" w:rsidR="00D513A3" w:rsidRDefault="00000000">
            <w:r>
              <w:rPr>
                <w:rFonts w:eastAsia="Arial"/>
                <w:b/>
                <w:bCs/>
                <w:color w:val="FFFFFF"/>
                <w:sz w:val="20"/>
                <w:szCs w:val="20"/>
              </w:rPr>
              <w:t>Layer</w:t>
            </w:r>
          </w:p>
        </w:tc>
        <w:tc>
          <w:tcPr>
            <w:tcW w:w="22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vAlign w:val="center"/>
          </w:tcPr>
          <w:p w14:paraId="1C7CDCDE" w14:textId="77777777" w:rsidR="00D513A3" w:rsidRDefault="00000000">
            <w:r>
              <w:rPr>
                <w:rFonts w:eastAsia="Arial"/>
                <w:b/>
                <w:bCs/>
                <w:color w:val="FFFFFF"/>
                <w:sz w:val="20"/>
                <w:szCs w:val="20"/>
              </w:rPr>
              <w:t>α_RH (per %RH)</w:t>
            </w:r>
          </w:p>
        </w:tc>
        <w:tc>
          <w:tcPr>
            <w:tcW w:w="22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vAlign w:val="center"/>
          </w:tcPr>
          <w:p w14:paraId="7D31E5D8" w14:textId="77777777" w:rsidR="00D513A3" w:rsidRDefault="00000000">
            <w:r>
              <w:rPr>
                <w:rFonts w:eastAsia="Arial"/>
                <w:b/>
                <w:bCs/>
                <w:color w:val="FFFFFF"/>
                <w:sz w:val="20"/>
                <w:szCs w:val="20"/>
              </w:rPr>
              <w:t>ε_crit (fracture)</w:t>
            </w:r>
          </w:p>
        </w:tc>
        <w:tc>
          <w:tcPr>
            <w:tcW w:w="2106"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vAlign w:val="center"/>
          </w:tcPr>
          <w:p w14:paraId="7E4B8E52" w14:textId="77777777" w:rsidR="00D513A3" w:rsidRDefault="00000000">
            <w:r>
              <w:rPr>
                <w:rFonts w:eastAsia="Arial"/>
                <w:b/>
                <w:bCs/>
                <w:color w:val="FFFFFF"/>
                <w:sz w:val="20"/>
                <w:szCs w:val="20"/>
              </w:rPr>
              <w:t>E (MPa)</w:t>
            </w:r>
          </w:p>
        </w:tc>
      </w:tr>
      <w:tr w:rsidR="00D513A3" w14:paraId="41DD678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149DC4D6" w14:textId="77777777" w:rsidR="00D513A3" w:rsidRDefault="00000000">
            <w:r>
              <w:rPr>
                <w:rFonts w:eastAsia="Arial"/>
                <w:sz w:val="20"/>
                <w:szCs w:val="20"/>
              </w:rPr>
              <w:t>Gesso (glue + CaCO₃)</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03951013" w14:textId="77777777" w:rsidR="00D513A3" w:rsidRDefault="00000000">
            <w:r>
              <w:rPr>
                <w:rFonts w:eastAsia="Arial"/>
                <w:sz w:val="20"/>
                <w:szCs w:val="20"/>
              </w:rPr>
              <w:t>1–2 × 10⁻⁴</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08966393" w14:textId="77777777" w:rsidR="00D513A3" w:rsidRDefault="00000000">
            <w:r>
              <w:rPr>
                <w:rFonts w:eastAsia="Arial"/>
                <w:sz w:val="20"/>
                <w:szCs w:val="20"/>
              </w:rPr>
              <w:t>~0.002 (0.2%)</w:t>
            </w:r>
          </w:p>
        </w:tc>
        <w:tc>
          <w:tcPr>
            <w:tcW w:w="2106"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0C76BA80" w14:textId="77777777" w:rsidR="00D513A3" w:rsidRDefault="00000000">
            <w:r>
              <w:rPr>
                <w:rFonts w:eastAsia="Arial"/>
                <w:sz w:val="20"/>
                <w:szCs w:val="20"/>
              </w:rPr>
              <w:t>2000–5000</w:t>
            </w:r>
          </w:p>
        </w:tc>
      </w:tr>
      <w:tr w:rsidR="00D513A3" w14:paraId="542E48B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D9E4F5" w14:textId="77777777" w:rsidR="00D513A3" w:rsidRDefault="00000000">
            <w:r>
              <w:rPr>
                <w:rFonts w:eastAsia="Arial"/>
                <w:sz w:val="20"/>
                <w:szCs w:val="20"/>
              </w:rPr>
              <w:t>Egg tempera (various pigments)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31844F" w14:textId="77777777" w:rsidR="00D513A3" w:rsidRDefault="00000000">
            <w:r>
              <w:rPr>
                <w:rFonts w:eastAsia="Arial"/>
                <w:sz w:val="20"/>
                <w:szCs w:val="20"/>
              </w:rPr>
              <w:t>~1 × 10⁻⁴</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ADCDD3" w14:textId="77777777" w:rsidR="00D513A3" w:rsidRDefault="00000000">
            <w:r>
              <w:rPr>
                <w:rFonts w:eastAsia="Arial"/>
                <w:sz w:val="20"/>
                <w:szCs w:val="20"/>
              </w:rPr>
              <w:t>0.003–0.008</w:t>
            </w:r>
          </w:p>
        </w:tc>
        <w:tc>
          <w:tcPr>
            <w:tcW w:w="2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BDECB3" w14:textId="77777777" w:rsidR="00D513A3" w:rsidRDefault="00000000">
            <w:r>
              <w:rPr>
                <w:rFonts w:eastAsia="Arial"/>
                <w:sz w:val="20"/>
                <w:szCs w:val="20"/>
              </w:rPr>
              <w:t>500–3000</w:t>
            </w:r>
          </w:p>
        </w:tc>
      </w:tr>
      <w:tr w:rsidR="00D513A3" w14:paraId="32DED38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0EA8B5CE" w14:textId="77777777" w:rsidR="00D513A3" w:rsidRDefault="00000000">
            <w:r>
              <w:rPr>
                <w:rFonts w:eastAsia="Arial"/>
                <w:sz w:val="20"/>
                <w:szCs w:val="20"/>
              </w:rPr>
              <w:t>Hide glue size</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79535615" w14:textId="77777777" w:rsidR="00D513A3" w:rsidRDefault="00000000">
            <w:r>
              <w:rPr>
                <w:rFonts w:eastAsia="Arial"/>
                <w:sz w:val="20"/>
                <w:szCs w:val="20"/>
              </w:rPr>
              <w:t>~4.2 × 10⁻⁴</w:t>
            </w:r>
          </w:p>
        </w:tc>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0D1A50F4" w14:textId="77777777" w:rsidR="00D513A3" w:rsidRDefault="00000000">
            <w:r>
              <w:rPr>
                <w:rFonts w:eastAsia="Arial"/>
                <w:sz w:val="20"/>
                <w:szCs w:val="20"/>
              </w:rPr>
              <w:t>0.005–0.01</w:t>
            </w:r>
          </w:p>
        </w:tc>
        <w:tc>
          <w:tcPr>
            <w:tcW w:w="2106"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45A054B7" w14:textId="77777777" w:rsidR="00D513A3" w:rsidRDefault="00000000">
            <w:r>
              <w:rPr>
                <w:rFonts w:eastAsia="Arial"/>
                <w:sz w:val="20"/>
                <w:szCs w:val="20"/>
              </w:rPr>
              <w:t>1000–4000</w:t>
            </w:r>
          </w:p>
        </w:tc>
      </w:tr>
    </w:tbl>
    <w:p w14:paraId="29660D8E" w14:textId="77777777" w:rsidR="00D513A3" w:rsidRDefault="00D513A3">
      <w:pPr>
        <w:spacing w:after="160" w:line="276" w:lineRule="auto"/>
      </w:pPr>
    </w:p>
    <w:p w14:paraId="4B22D1CF" w14:textId="77777777" w:rsidR="00D513A3" w:rsidRDefault="00000000">
      <w:r>
        <w:br w:type="page"/>
      </w:r>
    </w:p>
    <w:p w14:paraId="11D7C825" w14:textId="77777777" w:rsidR="00D513A3" w:rsidRDefault="00000000">
      <w:pPr>
        <w:pStyle w:val="Heading1"/>
      </w:pPr>
      <w:r>
        <w:lastRenderedPageBreak/>
        <w:t>5. Mould Growth Prediction Models</w:t>
      </w:r>
    </w:p>
    <w:p w14:paraId="1E25F408" w14:textId="77777777" w:rsidR="00D513A3" w:rsidRDefault="00000000">
      <w:pPr>
        <w:pStyle w:val="Heading2"/>
      </w:pPr>
      <w:r>
        <w:t>5.1 Updated VTT/Finnish Mould Growth Model (Ojanen et al., 2011)</w:t>
      </w:r>
    </w:p>
    <w:p w14:paraId="310FA06A" w14:textId="77777777" w:rsidR="00D513A3" w:rsidRDefault="00000000">
      <w:pPr>
        <w:spacing w:after="160" w:line="276" w:lineRule="auto"/>
      </w:pPr>
      <w:r>
        <w:t>The VTT Finnish Mould Growth Model, originally by Hukka &amp; Viitanen (1999), was substantially updated by Ojanen, Viitanen, Peuhkuri et al. (2011) to extend beyond pine and spruce to four material sensitivity classes. The critical RH threshold below which no mould initiates is:</w:t>
      </w:r>
    </w:p>
    <w:p w14:paraId="3F89BD40" w14:textId="77777777" w:rsidR="00D513A3" w:rsidRDefault="00000000">
      <w:pPr>
        <w:spacing w:after="160" w:line="276" w:lineRule="auto"/>
      </w:pPr>
      <w:r>
        <w:rPr>
          <w:b/>
          <w:bCs/>
          <w:i/>
          <w:iCs/>
          <w:color w:val="2C3E50"/>
          <w:sz w:val="20"/>
          <w:szCs w:val="20"/>
        </w:rPr>
        <w:t>Critical RH:</w:t>
      </w:r>
    </w:p>
    <w:p w14:paraId="222E29AD" w14:textId="77777777" w:rsidR="00D513A3" w:rsidRDefault="00000000">
      <w:pPr>
        <w:spacing w:before="160" w:after="160"/>
        <w:jc w:val="center"/>
      </w:pPr>
      <w:r>
        <w:rPr>
          <w:rFonts w:ascii="Cambria Math" w:eastAsia="Cambria Math" w:hAnsi="Cambria Math" w:cs="Cambria Math"/>
        </w:rPr>
        <w:t>RH_crit = −0.0026T³ + 0.160T² − 3.13T + 100.0  (for T ≤ 20 °C)</w:t>
      </w:r>
    </w:p>
    <w:p w14:paraId="60019B20" w14:textId="77777777" w:rsidR="00D513A3" w:rsidRDefault="00000000">
      <w:pPr>
        <w:spacing w:after="160" w:line="276" w:lineRule="auto"/>
      </w:pPr>
      <w:r>
        <w:t>When RH ≥ RH_crit, the mould index M (0–6 scale: 0 = no growth, 6 = tight coverage) evolves via a differential equation incorporating temperature, humidity, substrate sensitivity class (SQ), and wood species (W). The four material classes are: very sensitive (untreated wood), sensitive (planed wood, paper-faced products), medium resistant (cement, plastic-faced surfaces), and resistant (glass, metals). For polychrome heritage on wood substrates, Class I or II typically applies. Decline under unfavourable conditions follows step functions: −0.032 for the first 6 hours of dry conditions, then −0.016 after 24 hours.</w:t>
      </w:r>
    </w:p>
    <w:p w14:paraId="38A90D31" w14:textId="77777777" w:rsidR="00D513A3" w:rsidRDefault="00000000">
      <w:pPr>
        <w:spacing w:after="160" w:line="276" w:lineRule="auto"/>
      </w:pPr>
      <w:r>
        <w:t>Validity range: T = 0–50 °C, RH above the material-dependent critical threshold (approximately 80% for sensitive materials such as untreated wood).</w:t>
      </w:r>
    </w:p>
    <w:p w14:paraId="486BE039" w14:textId="77777777" w:rsidR="00D513A3" w:rsidRDefault="00000000">
      <w:pPr>
        <w:spacing w:after="160" w:line="276" w:lineRule="auto"/>
      </w:pPr>
      <w:r>
        <w:rPr>
          <w:i/>
          <w:iCs/>
          <w:color w:val="555555"/>
          <w:sz w:val="20"/>
          <w:szCs w:val="20"/>
        </w:rPr>
        <w:t>Reference: Ojanen, T. et al. (2011). Classification of material sensitivity — new approach for mould growth modeling. 9th Nordic Symposium on Building Physics.</w:t>
      </w:r>
    </w:p>
    <w:p w14:paraId="6D85D939" w14:textId="77777777" w:rsidR="00D513A3" w:rsidRDefault="00000000">
      <w:pPr>
        <w:pStyle w:val="Heading2"/>
      </w:pPr>
      <w:r>
        <w:t>5.2 Application to Heritage Buildings</w:t>
      </w:r>
    </w:p>
    <w:p w14:paraId="42EB5CD6" w14:textId="77777777" w:rsidR="00D513A3" w:rsidRDefault="00000000">
      <w:pPr>
        <w:spacing w:after="160" w:line="276" w:lineRule="auto"/>
      </w:pPr>
      <w:r>
        <w:t>The CCI integrated the VTT model into its online mould calculator (updated 2013–2017), allowing conservators to input T and RH time-series and receive mould risk assessments. The Sedlbauer isopleth model (2001) has also seen continued application in heritage contexts post-2010, particularly through the WUFI-Bio software developed at Fraunhofer IBP. Both models are now routinely used in Climate for Culture risk mapping.</w:t>
      </w:r>
    </w:p>
    <w:p w14:paraId="5A5564C4" w14:textId="77777777" w:rsidR="00D513A3" w:rsidRDefault="00000000">
      <w:r>
        <w:br w:type="page"/>
      </w:r>
    </w:p>
    <w:p w14:paraId="1907AA0B" w14:textId="77777777" w:rsidR="00D513A3" w:rsidRDefault="00000000">
      <w:pPr>
        <w:pStyle w:val="Heading1"/>
      </w:pPr>
      <w:r>
        <w:lastRenderedPageBreak/>
        <w:t>6. Salt Crystallisation Models</w:t>
      </w:r>
    </w:p>
    <w:p w14:paraId="56131E9E" w14:textId="77777777" w:rsidR="00D513A3" w:rsidRDefault="00000000">
      <w:pPr>
        <w:pStyle w:val="Heading2"/>
      </w:pPr>
      <w:r>
        <w:t>6.1 ECOS/RUNSALT Thermodynamic Model (Godts et al., 2022)</w:t>
      </w:r>
    </w:p>
    <w:p w14:paraId="368A7D33" w14:textId="77777777" w:rsidR="00D513A3" w:rsidRDefault="00000000">
      <w:pPr>
        <w:spacing w:after="160" w:line="276" w:lineRule="auto"/>
      </w:pPr>
      <w:r>
        <w:t>Godts, Hayen, De Clercq et al. (2022, Heritage 5(4): 3648–3663) provided a comprehensive methodological review and update of the ECOS/RUNSALT thermodynamic model for predicting salt crystallisation in porous heritage materials. The model uses Pitzer ion-interaction equations to predict crystallisation and dissolution RH thresholds for complex salt mixtures as a function of temperature. For NaCl, the deliquescence RH is approximately 75.3% at 25 °C. The NOAH’s ARK simplification counts annual cycles crossing this threshold:</w:t>
      </w:r>
    </w:p>
    <w:p w14:paraId="79F1D348" w14:textId="77777777" w:rsidR="00D513A3" w:rsidRDefault="00000000">
      <w:pPr>
        <w:spacing w:after="160" w:line="276" w:lineRule="auto"/>
      </w:pPr>
      <w:r>
        <w:rPr>
          <w:b/>
          <w:bCs/>
          <w:i/>
          <w:iCs/>
          <w:color w:val="2C3E50"/>
          <w:sz w:val="20"/>
          <w:szCs w:val="20"/>
        </w:rPr>
        <w:t>Salt damage cycles:</w:t>
      </w:r>
    </w:p>
    <w:p w14:paraId="4D43757B" w14:textId="77777777" w:rsidR="00D513A3" w:rsidRDefault="00000000">
      <w:pPr>
        <w:spacing w:before="160" w:after="160"/>
        <w:jc w:val="center"/>
      </w:pPr>
      <w:r>
        <w:rPr>
          <w:rFonts w:ascii="Cambria Math" w:eastAsia="Cambria Math" w:hAnsi="Cambria Math" w:cs="Cambria Math"/>
        </w:rPr>
        <w:t>N_salt = 0.5 × (number of RH threshold crossings per year)</w:t>
      </w:r>
    </w:p>
    <w:p w14:paraId="2FFEC122" w14:textId="77777777" w:rsidR="00D513A3" w:rsidRDefault="00000000">
      <w:pPr>
        <w:spacing w:after="160" w:line="276" w:lineRule="auto"/>
      </w:pPr>
      <w:r>
        <w:rPr>
          <w:i/>
          <w:iCs/>
          <w:color w:val="555555"/>
          <w:sz w:val="20"/>
          <w:szCs w:val="20"/>
        </w:rPr>
        <w:t>Reference: Godts, S. et al. (2022). Modeling salt behavior with ECOS/RUNSALT. Heritage, 5(4): 3648–3663.</w:t>
      </w:r>
    </w:p>
    <w:p w14:paraId="5B43F9D6" w14:textId="77777777" w:rsidR="00D513A3" w:rsidRDefault="00000000">
      <w:pPr>
        <w:pStyle w:val="Heading2"/>
      </w:pPr>
      <w:r>
        <w:t>6.2 Steiger’s Crystallisation Pressure (post-2010 applications)</w:t>
      </w:r>
    </w:p>
    <w:p w14:paraId="59D46154" w14:textId="77777777" w:rsidR="00D513A3" w:rsidRDefault="00000000">
      <w:pPr>
        <w:spacing w:after="160" w:line="276" w:lineRule="auto"/>
      </w:pPr>
      <w:r>
        <w:t>Steiger’s thermodynamic framework for crystallisation pressure, originally published in 2005, has been extensively applied in post-2010 heritage research. The core equation remains:</w:t>
      </w:r>
    </w:p>
    <w:p w14:paraId="43A6C482" w14:textId="77777777" w:rsidR="00D513A3" w:rsidRDefault="00000000">
      <w:pPr>
        <w:spacing w:after="160" w:line="276" w:lineRule="auto"/>
      </w:pPr>
      <w:r>
        <w:rPr>
          <w:b/>
          <w:bCs/>
          <w:i/>
          <w:iCs/>
          <w:color w:val="2C3E50"/>
          <w:sz w:val="20"/>
          <w:szCs w:val="20"/>
        </w:rPr>
        <w:t>Crystallisation pressure:</w:t>
      </w:r>
    </w:p>
    <w:p w14:paraId="6FCD85C4" w14:textId="77777777" w:rsidR="00D513A3" w:rsidRDefault="00000000">
      <w:pPr>
        <w:spacing w:before="160" w:after="160"/>
        <w:jc w:val="center"/>
      </w:pPr>
      <w:r>
        <w:rPr>
          <w:rFonts w:ascii="Cambria Math" w:eastAsia="Cambria Math" w:hAnsi="Cambria Math" w:cs="Cambria Math"/>
        </w:rPr>
        <w:t>Δp = (νRT / V_m) · ln(S)</w:t>
      </w:r>
    </w:p>
    <w:p w14:paraId="3A91A88A" w14:textId="77777777" w:rsidR="00D513A3" w:rsidRDefault="00000000">
      <w:pPr>
        <w:spacing w:after="160" w:line="276" w:lineRule="auto"/>
      </w:pPr>
      <w:r>
        <w:t>where Δp is pressure (Pa), ν is the number of ions in the salt formula, V_m is the molar volume, and S is the supersaturation ratio. For NaCl at S ≈ 1.5, Δp ≈ 135 MPa — far exceeding the tensile strength of most plaster and stone substrates. Naillon, Joseph &amp; Prat (2018, J. Crystal Growth 463: 168–177) provided direct experimental confirmation via in-situ X-ray microtomography, and multiple groups have applied the framework to heritage wall paintings.</w:t>
      </w:r>
    </w:p>
    <w:p w14:paraId="00FB8530" w14:textId="77777777" w:rsidR="00D513A3" w:rsidRDefault="00000000">
      <w:pPr>
        <w:pStyle w:val="Heading1"/>
      </w:pPr>
      <w:r>
        <w:t>7. Chemo-Mechanical Coupling: The Frontier</w:t>
      </w:r>
    </w:p>
    <w:p w14:paraId="4C3127C0" w14:textId="77777777" w:rsidR="00D513A3" w:rsidRDefault="00000000">
      <w:pPr>
        <w:pStyle w:val="Heading2"/>
      </w:pPr>
      <w:r>
        <w:t>7.1 Metal Soap Formation Models (Eumelen, Bosco &amp; Suiker, 2019–2023)</w:t>
      </w:r>
    </w:p>
    <w:p w14:paraId="14CEDC20" w14:textId="77777777" w:rsidR="00D513A3" w:rsidRDefault="00000000">
      <w:pPr>
        <w:spacing w:after="160" w:line="276" w:lineRule="auto"/>
      </w:pPr>
      <w:r>
        <w:t>Eumelen, Bosco &amp; Suiker at Eindhoven University of Technology developed the most sophisticated coupled models for oil painting degradation. In their 2019 paper (J. Mechanics and Physics of Solids 132: 103683), they modelled metal soap formation, where free fatty acids diffuse and react with lead or zinc pigment ions to form crystalline aggregates that induce volumetric growth strain ε_g:</w:t>
      </w:r>
    </w:p>
    <w:p w14:paraId="5EDF81BA" w14:textId="77777777" w:rsidR="00D513A3" w:rsidRDefault="00000000">
      <w:pPr>
        <w:spacing w:after="160" w:line="276" w:lineRule="auto"/>
      </w:pPr>
      <w:r>
        <w:rPr>
          <w:b/>
          <w:bCs/>
          <w:i/>
          <w:iCs/>
          <w:color w:val="2C3E50"/>
          <w:sz w:val="20"/>
          <w:szCs w:val="20"/>
        </w:rPr>
        <w:t>Constitutive relation:</w:t>
      </w:r>
    </w:p>
    <w:p w14:paraId="3F80AF10" w14:textId="77777777" w:rsidR="00D513A3" w:rsidRDefault="00000000">
      <w:pPr>
        <w:spacing w:before="160" w:after="160"/>
        <w:jc w:val="center"/>
      </w:pPr>
      <w:r>
        <w:rPr>
          <w:rFonts w:ascii="Cambria Math" w:eastAsia="Cambria Math" w:hAnsi="Cambria Math" w:cs="Cambria Math"/>
        </w:rPr>
        <w:t>σ = C : (ε − ε_g)</w:t>
      </w:r>
    </w:p>
    <w:p w14:paraId="46C8C145" w14:textId="77777777" w:rsidR="00D513A3" w:rsidRDefault="00000000">
      <w:pPr>
        <w:spacing w:after="160" w:line="276" w:lineRule="auto"/>
      </w:pPr>
      <w:r>
        <w:t>where C is the stiffness tensor and fracture is modelled via cohesive zone elements. This captures the protrusions, crater formation, and paint loss observed in many Old Master paintings. Their 2023 follow-up (European J. Mechanics A/Solids 97: 104827) extended the model to include amorphous and crystalline soap phases with distinct mechanical properties.</w:t>
      </w:r>
    </w:p>
    <w:p w14:paraId="1EAB4059" w14:textId="77777777" w:rsidR="00D513A3" w:rsidRDefault="00000000">
      <w:pPr>
        <w:pStyle w:val="Heading2"/>
      </w:pPr>
      <w:r>
        <w:t>7.2 Moisture-Induced Cracking in Bilayer Systems (Bosco et al., 2021)</w:t>
      </w:r>
    </w:p>
    <w:p w14:paraId="2AD0465D" w14:textId="77777777" w:rsidR="00D513A3" w:rsidRDefault="00000000">
      <w:pPr>
        <w:spacing w:after="160" w:line="276" w:lineRule="auto"/>
      </w:pPr>
      <w:r>
        <w:lastRenderedPageBreak/>
        <w:t>Bosco, Suiker &amp; Fleck (2021, Theoretical and Applied Fracture Mechanics 112: 102779) modelled moisture-induced cracking in flexural bilayer paint systems using hygro-mechanical coupling:</w:t>
      </w:r>
    </w:p>
    <w:p w14:paraId="132821D3" w14:textId="77777777" w:rsidR="00D513A3" w:rsidRDefault="00000000">
      <w:pPr>
        <w:spacing w:after="160" w:line="276" w:lineRule="auto"/>
      </w:pPr>
      <w:r>
        <w:rPr>
          <w:b/>
          <w:bCs/>
          <w:i/>
          <w:iCs/>
          <w:color w:val="2C3E50"/>
          <w:sz w:val="20"/>
          <w:szCs w:val="20"/>
        </w:rPr>
        <w:t>Hygro-mechanical stress:</w:t>
      </w:r>
    </w:p>
    <w:p w14:paraId="05A64C6F" w14:textId="77777777" w:rsidR="00D513A3" w:rsidRDefault="00000000">
      <w:pPr>
        <w:spacing w:before="160" w:after="160"/>
        <w:jc w:val="center"/>
      </w:pPr>
      <w:r>
        <w:rPr>
          <w:rFonts w:ascii="Cambria Math" w:eastAsia="Cambria Math" w:hAnsi="Cambria Math" w:cs="Cambria Math"/>
        </w:rPr>
        <w:t>σ_ij = C_ijkl · (ε_kl − β_kl · ΔM)</w:t>
      </w:r>
    </w:p>
    <w:p w14:paraId="57CEFB51" w14:textId="77777777" w:rsidR="00D513A3" w:rsidRDefault="00000000">
      <w:pPr>
        <w:spacing w:after="160" w:line="276" w:lineRule="auto"/>
      </w:pPr>
      <w:r>
        <w:t>where β is the hygroscopic expansion tensor and fracture initiates when the energy release rate G ≥ G_c (critical fracture energy). These computational models represent the state of the art but require finite-element simulation rather than simple analytical equations.</w:t>
      </w:r>
    </w:p>
    <w:p w14:paraId="3A8C26B9" w14:textId="77777777" w:rsidR="00D513A3" w:rsidRDefault="00000000">
      <w:pPr>
        <w:spacing w:after="160" w:line="276" w:lineRule="auto"/>
      </w:pPr>
      <w:r>
        <w:rPr>
          <w:i/>
          <w:iCs/>
          <w:color w:val="555555"/>
          <w:sz w:val="20"/>
          <w:szCs w:val="20"/>
        </w:rPr>
        <w:t>References: Eumelen et al. (2019). J. Mech. Phys. Solids, 132: 103683. Bosco et al. (2021). Theor. Appl. Fract. Mech., 112: 102779. Eumelen et al. (2023). Eur. J. Mech. A/Solids, 97: 104827.</w:t>
      </w:r>
    </w:p>
    <w:p w14:paraId="2DB647F2" w14:textId="77777777" w:rsidR="00D513A3" w:rsidRDefault="00000000">
      <w:pPr>
        <w:pStyle w:val="Heading1"/>
      </w:pPr>
      <w:r>
        <w:t>8. Inorganic Pigment Degradation (Post-2010)</w:t>
      </w:r>
    </w:p>
    <w:p w14:paraId="44F2E65B" w14:textId="77777777" w:rsidR="00D513A3" w:rsidRDefault="00000000">
      <w:pPr>
        <w:pStyle w:val="Heading2"/>
      </w:pPr>
      <w:r>
        <w:t>8.1 Orpiment Oxidation Kinetics (Broers et al., 2023)</w:t>
      </w:r>
    </w:p>
    <w:p w14:paraId="357C09ED" w14:textId="77777777" w:rsidR="00D513A3" w:rsidRDefault="00000000">
      <w:pPr>
        <w:spacing w:after="160" w:line="276" w:lineRule="auto"/>
      </w:pPr>
      <w:r>
        <w:t>Broers et al. (2023, Journal of the American Chemical Society) derived an Arrhenius-type rate law for the oxidation of orpiment pigment (As₂S₃) in paint, identifying two distinct degradation pathways. The activation energy was determined as Eₐ = 59.1 kJ/mol (at pH 7.5, 25–40 °C), with the rate following:</w:t>
      </w:r>
    </w:p>
    <w:p w14:paraId="72958CE8" w14:textId="77777777" w:rsidR="00D513A3" w:rsidRDefault="00000000">
      <w:pPr>
        <w:spacing w:after="160" w:line="276" w:lineRule="auto"/>
      </w:pPr>
      <w:r>
        <w:rPr>
          <w:b/>
          <w:bCs/>
          <w:i/>
          <w:iCs/>
          <w:color w:val="2C3E50"/>
          <w:sz w:val="20"/>
          <w:szCs w:val="20"/>
        </w:rPr>
        <w:t>Orpiment degradation:</w:t>
      </w:r>
    </w:p>
    <w:p w14:paraId="6E4B88E1" w14:textId="77777777" w:rsidR="00D513A3" w:rsidRDefault="00000000">
      <w:pPr>
        <w:spacing w:before="160" w:after="160"/>
        <w:jc w:val="center"/>
      </w:pPr>
      <w:r>
        <w:rPr>
          <w:rFonts w:ascii="Cambria Math" w:eastAsia="Cambria Math" w:hAnsi="Cambria Math" w:cs="Cambria Math"/>
        </w:rPr>
        <w:t>R = k · [DO]ⁿ · [H⁺]ᵐ</w:t>
      </w:r>
    </w:p>
    <w:p w14:paraId="62CF0F74" w14:textId="77777777" w:rsidR="00D513A3" w:rsidRDefault="00000000">
      <w:pPr>
        <w:spacing w:after="160" w:line="276" w:lineRule="auto"/>
      </w:pPr>
      <w:r>
        <w:t>where [DO] is dissolved oxygen concentration and the exponents n, m are fitted parameters. This is one of very few pigment-specific kinetic models with Arrhenius parameterisation published for an actual heritage pigment.</w:t>
      </w:r>
    </w:p>
    <w:p w14:paraId="3C90CEC0" w14:textId="77777777" w:rsidR="00D513A3" w:rsidRDefault="00000000">
      <w:pPr>
        <w:pStyle w:val="Heading2"/>
      </w:pPr>
      <w:r>
        <w:t>8.2 Literature Review of Medieval Inorganic Pigments (Aze et al., 2017–present)</w:t>
      </w:r>
    </w:p>
    <w:p w14:paraId="1A586E06" w14:textId="77777777" w:rsidR="00D513A3" w:rsidRDefault="00000000">
      <w:pPr>
        <w:spacing w:after="160" w:line="276" w:lineRule="auto"/>
      </w:pPr>
      <w:r>
        <w:t>A comprehensive review published in Heritage Science (2017) catalogued the stability of medieval inorganic pigments under climate, material selection, and biological activity. Key findings relevant to T–RH modelling include: smalt (cobalt blue glass) degrades through alkali leaching accelerated by humidity; vermilion darkening is promoted by light and chloride exposure; lead white blackening is driven by H₂S gas exposure (not directly T/RH dependent); and azurite-to-malachite conversion occurs under sustained humid conditions. These transformations are generally described through chemical equilibria or threshold conditions rather than continuous dose-response functions.</w:t>
      </w:r>
    </w:p>
    <w:p w14:paraId="4D81A097" w14:textId="77777777" w:rsidR="00D513A3" w:rsidRDefault="00000000">
      <w:r>
        <w:br w:type="page"/>
      </w:r>
    </w:p>
    <w:p w14:paraId="00FA947B" w14:textId="77777777" w:rsidR="00D513A3" w:rsidRDefault="00000000">
      <w:pPr>
        <w:pStyle w:val="Heading1"/>
      </w:pPr>
      <w:r>
        <w:lastRenderedPageBreak/>
        <w:t>9. European Programme Dose-Response Functions</w:t>
      </w:r>
    </w:p>
    <w:p w14:paraId="281EDB12" w14:textId="77777777" w:rsidR="00D513A3" w:rsidRDefault="00000000">
      <w:pPr>
        <w:pStyle w:val="Heading2"/>
      </w:pPr>
      <w:r>
        <w:t>9.1 Soiling of Painted Surfaces (MULTI-ASSESS / Grossi et al.)</w:t>
      </w:r>
    </w:p>
    <w:p w14:paraId="42C717B5" w14:textId="77777777" w:rsidR="00D513A3" w:rsidRDefault="00000000">
      <w:pPr>
        <w:spacing w:after="160" w:line="276" w:lineRule="auto"/>
      </w:pPr>
      <w:r>
        <w:t>For white painted steel soiling, the MULTI-ASSESS programme (Grossi et al., 2008, with continued application post-2010) derived:</w:t>
      </w:r>
    </w:p>
    <w:p w14:paraId="6AE55BBF" w14:textId="77777777" w:rsidR="00D513A3" w:rsidRDefault="00000000">
      <w:pPr>
        <w:spacing w:after="160" w:line="276" w:lineRule="auto"/>
      </w:pPr>
      <w:r>
        <w:rPr>
          <w:b/>
          <w:bCs/>
          <w:i/>
          <w:iCs/>
          <w:color w:val="2C3E50"/>
          <w:sz w:val="20"/>
          <w:szCs w:val="20"/>
        </w:rPr>
        <w:t>Soiling function:</w:t>
      </w:r>
    </w:p>
    <w:p w14:paraId="7BFDA093" w14:textId="77777777" w:rsidR="00D513A3" w:rsidRDefault="00000000">
      <w:pPr>
        <w:spacing w:before="160" w:after="160"/>
        <w:jc w:val="center"/>
      </w:pPr>
      <w:r>
        <w:rPr>
          <w:rFonts w:ascii="Cambria Math" w:eastAsia="Cambria Math" w:hAnsi="Cambria Math" w:cs="Cambria Math"/>
        </w:rPr>
        <w:t>ΔR = 100 · (1 − exp(−3.96 × 10⁻⁶ · PM₁₀ · t))</w:t>
      </w:r>
    </w:p>
    <w:p w14:paraId="4C0620B6" w14:textId="77777777" w:rsidR="00D513A3" w:rsidRDefault="00000000">
      <w:pPr>
        <w:spacing w:after="160" w:line="276" w:lineRule="auto"/>
      </w:pPr>
      <w:r>
        <w:t>where ΔR = reflectance loss (%), PM₁₀ in µg/m³, and t in days. Calibrated from Athens, Krakow, and London data at PM₁₀ = 20–80 µg/m³. This is the closest published dose-response function to colour change of an actual painted surface, though it addresses particulate soiling rather than intrinsic pigment degradation.</w:t>
      </w:r>
    </w:p>
    <w:p w14:paraId="2221C2F5" w14:textId="77777777" w:rsidR="00D513A3" w:rsidRDefault="00000000">
      <w:pPr>
        <w:pStyle w:val="Heading2"/>
      </w:pPr>
      <w:r>
        <w:t>9.2 PROPAINT Dosimeter Equations (Grøntoft et al., 2010–present)</w:t>
      </w:r>
    </w:p>
    <w:p w14:paraId="0440E682" w14:textId="77777777" w:rsidR="00D513A3" w:rsidRDefault="00000000">
      <w:pPr>
        <w:spacing w:after="160" w:line="276" w:lineRule="auto"/>
      </w:pPr>
      <w:r>
        <w:t>The PROPAINT project developed dose-response equations for early-warning dosimeters (EWO) that mimic painting varnish degradation:</w:t>
      </w:r>
    </w:p>
    <w:p w14:paraId="48D7B0DD" w14:textId="77777777" w:rsidR="00D513A3" w:rsidRDefault="00000000">
      <w:pPr>
        <w:spacing w:after="160" w:line="276" w:lineRule="auto"/>
      </w:pPr>
      <w:r>
        <w:rPr>
          <w:b/>
          <w:bCs/>
          <w:i/>
          <w:iCs/>
          <w:color w:val="2C3E50"/>
          <w:sz w:val="20"/>
          <w:szCs w:val="20"/>
        </w:rPr>
        <w:t>Varnish dose-response:</w:t>
      </w:r>
    </w:p>
    <w:p w14:paraId="15A8EB80" w14:textId="77777777" w:rsidR="00D513A3" w:rsidRDefault="00000000">
      <w:pPr>
        <w:spacing w:before="160" w:after="160"/>
        <w:jc w:val="center"/>
      </w:pPr>
      <w:r>
        <w:rPr>
          <w:rFonts w:ascii="Cambria Math" w:eastAsia="Cambria Math" w:hAnsi="Cambria Math" w:cs="Cambria Math"/>
        </w:rPr>
        <w:t>ΔF_EWO = a₁·[NO₂]·t + a₂·[O₃]·t + a₃·RH·t</w:t>
      </w:r>
    </w:p>
    <w:p w14:paraId="0C5F3F7B" w14:textId="77777777" w:rsidR="00D513A3" w:rsidRDefault="00000000">
      <w:pPr>
        <w:spacing w:after="160" w:line="276" w:lineRule="auto"/>
      </w:pPr>
      <w:r>
        <w:t>where pollutant concentrations are in µg/m³ and t in days. While these are surrogate-material models rather than direct measurements on pigmented surfaces, they quantify the combined effect of indoor pollutants and relative humidity on organic coatings chemically similar to heritage varnishes.</w:t>
      </w:r>
    </w:p>
    <w:p w14:paraId="3D130B14" w14:textId="77777777" w:rsidR="00D513A3" w:rsidRDefault="00000000">
      <w:pPr>
        <w:spacing w:after="160" w:line="276" w:lineRule="auto"/>
      </w:pPr>
      <w:r>
        <w:rPr>
          <w:i/>
          <w:iCs/>
          <w:color w:val="555555"/>
          <w:sz w:val="20"/>
          <w:szCs w:val="20"/>
        </w:rPr>
        <w:t>Reference: Grøntoft, T. et al. (2010). Pollution monitoring by dosimetry and passive diffusion sampling for evaluation of environmental conditions for paintings in microclimate frames. J. Cultural Heritage, 11: 411–419.</w:t>
      </w:r>
    </w:p>
    <w:p w14:paraId="1E9CDD5A" w14:textId="77777777" w:rsidR="00D513A3" w:rsidRDefault="00000000">
      <w:pPr>
        <w:pStyle w:val="Heading1"/>
      </w:pPr>
      <w:r>
        <w:t>10. Composite Rate Equation Framework</w:t>
      </w:r>
    </w:p>
    <w:p w14:paraId="02E48C6F" w14:textId="77777777" w:rsidR="00D513A3" w:rsidRDefault="00000000">
      <w:pPr>
        <w:spacing w:after="160" w:line="276" w:lineRule="auto"/>
      </w:pPr>
      <w:r>
        <w:t>From the post-2010 body of literature, the general empirical framework for organic pigment fading under combined environmental stresses can be assembled as:</w:t>
      </w:r>
    </w:p>
    <w:p w14:paraId="14EC1D6C" w14:textId="77777777" w:rsidR="00D513A3" w:rsidRDefault="00000000">
      <w:pPr>
        <w:spacing w:after="160" w:line="276" w:lineRule="auto"/>
      </w:pPr>
      <w:r>
        <w:rPr>
          <w:b/>
          <w:bCs/>
          <w:i/>
          <w:iCs/>
          <w:color w:val="2C3E50"/>
          <w:sz w:val="20"/>
          <w:szCs w:val="20"/>
        </w:rPr>
        <w:t>General fading rate:</w:t>
      </w:r>
    </w:p>
    <w:p w14:paraId="41317A53" w14:textId="77777777" w:rsidR="00D513A3" w:rsidRDefault="00000000">
      <w:pPr>
        <w:spacing w:before="160" w:after="160"/>
        <w:jc w:val="center"/>
      </w:pPr>
      <w:r>
        <w:rPr>
          <w:rFonts w:ascii="Cambria Math" w:eastAsia="Cambria Math" w:hAnsi="Cambria Math" w:cs="Cambria Math"/>
        </w:rPr>
        <w:t>dC/dt = −k₀ · Iᵖ · [H₂O(RH,T)]ᵠ · exp(−Eₐ / RT) · C</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4306"/>
      </w:tblGrid>
      <w:tr w:rsidR="00D513A3" w14:paraId="1ECBB3A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vAlign w:val="center"/>
          </w:tcPr>
          <w:p w14:paraId="222E9493" w14:textId="77777777" w:rsidR="00D513A3" w:rsidRDefault="00000000">
            <w:r>
              <w:rPr>
                <w:rFonts w:eastAsia="Arial"/>
                <w:b/>
                <w:bCs/>
                <w:color w:val="FFFFFF"/>
                <w:sz w:val="20"/>
                <w:szCs w:val="20"/>
              </w:rPr>
              <w:t>Symbol</w:t>
            </w:r>
          </w:p>
        </w:tc>
        <w:tc>
          <w:tcPr>
            <w:tcW w:w="38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vAlign w:val="center"/>
          </w:tcPr>
          <w:p w14:paraId="70069DBF" w14:textId="77777777" w:rsidR="00D513A3" w:rsidRDefault="00000000">
            <w:r>
              <w:rPr>
                <w:rFonts w:eastAsia="Arial"/>
                <w:b/>
                <w:bCs/>
                <w:color w:val="FFFFFF"/>
                <w:sz w:val="20"/>
                <w:szCs w:val="20"/>
              </w:rPr>
              <w:t>Meaning</w:t>
            </w:r>
          </w:p>
        </w:tc>
        <w:tc>
          <w:tcPr>
            <w:tcW w:w="4306"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vAlign w:val="center"/>
          </w:tcPr>
          <w:p w14:paraId="48DE9A21" w14:textId="77777777" w:rsidR="00D513A3" w:rsidRDefault="00000000">
            <w:r>
              <w:rPr>
                <w:rFonts w:eastAsia="Arial"/>
                <w:b/>
                <w:bCs/>
                <w:color w:val="FFFFFF"/>
                <w:sz w:val="20"/>
                <w:szCs w:val="20"/>
              </w:rPr>
              <w:t>Typical Values</w:t>
            </w:r>
          </w:p>
        </w:tc>
      </w:tr>
      <w:tr w:rsidR="00D513A3" w14:paraId="3D182A98"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07B75148" w14:textId="77777777" w:rsidR="00D513A3" w:rsidRDefault="00000000">
            <w:r>
              <w:rPr>
                <w:rFonts w:eastAsia="Arial"/>
                <w:b/>
                <w:bCs/>
                <w:sz w:val="20"/>
                <w:szCs w:val="20"/>
              </w:rPr>
              <w:t>C</w:t>
            </w:r>
          </w:p>
        </w:tc>
        <w:tc>
          <w:tcPr>
            <w:tcW w:w="3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1EB5DB33" w14:textId="77777777" w:rsidR="00D513A3" w:rsidRDefault="00000000">
            <w:r>
              <w:rPr>
                <w:rFonts w:eastAsia="Arial"/>
                <w:sz w:val="20"/>
                <w:szCs w:val="20"/>
              </w:rPr>
              <w:t>Coloured species concentration</w:t>
            </w:r>
          </w:p>
        </w:tc>
        <w:tc>
          <w:tcPr>
            <w:tcW w:w="4306"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41A6F52A" w14:textId="77777777" w:rsidR="00D513A3" w:rsidRDefault="00000000">
            <w:r>
              <w:rPr>
                <w:rFonts w:eastAsia="Arial"/>
                <w:sz w:val="20"/>
                <w:szCs w:val="20"/>
              </w:rPr>
              <w:t>Determined via Kubelka–Munk K/S</w:t>
            </w:r>
          </w:p>
        </w:tc>
      </w:tr>
      <w:tr w:rsidR="00D513A3" w14:paraId="6DB1F23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26D6FE" w14:textId="77777777" w:rsidR="00D513A3" w:rsidRDefault="00000000">
            <w:r>
              <w:rPr>
                <w:rFonts w:eastAsia="Arial"/>
                <w:b/>
                <w:bCs/>
                <w:sz w:val="20"/>
                <w:szCs w:val="20"/>
              </w:rPr>
              <w:t>k₀</w:t>
            </w:r>
          </w:p>
        </w:tc>
        <w:tc>
          <w:tcPr>
            <w:tcW w:w="3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12BCF1" w14:textId="77777777" w:rsidR="00D513A3" w:rsidRDefault="00000000">
            <w:r>
              <w:rPr>
                <w:rFonts w:eastAsia="Arial"/>
                <w:sz w:val="20"/>
                <w:szCs w:val="20"/>
              </w:rPr>
              <w:t>Material-specific pre-exponential factor</w:t>
            </w:r>
          </w:p>
        </w:tc>
        <w:tc>
          <w:tcPr>
            <w:tcW w:w="4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E74E41" w14:textId="77777777" w:rsidR="00D513A3" w:rsidRDefault="00000000">
            <w:r>
              <w:rPr>
                <w:rFonts w:eastAsia="Arial"/>
                <w:sz w:val="20"/>
                <w:szCs w:val="20"/>
              </w:rPr>
              <w:t>Fitted per pigment–binder system</w:t>
            </w:r>
          </w:p>
        </w:tc>
      </w:tr>
      <w:tr w:rsidR="00D513A3" w14:paraId="126381C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5EA74489" w14:textId="77777777" w:rsidR="00D513A3" w:rsidRDefault="00000000">
            <w:r>
              <w:rPr>
                <w:rFonts w:eastAsia="Arial"/>
                <w:b/>
                <w:bCs/>
                <w:sz w:val="20"/>
                <w:szCs w:val="20"/>
              </w:rPr>
              <w:t>I</w:t>
            </w:r>
          </w:p>
        </w:tc>
        <w:tc>
          <w:tcPr>
            <w:tcW w:w="3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51FD1A1A" w14:textId="77777777" w:rsidR="00D513A3" w:rsidRDefault="00000000">
            <w:r>
              <w:rPr>
                <w:rFonts w:eastAsia="Arial"/>
                <w:sz w:val="20"/>
                <w:szCs w:val="20"/>
              </w:rPr>
              <w:t>Light intensity (lux or W/m²)</w:t>
            </w:r>
          </w:p>
        </w:tc>
        <w:tc>
          <w:tcPr>
            <w:tcW w:w="4306"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75DF4B95" w14:textId="77777777" w:rsidR="00D513A3" w:rsidRDefault="00000000">
            <w:r>
              <w:rPr>
                <w:rFonts w:eastAsia="Arial"/>
                <w:sz w:val="20"/>
                <w:szCs w:val="20"/>
              </w:rPr>
              <w:t>—</w:t>
            </w:r>
          </w:p>
        </w:tc>
      </w:tr>
      <w:tr w:rsidR="00D513A3" w14:paraId="354E3DF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7753E4" w14:textId="77777777" w:rsidR="00D513A3" w:rsidRDefault="00000000">
            <w:r>
              <w:rPr>
                <w:rFonts w:eastAsia="Arial"/>
                <w:b/>
                <w:bCs/>
                <w:sz w:val="20"/>
                <w:szCs w:val="20"/>
              </w:rPr>
              <w:t>p</w:t>
            </w:r>
          </w:p>
        </w:tc>
        <w:tc>
          <w:tcPr>
            <w:tcW w:w="3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DA1112" w14:textId="77777777" w:rsidR="00D513A3" w:rsidRDefault="00000000">
            <w:r>
              <w:rPr>
                <w:rFonts w:eastAsia="Arial"/>
                <w:sz w:val="20"/>
                <w:szCs w:val="20"/>
              </w:rPr>
              <w:t>Reciprocity exponent</w:t>
            </w:r>
          </w:p>
        </w:tc>
        <w:tc>
          <w:tcPr>
            <w:tcW w:w="4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CD9EB4" w14:textId="77777777" w:rsidR="00D513A3" w:rsidRDefault="00000000">
            <w:r>
              <w:rPr>
                <w:rFonts w:eastAsia="Arial"/>
                <w:sz w:val="20"/>
                <w:szCs w:val="20"/>
              </w:rPr>
              <w:t>1.0 (reciprocity holds), ~0.5 for some systems</w:t>
            </w:r>
          </w:p>
        </w:tc>
      </w:tr>
      <w:tr w:rsidR="00D513A3" w14:paraId="0CACC53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15AB75F6" w14:textId="77777777" w:rsidR="00D513A3" w:rsidRDefault="00000000">
            <w:r>
              <w:rPr>
                <w:rFonts w:eastAsia="Arial"/>
                <w:b/>
                <w:bCs/>
                <w:sz w:val="20"/>
                <w:szCs w:val="20"/>
              </w:rPr>
              <w:t>[H₂O]</w:t>
            </w:r>
          </w:p>
        </w:tc>
        <w:tc>
          <w:tcPr>
            <w:tcW w:w="3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6DD91A4F" w14:textId="77777777" w:rsidR="00D513A3" w:rsidRDefault="00000000">
            <w:r>
              <w:rPr>
                <w:rFonts w:eastAsia="Arial"/>
                <w:sz w:val="20"/>
                <w:szCs w:val="20"/>
              </w:rPr>
              <w:t>Equilibrium moisture content</w:t>
            </w:r>
          </w:p>
        </w:tc>
        <w:tc>
          <w:tcPr>
            <w:tcW w:w="4306"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3CD32E87" w14:textId="77777777" w:rsidR="00D513A3" w:rsidRDefault="00000000">
            <w:r>
              <w:rPr>
                <w:rFonts w:eastAsia="Arial"/>
                <w:sz w:val="20"/>
                <w:szCs w:val="20"/>
              </w:rPr>
              <w:t>From GAB or Paltakari–Karlsson isotherm</w:t>
            </w:r>
          </w:p>
        </w:tc>
      </w:tr>
      <w:tr w:rsidR="00D513A3" w14:paraId="0486EF2A"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159B9A" w14:textId="77777777" w:rsidR="00D513A3" w:rsidRDefault="00000000">
            <w:r>
              <w:rPr>
                <w:rFonts w:eastAsia="Arial"/>
                <w:b/>
                <w:bCs/>
                <w:sz w:val="20"/>
                <w:szCs w:val="20"/>
              </w:rPr>
              <w:t>q</w:t>
            </w:r>
          </w:p>
        </w:tc>
        <w:tc>
          <w:tcPr>
            <w:tcW w:w="3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FF42A0" w14:textId="77777777" w:rsidR="00D513A3" w:rsidRDefault="00000000">
            <w:r>
              <w:rPr>
                <w:rFonts w:eastAsia="Arial"/>
                <w:sz w:val="20"/>
                <w:szCs w:val="20"/>
              </w:rPr>
              <w:t>Reaction order w.r.t. water</w:t>
            </w:r>
          </w:p>
        </w:tc>
        <w:tc>
          <w:tcPr>
            <w:tcW w:w="4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ABF29A" w14:textId="77777777" w:rsidR="00D513A3" w:rsidRDefault="00000000">
            <w:r>
              <w:rPr>
                <w:rFonts w:eastAsia="Arial"/>
                <w:sz w:val="20"/>
                <w:szCs w:val="20"/>
              </w:rPr>
              <w:t>0.5–1.0</w:t>
            </w:r>
          </w:p>
        </w:tc>
      </w:tr>
      <w:tr w:rsidR="00D513A3" w14:paraId="5CE2D3E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4791E357" w14:textId="77777777" w:rsidR="00D513A3" w:rsidRDefault="00000000">
            <w:r>
              <w:rPr>
                <w:rFonts w:eastAsia="Arial"/>
                <w:b/>
                <w:bCs/>
                <w:sz w:val="20"/>
                <w:szCs w:val="20"/>
              </w:rPr>
              <w:t>Eₐ</w:t>
            </w:r>
          </w:p>
        </w:tc>
        <w:tc>
          <w:tcPr>
            <w:tcW w:w="3800"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42CB6C94" w14:textId="77777777" w:rsidR="00D513A3" w:rsidRDefault="00000000">
            <w:r>
              <w:rPr>
                <w:rFonts w:eastAsia="Arial"/>
                <w:sz w:val="20"/>
                <w:szCs w:val="20"/>
              </w:rPr>
              <w:t>Activation energy</w:t>
            </w:r>
          </w:p>
        </w:tc>
        <w:tc>
          <w:tcPr>
            <w:tcW w:w="4306" w:type="dxa"/>
            <w:tcBorders>
              <w:top w:val="single" w:sz="1" w:space="0" w:color="BBBBBB"/>
              <w:left w:val="single" w:sz="1" w:space="0" w:color="BBBBBB"/>
              <w:bottom w:val="single" w:sz="1" w:space="0" w:color="BBBBBB"/>
              <w:right w:val="single" w:sz="1" w:space="0" w:color="BBBBBB"/>
            </w:tcBorders>
            <w:shd w:val="clear" w:color="auto" w:fill="F5F7FA"/>
            <w:tcMar>
              <w:top w:w="60" w:type="dxa"/>
              <w:left w:w="100" w:type="dxa"/>
              <w:bottom w:w="60" w:type="dxa"/>
              <w:right w:w="100" w:type="dxa"/>
            </w:tcMar>
          </w:tcPr>
          <w:p w14:paraId="111139CB" w14:textId="77777777" w:rsidR="00D513A3" w:rsidRDefault="00000000">
            <w:r>
              <w:rPr>
                <w:rFonts w:eastAsia="Arial"/>
                <w:sz w:val="20"/>
                <w:szCs w:val="20"/>
              </w:rPr>
              <w:t>15–40 kJ/mol (photo); 60–110 kJ/mol (thermal)</w:t>
            </w:r>
          </w:p>
        </w:tc>
      </w:tr>
      <w:tr w:rsidR="00D513A3" w14:paraId="1A0322C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E8E0E6" w14:textId="77777777" w:rsidR="00D513A3" w:rsidRDefault="00000000">
            <w:r>
              <w:rPr>
                <w:rFonts w:eastAsia="Arial"/>
                <w:b/>
                <w:bCs/>
                <w:sz w:val="20"/>
                <w:szCs w:val="20"/>
              </w:rPr>
              <w:lastRenderedPageBreak/>
              <w:t>T</w:t>
            </w:r>
          </w:p>
        </w:tc>
        <w:tc>
          <w:tcPr>
            <w:tcW w:w="3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089B10" w14:textId="77777777" w:rsidR="00D513A3" w:rsidRDefault="00000000">
            <w:r>
              <w:rPr>
                <w:rFonts w:eastAsia="Arial"/>
                <w:sz w:val="20"/>
                <w:szCs w:val="20"/>
              </w:rPr>
              <w:t>Absolute temperature (K)</w:t>
            </w:r>
          </w:p>
        </w:tc>
        <w:tc>
          <w:tcPr>
            <w:tcW w:w="4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31A7E6" w14:textId="77777777" w:rsidR="00D513A3" w:rsidRDefault="00000000">
            <w:r>
              <w:rPr>
                <w:rFonts w:eastAsia="Arial"/>
                <w:sz w:val="20"/>
                <w:szCs w:val="20"/>
              </w:rPr>
              <w:t>—</w:t>
            </w:r>
          </w:p>
        </w:tc>
      </w:tr>
    </w:tbl>
    <w:p w14:paraId="05593E27" w14:textId="77777777" w:rsidR="00D513A3" w:rsidRDefault="00D513A3">
      <w:pPr>
        <w:spacing w:after="160" w:line="276" w:lineRule="auto"/>
      </w:pPr>
    </w:p>
    <w:p w14:paraId="4BB21132" w14:textId="77777777" w:rsidR="00D513A3" w:rsidRDefault="00000000">
      <w:pPr>
        <w:spacing w:after="160" w:line="276" w:lineRule="auto"/>
      </w:pPr>
      <w:r>
        <w:t>Colour change in CIE Lab space then follows: ΔE*_ab(t) ≈ α · [1 − exp(−k·t)]^β, where α and β are system-specific. This remains a framework requiring per-system parameterisation; no universal closed-form ΔE(T, RH, t) for painted surfaces has been published.</w:t>
      </w:r>
    </w:p>
    <w:p w14:paraId="094A7965" w14:textId="77777777" w:rsidR="00D513A3" w:rsidRDefault="00000000">
      <w:r>
        <w:br w:type="page"/>
      </w:r>
    </w:p>
    <w:p w14:paraId="091FBD16" w14:textId="77777777" w:rsidR="00D513A3" w:rsidRDefault="00000000">
      <w:pPr>
        <w:pStyle w:val="Heading1"/>
      </w:pPr>
      <w:r>
        <w:lastRenderedPageBreak/>
        <w:t>11. Conclusions and Critical Gap</w:t>
      </w:r>
    </w:p>
    <w:p w14:paraId="21A59A9C" w14:textId="77777777" w:rsidR="00D513A3" w:rsidRDefault="00000000">
      <w:pPr>
        <w:spacing w:after="160" w:line="276" w:lineRule="auto"/>
      </w:pPr>
      <w:r>
        <w:t>The post-2010 literature has substantially advanced our quantitative understanding of heritage deterioration mechanisms, particularly through the Climate for Culture eLM framework, Strlič’s empirically grounded dose-response functions, Bratasz’s mechanical damage and fracture saturation models, and the Eindhoven chemo-mechanical coupling approach. However, the field’s critical gap persists: the absence of pigment-specific, experimentally fitted dose-response functions linking ΔE (colour change) to T and RH for the most common heritage paint systems — oil, tempera, and fresco — under realistic indoor conditions.</w:t>
      </w:r>
    </w:p>
    <w:p w14:paraId="69290D30" w14:textId="77777777" w:rsidR="00D513A3" w:rsidRDefault="00000000">
      <w:pPr>
        <w:spacing w:after="160" w:line="276" w:lineRule="auto"/>
      </w:pPr>
      <w:r>
        <w:t>The most promising avenues for closing this gap, as identified in the recent literature, are:</w:t>
      </w:r>
    </w:p>
    <w:p w14:paraId="66EBE551" w14:textId="77777777" w:rsidR="00D513A3" w:rsidRDefault="00000000">
      <w:pPr>
        <w:pStyle w:val="ListParagraph"/>
        <w:numPr>
          <w:ilvl w:val="0"/>
          <w:numId w:val="2"/>
        </w:numPr>
        <w:spacing w:after="100"/>
      </w:pPr>
      <w:r>
        <w:t>Integration of microfading spectroscopy (MFS) data with Arrhenius–humidity corrections, validated against naturally aged reference collections</w:t>
      </w:r>
    </w:p>
    <w:p w14:paraId="02C95070" w14:textId="77777777" w:rsidR="00D513A3" w:rsidRDefault="00000000">
      <w:pPr>
        <w:pStyle w:val="ListParagraph"/>
        <w:numPr>
          <w:ilvl w:val="0"/>
          <w:numId w:val="2"/>
        </w:numPr>
        <w:spacing w:after="100"/>
      </w:pPr>
      <w:r>
        <w:t>Application of the Liu–Fearn–Strlič factorial methodology directly to pigmented paint samples rather than paper</w:t>
      </w:r>
    </w:p>
    <w:p w14:paraId="001F7D68" w14:textId="77777777" w:rsidR="00D513A3" w:rsidRDefault="00000000">
      <w:pPr>
        <w:pStyle w:val="ListParagraph"/>
        <w:numPr>
          <w:ilvl w:val="0"/>
          <w:numId w:val="2"/>
        </w:numPr>
        <w:spacing w:after="100"/>
      </w:pPr>
      <w:r>
        <w:t>Machine learning approaches trained on historical monitoring data from museum collections (emerging post-2023)</w:t>
      </w:r>
    </w:p>
    <w:p w14:paraId="531AB269" w14:textId="77777777" w:rsidR="00D513A3" w:rsidRDefault="00000000">
      <w:pPr>
        <w:pStyle w:val="ListParagraph"/>
        <w:numPr>
          <w:ilvl w:val="0"/>
          <w:numId w:val="2"/>
        </w:numPr>
        <w:spacing w:after="200"/>
      </w:pPr>
      <w:r>
        <w:t>Coupling of the Eumelen–Bosco–Suiker chemo-mechanical framework with environmental dose inputs for predictive lifecycle modelling</w:t>
      </w:r>
    </w:p>
    <w:p w14:paraId="423B3663" w14:textId="77777777" w:rsidR="00D513A3" w:rsidRDefault="00000000">
      <w:pPr>
        <w:spacing w:after="160" w:line="276" w:lineRule="auto"/>
      </w:pPr>
      <w:r>
        <w:t>Until such models are validated, practitioners are best served by the modular toolkit approach: Arrhenius lifetime multipliers for screening, HERIe for mechanical risk assessment, VTT/Sedlbauer for biological risk, and ECOS/RUNSALT for salt damage — applied in combination with professional conservation judgement.</w:t>
      </w:r>
    </w:p>
    <w:p w14:paraId="74A25226" w14:textId="77777777" w:rsidR="00D513A3" w:rsidRDefault="00000000">
      <w:pPr>
        <w:pStyle w:val="Heading1"/>
      </w:pPr>
      <w:r>
        <w:t>12. Key Post-2010 References</w:t>
      </w:r>
    </w:p>
    <w:p w14:paraId="12366203" w14:textId="77777777" w:rsidR="00D513A3" w:rsidRDefault="00000000">
      <w:pPr>
        <w:spacing w:after="80"/>
      </w:pPr>
      <w:r>
        <w:rPr>
          <w:sz w:val="20"/>
          <w:szCs w:val="20"/>
        </w:rPr>
        <w:t>Bratasz, Ł., Akoglu, K.G. &amp; Kékicheff, P. (2020). Fracture saturation in paintings makes them less vulnerable to environmental variations in museums. Heritage Science, 8: 11.</w:t>
      </w:r>
    </w:p>
    <w:p w14:paraId="4B5AB746" w14:textId="77777777" w:rsidR="00D513A3" w:rsidRDefault="00000000">
      <w:pPr>
        <w:spacing w:after="80"/>
      </w:pPr>
      <w:r>
        <w:rPr>
          <w:sz w:val="20"/>
          <w:szCs w:val="20"/>
        </w:rPr>
        <w:t>Broers, F.T.H. et al. (2023). Two pathways for the degradation of orpiment pigment (As₂S₃) found in paintings. Journal of the American Chemical Society, 145(14): 7823–7834.</w:t>
      </w:r>
    </w:p>
    <w:p w14:paraId="7235DC62" w14:textId="77777777" w:rsidR="00D513A3" w:rsidRDefault="00000000">
      <w:pPr>
        <w:spacing w:after="80"/>
      </w:pPr>
      <w:r>
        <w:rPr>
          <w:sz w:val="20"/>
          <w:szCs w:val="20"/>
        </w:rPr>
        <w:t>Eumelen, G.J.A.M., Bosco, E. &amp; Suiker, A.S.J. (2019). A computational model for chemo-mechanical degradation of historical oil paintings due to metal soap formation. J. Mech. Phys. Solids, 132: 103683.</w:t>
      </w:r>
    </w:p>
    <w:p w14:paraId="17548148" w14:textId="77777777" w:rsidR="00D513A3" w:rsidRDefault="00000000">
      <w:pPr>
        <w:spacing w:after="80"/>
      </w:pPr>
      <w:r>
        <w:rPr>
          <w:sz w:val="20"/>
          <w:szCs w:val="20"/>
        </w:rPr>
        <w:t>Eumelen, G.J.A.M., Bosco, E. &amp; Suiker, A.S.J. (2023). Chemo-mechanical model for degradation of oil paintings by amorphous and crystalline metal soaps. European J. Mechanics A/Solids, 97: 104827.</w:t>
      </w:r>
    </w:p>
    <w:p w14:paraId="1FF06D5E" w14:textId="77777777" w:rsidR="00D513A3" w:rsidRDefault="00000000">
      <w:pPr>
        <w:spacing w:after="80"/>
      </w:pPr>
      <w:r>
        <w:rPr>
          <w:sz w:val="20"/>
          <w:szCs w:val="20"/>
        </w:rPr>
        <w:t>Godts, S. et al. (2022). Modeling salt behavior with ECOS/RUNSALT: Terminology, methodology, limitations, and solutions. Heritage, 5(4): 3648–3663.</w:t>
      </w:r>
    </w:p>
    <w:p w14:paraId="65A06A31" w14:textId="77777777" w:rsidR="00D513A3" w:rsidRDefault="00000000">
      <w:pPr>
        <w:spacing w:after="80"/>
      </w:pPr>
      <w:r>
        <w:rPr>
          <w:sz w:val="20"/>
          <w:szCs w:val="20"/>
        </w:rPr>
        <w:t>Grøntoft, T. &amp; Stoveland, L.P. (2023). Painted wood climate risk analysis by the HERIe model. Heritage, 6(3): 3089–3112.</w:t>
      </w:r>
    </w:p>
    <w:p w14:paraId="5616B8BC" w14:textId="77777777" w:rsidR="00D513A3" w:rsidRDefault="00000000">
      <w:pPr>
        <w:spacing w:after="80"/>
      </w:pPr>
      <w:r>
        <w:rPr>
          <w:sz w:val="20"/>
          <w:szCs w:val="20"/>
        </w:rPr>
        <w:t>Kupczak, A. et al. (2018). HERIe: A web-based decision-supporting tool for assessing risk of physical damage. Studies in Conservation, 63(sup1): 151–155.</w:t>
      </w:r>
    </w:p>
    <w:p w14:paraId="40B9E375" w14:textId="77777777" w:rsidR="00D513A3" w:rsidRDefault="00000000">
      <w:pPr>
        <w:spacing w:after="80"/>
      </w:pPr>
      <w:r>
        <w:rPr>
          <w:sz w:val="20"/>
          <w:szCs w:val="20"/>
        </w:rPr>
        <w:t>Leissner, J. et al. (2015). Climate for Culture: assessing the impact of climate change on the future indoor climate in historic buildings using simulations. Heritage Science, 3: 38.</w:t>
      </w:r>
    </w:p>
    <w:p w14:paraId="3657CD35" w14:textId="77777777" w:rsidR="00D513A3" w:rsidRDefault="00000000">
      <w:pPr>
        <w:spacing w:after="80"/>
      </w:pPr>
      <w:r>
        <w:rPr>
          <w:sz w:val="20"/>
          <w:szCs w:val="20"/>
        </w:rPr>
        <w:t>Liu, Y., Fearn, T. &amp; Strlič, M. (2021). Factorial experimentation on photodegradation of historical paper by polychromatic visible radiation. Heritage Science, 9: 130.</w:t>
      </w:r>
    </w:p>
    <w:p w14:paraId="61682B97" w14:textId="77777777" w:rsidR="00D513A3" w:rsidRDefault="00000000">
      <w:pPr>
        <w:spacing w:after="80"/>
      </w:pPr>
      <w:r>
        <w:rPr>
          <w:sz w:val="20"/>
          <w:szCs w:val="20"/>
        </w:rPr>
        <w:t>Menart, E., De Bruin, G. &amp; Strlič, M. (2011). Dose–response functions for historic paper. Polymer Degradation and Stability, 96(12): 2029–2039.</w:t>
      </w:r>
    </w:p>
    <w:p w14:paraId="745D28AD" w14:textId="77777777" w:rsidR="00D513A3" w:rsidRDefault="00000000">
      <w:pPr>
        <w:spacing w:after="80"/>
      </w:pPr>
      <w:r>
        <w:rPr>
          <w:sz w:val="20"/>
          <w:szCs w:val="20"/>
        </w:rPr>
        <w:t>Ojanen, T. et al. (2011). Classification of material sensitivity — new approach for mould growth modeling. 9th Nordic Symposium on Building Physics, Tampere.</w:t>
      </w:r>
    </w:p>
    <w:p w14:paraId="34EE7979" w14:textId="77777777" w:rsidR="00D513A3" w:rsidRDefault="00000000">
      <w:pPr>
        <w:spacing w:after="80"/>
      </w:pPr>
      <w:r>
        <w:rPr>
          <w:sz w:val="20"/>
          <w:szCs w:val="20"/>
        </w:rPr>
        <w:lastRenderedPageBreak/>
        <w:t>Rachwał, B. et al. (2012). Fatigue damage of the gesso layer in panel paintings. Strain, 48: 474–481.</w:t>
      </w:r>
    </w:p>
    <w:p w14:paraId="3BB6DDEA" w14:textId="77777777" w:rsidR="00D513A3" w:rsidRDefault="00000000">
      <w:pPr>
        <w:spacing w:after="80"/>
      </w:pPr>
      <w:r>
        <w:rPr>
          <w:sz w:val="20"/>
          <w:szCs w:val="20"/>
        </w:rPr>
        <w:t>Strlič, M. et al. (2015). Damage function for historic paper. Part III: Isochrones and demography of collections. Heritage Science, 3: 40.</w:t>
      </w:r>
    </w:p>
    <w:sectPr w:rsidR="00D513A3">
      <w:headerReference w:type="default" r:id="rId7"/>
      <w:footerReference w:type="default" r:id="rId8"/>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6B19F" w14:textId="77777777" w:rsidR="00E053E2" w:rsidRDefault="00E053E2">
      <w:r>
        <w:separator/>
      </w:r>
    </w:p>
  </w:endnote>
  <w:endnote w:type="continuationSeparator" w:id="0">
    <w:p w14:paraId="3A8A014D" w14:textId="77777777" w:rsidR="00E053E2" w:rsidRDefault="00E05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3BB2D" w14:textId="77777777" w:rsidR="00D513A3"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70C1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8069C" w14:textId="77777777" w:rsidR="00E053E2" w:rsidRDefault="00E053E2">
      <w:r>
        <w:separator/>
      </w:r>
    </w:p>
  </w:footnote>
  <w:footnote w:type="continuationSeparator" w:id="0">
    <w:p w14:paraId="23542ED9" w14:textId="77777777" w:rsidR="00E053E2" w:rsidRDefault="00E053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7DEAF" w14:textId="77777777" w:rsidR="00D513A3" w:rsidRDefault="00000000">
    <w:pPr>
      <w:jc w:val="right"/>
    </w:pPr>
    <w:r>
      <w:rPr>
        <w:i/>
        <w:iCs/>
        <w:color w:val="888888"/>
        <w:sz w:val="16"/>
        <w:szCs w:val="16"/>
      </w:rPr>
      <w:t>Post-2010 Deterioration Models for Polychrome Heritage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15619"/>
    <w:multiLevelType w:val="hybridMultilevel"/>
    <w:tmpl w:val="79C872D4"/>
    <w:lvl w:ilvl="0" w:tplc="C290AAFC">
      <w:start w:val="1"/>
      <w:numFmt w:val="bullet"/>
      <w:lvlText w:val="•"/>
      <w:lvlJc w:val="left"/>
      <w:pPr>
        <w:ind w:left="720" w:hanging="360"/>
      </w:pPr>
    </w:lvl>
    <w:lvl w:ilvl="1" w:tplc="290062DC">
      <w:numFmt w:val="decimal"/>
      <w:lvlText w:val=""/>
      <w:lvlJc w:val="left"/>
    </w:lvl>
    <w:lvl w:ilvl="2" w:tplc="00F6220C">
      <w:numFmt w:val="decimal"/>
      <w:lvlText w:val=""/>
      <w:lvlJc w:val="left"/>
    </w:lvl>
    <w:lvl w:ilvl="3" w:tplc="815C2570">
      <w:numFmt w:val="decimal"/>
      <w:lvlText w:val=""/>
      <w:lvlJc w:val="left"/>
    </w:lvl>
    <w:lvl w:ilvl="4" w:tplc="C75ED9AA">
      <w:numFmt w:val="decimal"/>
      <w:lvlText w:val=""/>
      <w:lvlJc w:val="left"/>
    </w:lvl>
    <w:lvl w:ilvl="5" w:tplc="D830569C">
      <w:numFmt w:val="decimal"/>
      <w:lvlText w:val=""/>
      <w:lvlJc w:val="left"/>
    </w:lvl>
    <w:lvl w:ilvl="6" w:tplc="0254BBD4">
      <w:numFmt w:val="decimal"/>
      <w:lvlText w:val=""/>
      <w:lvlJc w:val="left"/>
    </w:lvl>
    <w:lvl w:ilvl="7" w:tplc="67B4F35E">
      <w:numFmt w:val="decimal"/>
      <w:lvlText w:val=""/>
      <w:lvlJc w:val="left"/>
    </w:lvl>
    <w:lvl w:ilvl="8" w:tplc="08E6D288">
      <w:numFmt w:val="decimal"/>
      <w:lvlText w:val=""/>
      <w:lvlJc w:val="left"/>
    </w:lvl>
  </w:abstractNum>
  <w:abstractNum w:abstractNumId="1" w15:restartNumberingAfterBreak="0">
    <w:nsid w:val="50EF35DA"/>
    <w:multiLevelType w:val="hybridMultilevel"/>
    <w:tmpl w:val="69B01828"/>
    <w:lvl w:ilvl="0" w:tplc="376A33A2">
      <w:start w:val="1"/>
      <w:numFmt w:val="bullet"/>
      <w:lvlText w:val="●"/>
      <w:lvlJc w:val="left"/>
      <w:pPr>
        <w:ind w:left="720" w:hanging="360"/>
      </w:pPr>
    </w:lvl>
    <w:lvl w:ilvl="1" w:tplc="23D0389A">
      <w:start w:val="1"/>
      <w:numFmt w:val="bullet"/>
      <w:lvlText w:val="○"/>
      <w:lvlJc w:val="left"/>
      <w:pPr>
        <w:ind w:left="1440" w:hanging="360"/>
      </w:pPr>
    </w:lvl>
    <w:lvl w:ilvl="2" w:tplc="DE4CB3D2">
      <w:start w:val="1"/>
      <w:numFmt w:val="bullet"/>
      <w:lvlText w:val="■"/>
      <w:lvlJc w:val="left"/>
      <w:pPr>
        <w:ind w:left="2160" w:hanging="360"/>
      </w:pPr>
    </w:lvl>
    <w:lvl w:ilvl="3" w:tplc="1EE0CA0C">
      <w:start w:val="1"/>
      <w:numFmt w:val="bullet"/>
      <w:lvlText w:val="●"/>
      <w:lvlJc w:val="left"/>
      <w:pPr>
        <w:ind w:left="2880" w:hanging="360"/>
      </w:pPr>
    </w:lvl>
    <w:lvl w:ilvl="4" w:tplc="DDC454C2">
      <w:start w:val="1"/>
      <w:numFmt w:val="bullet"/>
      <w:lvlText w:val="○"/>
      <w:lvlJc w:val="left"/>
      <w:pPr>
        <w:ind w:left="3600" w:hanging="360"/>
      </w:pPr>
    </w:lvl>
    <w:lvl w:ilvl="5" w:tplc="2640BC4E">
      <w:start w:val="1"/>
      <w:numFmt w:val="bullet"/>
      <w:lvlText w:val="■"/>
      <w:lvlJc w:val="left"/>
      <w:pPr>
        <w:ind w:left="4320" w:hanging="360"/>
      </w:pPr>
    </w:lvl>
    <w:lvl w:ilvl="6" w:tplc="9DA08BF2">
      <w:start w:val="1"/>
      <w:numFmt w:val="bullet"/>
      <w:lvlText w:val="●"/>
      <w:lvlJc w:val="left"/>
      <w:pPr>
        <w:ind w:left="5040" w:hanging="360"/>
      </w:pPr>
    </w:lvl>
    <w:lvl w:ilvl="7" w:tplc="604A92B8">
      <w:start w:val="1"/>
      <w:numFmt w:val="bullet"/>
      <w:lvlText w:val="●"/>
      <w:lvlJc w:val="left"/>
      <w:pPr>
        <w:ind w:left="5760" w:hanging="360"/>
      </w:pPr>
    </w:lvl>
    <w:lvl w:ilvl="8" w:tplc="3DBE1F0A">
      <w:start w:val="1"/>
      <w:numFmt w:val="bullet"/>
      <w:lvlText w:val="●"/>
      <w:lvlJc w:val="left"/>
      <w:pPr>
        <w:ind w:left="6480" w:hanging="360"/>
      </w:pPr>
    </w:lvl>
  </w:abstractNum>
  <w:num w:numId="1" w16cid:durableId="269775014">
    <w:abstractNumId w:val="1"/>
    <w:lvlOverride w:ilvl="0">
      <w:startOverride w:val="1"/>
    </w:lvlOverride>
  </w:num>
  <w:num w:numId="2" w16cid:durableId="6512576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3A3"/>
    <w:rsid w:val="003A4EA5"/>
    <w:rsid w:val="00AB0F33"/>
    <w:rsid w:val="00B70C10"/>
    <w:rsid w:val="00D513A3"/>
    <w:rsid w:val="00E05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08DAAB"/>
  <w15:docId w15:val="{D5A15E59-F595-451F-BF0A-FA6D4C270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spacing w:before="360" w:after="200"/>
      <w:outlineLvl w:val="0"/>
    </w:pPr>
    <w:rPr>
      <w:rFonts w:eastAsia="Arial"/>
      <w:b/>
      <w:bCs/>
      <w:color w:val="1A252F"/>
      <w:sz w:val="32"/>
      <w:szCs w:val="32"/>
    </w:rPr>
  </w:style>
  <w:style w:type="paragraph" w:styleId="Heading2">
    <w:name w:val="heading 2"/>
    <w:uiPriority w:val="9"/>
    <w:unhideWhenUsed/>
    <w:qFormat/>
    <w:pPr>
      <w:spacing w:before="300" w:after="160"/>
      <w:outlineLvl w:val="1"/>
    </w:pPr>
    <w:rPr>
      <w:rFonts w:eastAsia="Arial"/>
      <w:b/>
      <w:bCs/>
      <w:color w:val="2C3E50"/>
      <w:sz w:val="26"/>
      <w:szCs w:val="26"/>
    </w:rPr>
  </w:style>
  <w:style w:type="paragraph" w:styleId="Heading3">
    <w:name w:val="heading 3"/>
    <w:uiPriority w:val="9"/>
    <w:semiHidden/>
    <w:unhideWhenUsed/>
    <w:qFormat/>
    <w:pPr>
      <w:spacing w:before="240" w:after="120"/>
      <w:outlineLvl w:val="2"/>
    </w:pPr>
    <w:rPr>
      <w:rFonts w:eastAsia="Arial"/>
      <w:b/>
      <w:bCs/>
      <w:color w:val="34495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3246</Words>
  <Characters>19022</Characters>
  <Application>Microsoft Office Word</Application>
  <DocSecurity>0</DocSecurity>
  <Lines>380</Lines>
  <Paragraphs>244</Paragraphs>
  <ScaleCrop>false</ScaleCrop>
  <Company/>
  <LinksUpToDate>false</LinksUpToDate>
  <CharactersWithSpaces>22024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Wei, Ran</cp:lastModifiedBy>
  <cp:revision>2</cp:revision>
  <dcterms:created xsi:type="dcterms:W3CDTF">2026-02-18T13:10:00Z</dcterms:created>
  <dcterms:modified xsi:type="dcterms:W3CDTF">2026-02-18T13:10:00Z</dcterms:modified>
</cp:coreProperties>
</file>