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5C4608"/>
          <w:sz w:val="30"/>
          <w:szCs w:val="30"/>
        </w:rPr>
        <w:t xml:space="preserve">Signal Butte Ranch Community Association</w:t>
      </w:r>
    </w:p>
    <w:p>
      <w:pPr>
        <w:spacing w:after="60" w:before="0"/>
        <w:jc w:val="center"/>
      </w:pPr>
      <w:r>
        <w:rPr>
          <w:rFonts w:ascii="Arial" w:cs="Arial" w:eastAsia="Arial" w:hAnsi="Arial"/>
          <w:b/>
          <w:bCs/>
          <w:sz w:val="24"/>
          <w:szCs w:val="24"/>
        </w:rPr>
        <w:t xml:space="preserve">Board of Directors — Collections Process Update</w:t>
      </w:r>
    </w:p>
    <w:p>
      <w:pPr>
        <w:spacing w:after="320" w:before="0"/>
        <w:jc w:val="center"/>
      </w:pPr>
      <w:r>
        <w:rPr>
          <w:rFonts w:ascii="Arial" w:cs="Arial" w:eastAsia="Arial" w:hAnsi="Arial"/>
          <w:color w:val="666666"/>
          <w:sz w:val="22"/>
          <w:szCs w:val="22"/>
        </w:rPr>
        <w:t xml:space="preserve">April 14, 2026</w:t>
      </w:r>
    </w:p>
    <w:p>
      <w:pPr>
        <w:pBdr>
          <w:bottom w:val="single" w:color="8B6914" w:sz="4" w:space="4"/>
        </w:pBdr>
        <w:spacing w:after="120" w:before="240"/>
      </w:pPr>
      <w:r>
        <w:rPr>
          <w:rFonts w:ascii="Arial" w:cs="Arial" w:eastAsia="Arial" w:hAnsi="Arial"/>
          <w:b/>
          <w:bCs/>
          <w:color w:val="5C4608"/>
          <w:sz w:val="26"/>
          <w:szCs w:val="26"/>
        </w:rPr>
        <w:t xml:space="preserve">Purpose of This Memo</w:t>
      </w:r>
    </w:p>
    <w:p>
      <w:pPr>
        <w:spacing w:after="120" w:before="0"/>
      </w:pPr>
      <w:r>
        <w:rPr>
          <w:rFonts w:ascii="Arial" w:cs="Arial" w:eastAsia="Arial" w:hAnsi="Arial"/>
          <w:b w:val="false"/>
          <w:bCs w:val="false"/>
          <w:sz w:val="22"/>
          <w:szCs w:val="22"/>
        </w:rPr>
        <w:t xml:space="preserve">This memo summarizes the fully automated HOA collections system now in place for Signal Butte Ranch. Effective May 2, 2026, the monthly collections workflow will run without manual intervention. This document explains what the system handles automatically, what Crystal still manages, and what reports the board will receive each month.</w:t>
      </w:r>
    </w:p>
    <w:p>
      <w:pPr>
        <w:pBdr>
          <w:bottom w:val="single" w:color="8B6914" w:sz="4" w:space="4"/>
        </w:pBdr>
        <w:spacing w:after="120" w:before="240"/>
      </w:pPr>
      <w:r>
        <w:rPr>
          <w:rFonts w:ascii="Arial" w:cs="Arial" w:eastAsia="Arial" w:hAnsi="Arial"/>
          <w:b/>
          <w:bCs/>
          <w:color w:val="5C4608"/>
          <w:sz w:val="26"/>
          <w:szCs w:val="26"/>
        </w:rPr>
        <w:t xml:space="preserve">What the Automation Handles</w:t>
      </w:r>
    </w:p>
    <w:p>
      <w:pPr>
        <w:spacing w:after="120" w:before="0"/>
      </w:pPr>
      <w:r>
        <w:rPr>
          <w:rFonts w:ascii="Arial" w:cs="Arial" w:eastAsia="Arial" w:hAnsi="Arial"/>
          <w:b w:val="false"/>
          <w:bCs w:val="false"/>
          <w:sz w:val="22"/>
          <w:szCs w:val="22"/>
        </w:rPr>
        <w:t xml:space="preserve">On the 2nd of every month at 1:00 AM MST, the system automatically runs the following steps for all 442 ownership accounts:</w:t>
      </w:r>
    </w:p>
    <w:p>
      <w:pPr>
        <w:spacing w:after="40" w:before="0"/>
      </w:pPr>
    </w:p>
    <w:p>
      <w:pPr>
        <w:pStyle w:val="ListParagraph"/>
        <w:numPr>
          <w:ilvl w:val="0"/>
          <w:numId w:val="2"/>
        </w:numPr>
        <w:spacing w:after="40" w:before="40"/>
      </w:pPr>
      <w:r>
        <w:rPr>
          <w:rFonts w:ascii="Arial" w:cs="Arial" w:eastAsia="Arial" w:hAnsi="Arial"/>
          <w:sz w:val="22"/>
          <w:szCs w:val="22"/>
        </w:rPr>
        <w:t xml:space="preserve">Scans every ownership account in Buildium and identifies all accounts past due with an unpaid late fee.</w:t>
      </w:r>
    </w:p>
    <w:p>
      <w:pPr>
        <w:pStyle w:val="ListParagraph"/>
        <w:numPr>
          <w:ilvl w:val="0"/>
          <w:numId w:val="2"/>
        </w:numPr>
        <w:spacing w:after="40" w:before="40"/>
      </w:pPr>
      <w:r>
        <w:rPr>
          <w:rFonts w:ascii="Arial" w:cs="Arial" w:eastAsia="Arial" w:hAnsi="Arial"/>
          <w:sz w:val="22"/>
          <w:szCs w:val="22"/>
        </w:rPr>
        <w:t xml:space="preserve">Reads the complete collections notice history to determine the correct stage for each account (60-day through Pre-Legal Final Notice).</w:t>
      </w:r>
    </w:p>
    <w:p>
      <w:pPr>
        <w:pStyle w:val="ListParagraph"/>
        <w:numPr>
          <w:ilvl w:val="0"/>
          <w:numId w:val="2"/>
        </w:numPr>
        <w:spacing w:after="40" w:before="40"/>
      </w:pPr>
      <w:r>
        <w:rPr>
          <w:rFonts w:ascii="Arial" w:cs="Arial" w:eastAsia="Arial" w:hAnsi="Arial"/>
          <w:sz w:val="22"/>
          <w:szCs w:val="22"/>
        </w:rPr>
        <w:t xml:space="preserve">Posts the appropriate enforcement charge to the owner’s Buildium ledger using the correct GL account — no manual charge entry required.</w:t>
      </w:r>
    </w:p>
    <w:p>
      <w:pPr>
        <w:pStyle w:val="ListParagraph"/>
        <w:numPr>
          <w:ilvl w:val="0"/>
          <w:numId w:val="2"/>
        </w:numPr>
        <w:spacing w:after="40" w:before="40"/>
      </w:pPr>
      <w:r>
        <w:rPr>
          <w:rFonts w:ascii="Arial" w:cs="Arial" w:eastAsia="Arial" w:hAnsi="Arial"/>
          <w:sz w:val="22"/>
          <w:szCs w:val="22"/>
        </w:rPr>
        <w:t xml:space="preserve">Sends a physical letter by USPS mail through Lob.com, including the Signal Butte Ranch logo, the homeowner’s name and property address, their current balance, and a progress table showing where they are in the collections process.</w:t>
      </w:r>
    </w:p>
    <w:p>
      <w:pPr>
        <w:pStyle w:val="ListParagraph"/>
        <w:numPr>
          <w:ilvl w:val="0"/>
          <w:numId w:val="3"/>
        </w:numPr>
        <w:spacing w:after="40" w:before="40"/>
      </w:pPr>
      <w:r>
        <w:rPr>
          <w:rFonts w:ascii="Arial" w:cs="Arial" w:eastAsia="Arial" w:hAnsi="Arial"/>
          <w:sz w:val="22"/>
          <w:szCs w:val="22"/>
        </w:rPr>
        <w:t xml:space="preserve">First class mail (~$1) for 60-day through Advanced Stage notices.</w:t>
      </w:r>
    </w:p>
    <w:p>
      <w:pPr>
        <w:pStyle w:val="ListParagraph"/>
        <w:numPr>
          <w:ilvl w:val="0"/>
          <w:numId w:val="3"/>
        </w:numPr>
        <w:spacing w:after="40" w:before="40"/>
      </w:pPr>
      <w:r>
        <w:rPr>
          <w:rFonts w:ascii="Arial" w:cs="Arial" w:eastAsia="Arial" w:hAnsi="Arial"/>
          <w:sz w:val="22"/>
          <w:szCs w:val="22"/>
        </w:rPr>
        <w:t xml:space="preserve">Certified mail (~$6) for Pre-Legal 60-Day and Final Notices.</w:t>
      </w:r>
    </w:p>
    <w:p>
      <w:pPr>
        <w:pStyle w:val="ListParagraph"/>
        <w:numPr>
          <w:ilvl w:val="0"/>
          <w:numId w:val="2"/>
        </w:numPr>
        <w:spacing w:after="40" w:before="40"/>
      </w:pPr>
      <w:r>
        <w:rPr>
          <w:rFonts w:ascii="Arial" w:cs="Arial" w:eastAsia="Arial" w:hAnsi="Arial"/>
          <w:sz w:val="22"/>
          <w:szCs w:val="22"/>
        </w:rPr>
        <w:t xml:space="preserve">Detects accounts that appear to be on an informal payment plan (balance ≥ $428 with a recent payment of $120 or more) and flags them for Crystal’s review.</w:t>
      </w:r>
    </w:p>
    <w:p>
      <w:pPr>
        <w:pStyle w:val="ListParagraph"/>
        <w:numPr>
          <w:ilvl w:val="0"/>
          <w:numId w:val="2"/>
        </w:numPr>
        <w:spacing w:after="40" w:before="40"/>
      </w:pPr>
      <w:r>
        <w:rPr>
          <w:rFonts w:ascii="Arial" w:cs="Arial" w:eastAsia="Arial" w:hAnsi="Arial"/>
          <w:sz w:val="22"/>
          <w:szCs w:val="22"/>
        </w:rPr>
        <w:t xml:space="preserve">Monitors accounts formally marked as Payment Plan in Buildium and flags any that have missed a monthly payment.</w:t>
      </w:r>
    </w:p>
    <w:p>
      <w:pPr>
        <w:pStyle w:val="ListParagraph"/>
        <w:numPr>
          <w:ilvl w:val="0"/>
          <w:numId w:val="2"/>
        </w:numPr>
        <w:spacing w:after="40" w:before="40"/>
      </w:pPr>
      <w:r>
        <w:rPr>
          <w:rFonts w:ascii="Arial" w:cs="Arial" w:eastAsia="Arial" w:hAnsi="Arial"/>
          <w:sz w:val="22"/>
          <w:szCs w:val="22"/>
        </w:rPr>
        <w:t xml:space="preserve">Automatically skips accounts that are current, in attorney collections, already noticed within 25 days, or have only one late fee (too early to escalate).</w:t>
      </w:r>
    </w:p>
    <w:p>
      <w:pPr>
        <w:pStyle w:val="ListParagraph"/>
        <w:numPr>
          <w:ilvl w:val="0"/>
          <w:numId w:val="2"/>
        </w:numPr>
        <w:spacing w:after="40" w:before="40"/>
      </w:pPr>
      <w:r>
        <w:rPr>
          <w:rFonts w:ascii="Arial" w:cs="Arial" w:eastAsia="Arial" w:hAnsi="Arial"/>
          <w:sz w:val="22"/>
          <w:szCs w:val="22"/>
        </w:rPr>
        <w:t xml:space="preserve">Sends Crystal a full summary email after every run.</w:t>
      </w:r>
    </w:p>
    <w:p>
      <w:pPr>
        <w:spacing w:after="40" w:before="0"/>
      </w:pPr>
    </w:p>
    <w:p>
      <w:pPr>
        <w:spacing w:after="120" w:before="0"/>
      </w:pPr>
      <w:r>
        <w:rPr>
          <w:rFonts w:ascii="Arial" w:cs="Arial" w:eastAsia="Arial" w:hAnsi="Arial"/>
          <w:b w:val="false"/>
          <w:bCs w:val="false"/>
          <w:sz w:val="22"/>
          <w:szCs w:val="22"/>
        </w:rPr>
        <w:t xml:space="preserve">The system handles 60-Day, 90-Day, 120-Day, 150-Day (Notice of Intent to Record a Lien), 180-Day (Lien Recorded Notice), Advanced Stage of Delinquency (months 7–16), Pre-Legal 60-Day Notice (month 17), and Pre-Legal Final Notice (month 18).</w:t>
      </w:r>
    </w:p>
    <w:p>
      <w:pPr>
        <w:pBdr>
          <w:bottom w:val="single" w:color="8B6914" w:sz="4" w:space="4"/>
        </w:pBdr>
        <w:spacing w:after="120" w:before="240"/>
      </w:pPr>
      <w:r>
        <w:rPr>
          <w:rFonts w:ascii="Arial" w:cs="Arial" w:eastAsia="Arial" w:hAnsi="Arial"/>
          <w:b/>
          <w:bCs/>
          <w:color w:val="5C4608"/>
          <w:sz w:val="26"/>
          <w:szCs w:val="26"/>
        </w:rPr>
        <w:t xml:space="preserve">What Crystal Needs to Do</w:t>
      </w:r>
    </w:p>
    <w:p>
      <w:pPr>
        <w:spacing w:after="120" w:before="0"/>
      </w:pPr>
      <w:r>
        <w:rPr>
          <w:rFonts w:ascii="Arial" w:cs="Arial" w:eastAsia="Arial" w:hAnsi="Arial"/>
          <w:b w:val="false"/>
          <w:bCs w:val="false"/>
          <w:sz w:val="22"/>
          <w:szCs w:val="22"/>
        </w:rPr>
        <w:t xml:space="preserve">Crystal’s role shifts from manually sending letters and posting charges to reviewing exceptions and making judgment calls. Each month she should:</w:t>
      </w:r>
    </w:p>
    <w:p>
      <w:pPr>
        <w:spacing w:after="40" w:before="0"/>
      </w:pPr>
    </w:p>
    <w:p>
      <w:pPr>
        <w:pStyle w:val="ListParagraph"/>
        <w:numPr>
          <w:ilvl w:val="0"/>
          <w:numId w:val="2"/>
        </w:numPr>
        <w:spacing w:after="40" w:before="40"/>
      </w:pPr>
      <w:r>
        <w:rPr>
          <w:rFonts w:ascii="Arial" w:cs="Arial" w:eastAsia="Arial" w:hAnsi="Arial"/>
          <w:b/>
          <w:bCs/>
          <w:sz w:val="22"/>
          <w:szCs w:val="22"/>
        </w:rPr>
        <w:t xml:space="preserve">Review summary email. </w:t>
      </w:r>
      <w:r>
        <w:rPr>
          <w:rFonts w:ascii="Arial" w:cs="Arial" w:eastAsia="Arial" w:hAnsi="Arial"/>
          <w:sz w:val="22"/>
          <w:szCs w:val="22"/>
        </w:rPr>
        <w:t xml:space="preserve">Review the monthly summary email</w:t>
      </w:r>
    </w:p>
    <w:p>
      <w:pPr>
        <w:pStyle w:val="ListParagraph"/>
        <w:numPr>
          <w:ilvl w:val="0"/>
          <w:numId w:val="3"/>
        </w:numPr>
        <w:spacing w:after="40" w:before="40"/>
      </w:pPr>
      <w:r>
        <w:rPr>
          <w:rFonts w:ascii="Arial" w:cs="Arial" w:eastAsia="Arial" w:hAnsi="Arial"/>
          <w:sz w:val="22"/>
          <w:szCs w:val="22"/>
        </w:rPr>
        <w:t xml:space="preserve">Confirm the run completed without errors.</w:t>
      </w:r>
    </w:p>
    <w:p>
      <w:pPr>
        <w:pStyle w:val="ListParagraph"/>
        <w:numPr>
          <w:ilvl w:val="0"/>
          <w:numId w:val="3"/>
        </w:numPr>
        <w:spacing w:after="40" w:before="40"/>
      </w:pPr>
      <w:r>
        <w:rPr>
          <w:rFonts w:ascii="Arial" w:cs="Arial" w:eastAsia="Arial" w:hAnsi="Arial"/>
          <w:sz w:val="22"/>
          <w:szCs w:val="22"/>
        </w:rPr>
        <w:t xml:space="preserve">Note any accounts flagged for attention.</w:t>
      </w:r>
    </w:p>
    <w:p>
      <w:pPr>
        <w:pStyle w:val="ListParagraph"/>
        <w:numPr>
          <w:ilvl w:val="0"/>
          <w:numId w:val="2"/>
        </w:numPr>
        <w:spacing w:after="40" w:before="40"/>
      </w:pPr>
      <w:r>
        <w:rPr>
          <w:rFonts w:ascii="Arial" w:cs="Arial" w:eastAsia="Arial" w:hAnsi="Arial"/>
          <w:b/>
          <w:bCs/>
          <w:sz w:val="22"/>
          <w:szCs w:val="22"/>
        </w:rPr>
        <w:t xml:space="preserve">Attorney referrals. </w:t>
      </w:r>
      <w:r>
        <w:rPr>
          <w:rFonts w:ascii="Arial" w:cs="Arial" w:eastAsia="Arial" w:hAnsi="Arial"/>
          <w:sz w:val="22"/>
          <w:szCs w:val="22"/>
        </w:rPr>
        <w:t xml:space="preserve">Handle attorney referrals</w:t>
      </w:r>
    </w:p>
    <w:p>
      <w:pPr>
        <w:pStyle w:val="ListParagraph"/>
        <w:numPr>
          <w:ilvl w:val="0"/>
          <w:numId w:val="3"/>
        </w:numPr>
        <w:spacing w:after="40" w:before="40"/>
      </w:pPr>
      <w:r>
        <w:rPr>
          <w:rFonts w:ascii="Arial" w:cs="Arial" w:eastAsia="Arial" w:hAnsi="Arial"/>
          <w:sz w:val="22"/>
          <w:szCs w:val="22"/>
        </w:rPr>
        <w:t xml:space="preserve">When a Pre-Legal Final Notice has been sent, the account is one month from attorney referral. Crystal reviews and coordinates the handoff to legal counsel.</w:t>
      </w:r>
    </w:p>
    <w:p>
      <w:pPr>
        <w:pStyle w:val="ListParagraph"/>
        <w:numPr>
          <w:ilvl w:val="0"/>
          <w:numId w:val="3"/>
        </w:numPr>
        <w:spacing w:after="40" w:before="40"/>
      </w:pPr>
      <w:r>
        <w:rPr>
          <w:rFonts w:ascii="Arial" w:cs="Arial" w:eastAsia="Arial" w:hAnsi="Arial"/>
          <w:sz w:val="22"/>
          <w:szCs w:val="22"/>
        </w:rPr>
        <w:t xml:space="preserve">Once an account is referred, mark it as “InCollections” in Buildium so the system stops sending notices and the attorney takes over.</w:t>
      </w:r>
    </w:p>
    <w:p>
      <w:pPr>
        <w:pStyle w:val="ListParagraph"/>
        <w:numPr>
          <w:ilvl w:val="0"/>
          <w:numId w:val="2"/>
        </w:numPr>
        <w:spacing w:after="40" w:before="40"/>
      </w:pPr>
      <w:r>
        <w:rPr>
          <w:rFonts w:ascii="Arial" w:cs="Arial" w:eastAsia="Arial" w:hAnsi="Arial"/>
          <w:b/>
          <w:bCs/>
          <w:sz w:val="22"/>
          <w:szCs w:val="22"/>
        </w:rPr>
        <w:t xml:space="preserve">Payment plan candidates. </w:t>
      </w:r>
      <w:r>
        <w:rPr>
          <w:rFonts w:ascii="Arial" w:cs="Arial" w:eastAsia="Arial" w:hAnsi="Arial"/>
          <w:sz w:val="22"/>
          <w:szCs w:val="22"/>
        </w:rPr>
        <w:t xml:space="preserve">Review payment plan candidates</w:t>
      </w:r>
    </w:p>
    <w:p>
      <w:pPr>
        <w:pStyle w:val="ListParagraph"/>
        <w:numPr>
          <w:ilvl w:val="0"/>
          <w:numId w:val="3"/>
        </w:numPr>
        <w:spacing w:after="40" w:before="40"/>
      </w:pPr>
      <w:r>
        <w:rPr>
          <w:rFonts w:ascii="Arial" w:cs="Arial" w:eastAsia="Arial" w:hAnsi="Arial"/>
          <w:sz w:val="22"/>
          <w:szCs w:val="22"/>
        </w:rPr>
        <w:t xml:space="preserve">Accounts flagged as making informal payments will appear in the summary email. Crystal can approve a formal board payment plan and update the Buildium status to “PaymentPlan.”</w:t>
      </w:r>
    </w:p>
    <w:p>
      <w:pPr>
        <w:pStyle w:val="ListParagraph"/>
        <w:numPr>
          <w:ilvl w:val="0"/>
          <w:numId w:val="3"/>
        </w:numPr>
        <w:spacing w:after="40" w:before="40"/>
      </w:pPr>
      <w:r>
        <w:rPr>
          <w:rFonts w:ascii="Arial" w:cs="Arial" w:eastAsia="Arial" w:hAnsi="Arial"/>
          <w:sz w:val="22"/>
          <w:szCs w:val="22"/>
        </w:rPr>
        <w:t xml:space="preserve">Accounts on a payment plan that miss a payment will also be flagged — Crystal decides whether to resume the collections process or contact the homeowner directly.</w:t>
      </w:r>
    </w:p>
    <w:p>
      <w:pPr>
        <w:pStyle w:val="ListParagraph"/>
        <w:numPr>
          <w:ilvl w:val="0"/>
          <w:numId w:val="2"/>
        </w:numPr>
        <w:spacing w:after="40" w:before="40"/>
      </w:pPr>
      <w:r>
        <w:rPr>
          <w:rFonts w:ascii="Arial" w:cs="Arial" w:eastAsia="Arial" w:hAnsi="Arial"/>
          <w:b/>
          <w:bCs/>
          <w:sz w:val="22"/>
          <w:szCs w:val="22"/>
        </w:rPr>
        <w:t xml:space="preserve">Homeowner inquiries. </w:t>
      </w:r>
      <w:r>
        <w:rPr>
          <w:rFonts w:ascii="Arial" w:cs="Arial" w:eastAsia="Arial" w:hAnsi="Arial"/>
          <w:sz w:val="22"/>
          <w:szCs w:val="22"/>
        </w:rPr>
        <w:t xml:space="preserve">Respond to homeowner inquiries</w:t>
      </w:r>
    </w:p>
    <w:p>
      <w:pPr>
        <w:pStyle w:val="ListParagraph"/>
        <w:numPr>
          <w:ilvl w:val="0"/>
          <w:numId w:val="3"/>
        </w:numPr>
        <w:spacing w:after="40" w:before="40"/>
      </w:pPr>
      <w:r>
        <w:rPr>
          <w:rFonts w:ascii="Arial" w:cs="Arial" w:eastAsia="Arial" w:hAnsi="Arial"/>
          <w:sz w:val="22"/>
          <w:szCs w:val="22"/>
        </w:rPr>
        <w:t xml:space="preserve">Homeowners will receive letters directing them to SignalButteRanch.com for questions. Crystal handles any responses, disputes, or payment arrangements.</w:t>
      </w:r>
    </w:p>
    <w:p>
      <w:pPr>
        <w:pStyle w:val="ListParagraph"/>
        <w:numPr>
          <w:ilvl w:val="0"/>
          <w:numId w:val="2"/>
        </w:numPr>
        <w:spacing w:after="40" w:before="40"/>
      </w:pPr>
      <w:r>
        <w:rPr>
          <w:rFonts w:ascii="Arial" w:cs="Arial" w:eastAsia="Arial" w:hAnsi="Arial"/>
          <w:b/>
          <w:bCs/>
          <w:sz w:val="22"/>
          <w:szCs w:val="22"/>
        </w:rPr>
        <w:t xml:space="preserve">Buildium status updates. </w:t>
      </w:r>
      <w:r>
        <w:rPr>
          <w:rFonts w:ascii="Arial" w:cs="Arial" w:eastAsia="Arial" w:hAnsi="Arial"/>
          <w:sz w:val="22"/>
          <w:szCs w:val="22"/>
        </w:rPr>
        <w:t xml:space="preserve">Update Buildium account statuses as needed</w:t>
      </w:r>
    </w:p>
    <w:p>
      <w:pPr>
        <w:pStyle w:val="ListParagraph"/>
        <w:numPr>
          <w:ilvl w:val="0"/>
          <w:numId w:val="3"/>
        </w:numPr>
        <w:spacing w:after="40" w:before="40"/>
      </w:pPr>
      <w:r>
        <w:rPr>
          <w:rFonts w:ascii="Arial" w:cs="Arial" w:eastAsia="Arial" w:hAnsi="Arial"/>
          <w:sz w:val="22"/>
          <w:szCs w:val="22"/>
        </w:rPr>
        <w:t xml:space="preserve">Setting an account to PaymentPlan, InCollections, or back to active — these are the only Buildium actions Crystal takes in the collections workflow.</w:t>
      </w:r>
    </w:p>
    <w:p>
      <w:pPr>
        <w:pBdr>
          <w:bottom w:val="single" w:color="8B6914" w:sz="4" w:space="4"/>
        </w:pBdr>
        <w:spacing w:after="120" w:before="240"/>
      </w:pPr>
      <w:r>
        <w:rPr>
          <w:rFonts w:ascii="Arial" w:cs="Arial" w:eastAsia="Arial" w:hAnsi="Arial"/>
          <w:b/>
          <w:bCs/>
          <w:color w:val="5C4608"/>
          <w:sz w:val="26"/>
          <w:szCs w:val="26"/>
        </w:rPr>
        <w:t xml:space="preserve">Monthly Summary Email — What’s Included</w:t>
      </w:r>
    </w:p>
    <w:p>
      <w:pPr>
        <w:spacing w:after="120" w:before="0"/>
      </w:pPr>
      <w:r>
        <w:rPr>
          <w:rFonts w:ascii="Arial" w:cs="Arial" w:eastAsia="Arial" w:hAnsi="Arial"/>
          <w:b w:val="false"/>
          <w:bCs w:val="false"/>
          <w:sz w:val="22"/>
          <w:szCs w:val="22"/>
        </w:rPr>
        <w:t xml:space="preserve">After each automated run, Crystal receives an email with the following sections:</w:t>
      </w:r>
    </w:p>
    <w:p>
      <w:pPr>
        <w:spacing w:after="12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8B6914" w:sz="1"/>
              <w:left w:val="single" w:color="8B6914" w:sz="1"/>
              <w:bottom w:val="single" w:color="8B6914" w:sz="1"/>
              <w:right w:val="single" w:color="8B6914" w:sz="1"/>
            </w:tcBorders>
            <w:shd w:fill="E8D5A3" w:val="clear"/>
            <w:tcMar>
              <w:top w:type="dxa" w:w="80"/>
              <w:left w:type="dxa" w:w="120"/>
              <w:bottom w:type="dxa" w:w="80"/>
              <w:right w:type="dxa" w:w="120"/>
            </w:tcMar>
            <w:vAlign w:val="top"/>
          </w:tcPr>
          <w:p>
            <w:r>
              <w:rPr>
                <w:rFonts w:ascii="Arial" w:cs="Arial" w:eastAsia="Arial" w:hAnsi="Arial"/>
                <w:b/>
                <w:bCs/>
                <w:sz w:val="22"/>
                <w:szCs w:val="22"/>
              </w:rPr>
              <w:t xml:space="preserve">Report Section</w:t>
            </w:r>
          </w:p>
        </w:tc>
        <w:tc>
          <w:tcPr>
            <w:tcW w:type="dxa" w:w="5760"/>
            <w:tcBorders>
              <w:top w:val="single" w:color="8B6914" w:sz="1"/>
              <w:left w:val="single" w:color="8B6914" w:sz="1"/>
              <w:bottom w:val="single" w:color="8B6914" w:sz="1"/>
              <w:right w:val="single" w:color="8B6914" w:sz="1"/>
            </w:tcBorders>
            <w:shd w:fill="E8D5A3" w:val="clear"/>
            <w:tcMar>
              <w:top w:type="dxa" w:w="80"/>
              <w:left w:type="dxa" w:w="120"/>
              <w:bottom w:type="dxa" w:w="80"/>
              <w:right w:type="dxa" w:w="120"/>
            </w:tcMar>
            <w:vAlign w:val="top"/>
          </w:tcPr>
          <w:p>
            <w:r>
              <w:rPr>
                <w:rFonts w:ascii="Arial" w:cs="Arial" w:eastAsia="Arial" w:hAnsi="Arial"/>
                <w:b/>
                <w:bCs/>
                <w:sz w:val="22"/>
                <w:szCs w:val="22"/>
              </w:rPr>
              <w:t xml:space="preserve">What It Contains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Actions Taken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Every account processed: stage, charge posted, letter type sent (first class or certified), and Lob mail ID for tracking.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Certified Mail Sent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List of Pre-Legal accounts with Lob tracking IDs for certified letters.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Possible Payment Plans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Accounts showing informal payment activity — delinquent with a recent $120+ payment. Flagged for Crystal to review and optionally formalize.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Payment Plans Failing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Accounts formally marked as PaymentPlan in Buildium with no qualifying payment in the last 35 days.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Attorney Referral Needed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Accounts at month 18 (Pre-Legal Final already sent). These need Crystal’s action within 30 days.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Watch 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Accounts that made a large payment and had their collections history reset. No action needed unless the payment was partial.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Skipped Accounts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22"/>
                <w:szCs w:val="22"/>
              </w:rPr>
              <w:t xml:space="preserve">Accounts skipped and the reason (current, in collections, recent notice, payment plan, etc.).</w:t>
            </w:r>
          </w:p>
        </w:tc>
      </w:tr>
    </w:tbl>
    <w:p>
      <w:pPr>
        <w:spacing w:after="0" w:before="320"/>
      </w:pPr>
    </w:p>
    <w:p>
      <w:pPr>
        <w:pBdr>
          <w:bottom w:val="single" w:color="8B6914" w:sz="4" w:space="4"/>
        </w:pBdr>
        <w:spacing w:after="120" w:before="240"/>
      </w:pPr>
      <w:r>
        <w:rPr>
          <w:rFonts w:ascii="Arial" w:cs="Arial" w:eastAsia="Arial" w:hAnsi="Arial"/>
          <w:b/>
          <w:bCs/>
          <w:color w:val="5C4608"/>
          <w:sz w:val="26"/>
          <w:szCs w:val="26"/>
        </w:rPr>
        <w:t xml:space="preserve">Go-Live Timeline</w:t>
      </w:r>
    </w:p>
    <w:p>
      <w:pPr>
        <w:spacing w:after="120" w:before="0"/>
      </w:pPr>
      <w:r>
        <w:rPr>
          <w:rFonts w:ascii="Arial" w:cs="Arial" w:eastAsia="Arial" w:hAnsi="Arial"/>
          <w:b w:val="false"/>
          <w:bCs w:val="false"/>
          <w:sz w:val="22"/>
          <w:szCs w:val="22"/>
        </w:rPr>
        <w:t xml:space="preserve">May 2, 2026 — First live automated run. Crystal should expect the summary email in her inbox by 8:00 AM MST.</w:t>
      </w:r>
    </w:p>
    <w:p>
      <w:pPr>
        <w:spacing w:after="120" w:before="0"/>
      </w:pPr>
      <w:r>
        <w:rPr>
          <w:rFonts w:ascii="Arial" w:cs="Arial" w:eastAsia="Arial" w:hAnsi="Arial"/>
          <w:b w:val="false"/>
          <w:bCs w:val="false"/>
          <w:sz w:val="22"/>
          <w:szCs w:val="22"/>
        </w:rPr>
        <w:t xml:space="preserve">No action is needed before the run. The system will process all qualifying accounts and Crystal reviews the summary afterward.</w:t>
      </w:r>
    </w:p>
    <w:p>
      <w:pPr>
        <w:pBdr>
          <w:bottom w:val="single" w:color="8B6914" w:sz="4" w:space="4"/>
        </w:pBdr>
        <w:spacing w:after="120" w:before="240"/>
      </w:pPr>
      <w:r>
        <w:rPr>
          <w:rFonts w:ascii="Arial" w:cs="Arial" w:eastAsia="Arial" w:hAnsi="Arial"/>
          <w:b/>
          <w:bCs/>
          <w:color w:val="5C4608"/>
          <w:sz w:val="26"/>
          <w:szCs w:val="26"/>
        </w:rPr>
        <w:t xml:space="preserve">What Changed from the Prior Process</w:t>
      </w:r>
    </w:p>
    <w:p>
      <w:pPr>
        <w:pStyle w:val="ListParagraph"/>
        <w:numPr>
          <w:ilvl w:val="0"/>
          <w:numId w:val="2"/>
        </w:numPr>
        <w:spacing w:after="40" w:before="40"/>
      </w:pPr>
      <w:r>
        <w:rPr>
          <w:rFonts w:ascii="Arial" w:cs="Arial" w:eastAsia="Arial" w:hAnsi="Arial"/>
          <w:sz w:val="22"/>
          <w:szCs w:val="22"/>
        </w:rPr>
        <w:t xml:space="preserve">Letters are sent automatically via Lob.com USPS mail — no more EZ Mail in Buildium or manual letter preparation.</w:t>
      </w:r>
    </w:p>
    <w:p>
      <w:pPr>
        <w:pStyle w:val="ListParagraph"/>
        <w:numPr>
          <w:ilvl w:val="0"/>
          <w:numId w:val="2"/>
        </w:numPr>
        <w:spacing w:after="40" w:before="40"/>
      </w:pPr>
      <w:r>
        <w:rPr>
          <w:rFonts w:ascii="Arial" w:cs="Arial" w:eastAsia="Arial" w:hAnsi="Arial"/>
          <w:sz w:val="22"/>
          <w:szCs w:val="22"/>
        </w:rPr>
        <w:t xml:space="preserve">Charges are posted to Buildium automatically — no more manual ledger entries for collections fees.</w:t>
      </w:r>
    </w:p>
    <w:p>
      <w:pPr>
        <w:pStyle w:val="ListParagraph"/>
        <w:numPr>
          <w:ilvl w:val="0"/>
          <w:numId w:val="2"/>
        </w:numPr>
        <w:spacing w:after="40" w:before="40"/>
      </w:pPr>
      <w:r>
        <w:rPr>
          <w:rFonts w:ascii="Arial" w:cs="Arial" w:eastAsia="Arial" w:hAnsi="Arial"/>
          <w:sz w:val="22"/>
          <w:szCs w:val="22"/>
        </w:rPr>
        <w:t xml:space="preserve">Stage determination is automatic — the system reads the full notice history and always sends the correct next letter.</w:t>
      </w:r>
    </w:p>
    <w:p>
      <w:pPr>
        <w:pStyle w:val="ListParagraph"/>
        <w:numPr>
          <w:ilvl w:val="0"/>
          <w:numId w:val="2"/>
        </w:numPr>
        <w:spacing w:after="40" w:before="40"/>
      </w:pPr>
      <w:r>
        <w:rPr>
          <w:rFonts w:ascii="Arial" w:cs="Arial" w:eastAsia="Arial" w:hAnsi="Arial"/>
          <w:sz w:val="22"/>
          <w:szCs w:val="22"/>
        </w:rPr>
        <w:t xml:space="preserve">Certified mail is handled automatically — Lob provides tracking and proof of mailing for Pre-Legal notices.</w:t>
      </w:r>
    </w:p>
    <w:p>
      <w:pPr>
        <w:pStyle w:val="ListParagraph"/>
        <w:numPr>
          <w:ilvl w:val="0"/>
          <w:numId w:val="2"/>
        </w:numPr>
        <w:spacing w:after="40" w:before="40"/>
      </w:pPr>
      <w:r>
        <w:rPr>
          <w:rFonts w:ascii="Arial" w:cs="Arial" w:eastAsia="Arial" w:hAnsi="Arial"/>
          <w:sz w:val="22"/>
          <w:szCs w:val="22"/>
        </w:rPr>
        <w:t xml:space="preserve">Crystal receives one consolidated summary email each month instead of tracking everything manually.</w:t>
      </w:r>
    </w:p>
    <w:p>
      <w:pPr>
        <w:spacing w:after="60" w:before="360"/>
      </w:pPr>
    </w:p>
    <w:p>
      <w:pPr>
        <w:pBdr>
          <w:top w:val="single" w:color="CCCCCC" w:sz="2" w:space="4"/>
        </w:pBdr>
        <w:spacing w:after="0" w:before="120"/>
      </w:pPr>
      <w:r>
        <w:rPr>
          <w:rFonts w:ascii="Arial" w:cs="Arial" w:eastAsia="Arial" w:hAnsi="Arial"/>
          <w:color w:val="888888"/>
          <w:sz w:val="18"/>
          <w:szCs w:val="18"/>
        </w:rPr>
        <w:t xml:space="preserve">Questions about the automation can be directed to Will Workman. System runs via GitHub Actions on the 2nd of each month.</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2026-04-15T01:36:24.204Z</dcterms:created>
  <dcterms:modified xsi:type="dcterms:W3CDTF">2026-04-15T01:36:24.204Z</dcterms:modified>
</cp:coreProperties>
</file>

<file path=docProps/custom.xml><?xml version="1.0" encoding="utf-8"?>
<Properties xmlns="http://schemas.openxmlformats.org/officeDocument/2006/custom-properties" xmlns:vt="http://schemas.openxmlformats.org/officeDocument/2006/docPropsVTypes"/>
</file>