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rFonts w:ascii="Noto Sans CJK KR" w:cs="Noto Sans CJK KR" w:eastAsia="Noto Sans CJK KR" w:hAnsi="Noto Sans CJK KR"/>
          <w:b/>
          <w:bCs/>
          <w:color w:val="D64A26"/>
          <w:sz w:val="19"/>
          <w:szCs w:val="19"/>
        </w:rPr>
        <w:t xml:space="preserve">MODUON HQ POLICY</w:t>
      </w:r>
    </w:p>
    <w:p>
      <w:pPr>
        <w:spacing w:after="120"/>
      </w:pPr>
      <w:r>
        <w:rPr>
          <w:rFonts w:ascii="Noto Sans CJK KR" w:cs="Noto Sans CJK KR" w:eastAsia="Noto Sans CJK KR" w:hAnsi="Noto Sans CJK KR"/>
          <w:b/>
          <w:bCs/>
          <w:color w:val="1D2C6B"/>
          <w:sz w:val="46"/>
          <w:szCs w:val="46"/>
        </w:rPr>
        <w:t xml:space="preserve">분양몰 정착지원 정책(안)</w:t>
      </w:r>
    </w:p>
    <w:p>
      <w:pPr>
        <w:spacing w:after="40"/>
      </w:pPr>
      <w:r>
        <w:rPr>
          <w:rFonts w:ascii="Noto Sans CJK KR" w:cs="Noto Sans CJK KR" w:eastAsia="Noto Sans CJK KR" w:hAnsi="Noto Sans CJK KR"/>
          <w:color w:val="6B7280"/>
          <w:sz w:val="23"/>
          <w:szCs w:val="23"/>
        </w:rPr>
        <w:t xml:space="preserve">— 로컬 마케팅 중심의 파트너 초기 90일 지원 프로그램 —</w:t>
      </w:r>
    </w:p>
    <w:p>
      <w:pPr>
        <w:pBdr>
          <w:bottom w:val="single" w:color="5377D6" w:sz="8"/>
        </w:pBdr>
        <w:spacing w:after="340"/>
      </w:pPr>
      <w:r>
        <w:rPr>
          <w:rFonts w:ascii="Noto Sans CJK KR" w:cs="Noto Sans CJK KR" w:eastAsia="Noto Sans CJK KR" w:hAnsi="Noto Sans CJK KR"/>
          <w:color w:val="6B7280"/>
          <w:sz w:val="19"/>
          <w:szCs w:val="19"/>
        </w:rPr>
        <w:t xml:space="preserve">v1.0 (검토용 초안) · 작성: 본사 전략기획 · 시행(안): 2026. 09. 01.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1. 목적 및 배경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분양몰은 권역(시·군·구) 기반의 로컬 사업이다. 고객의 신뢰도, 설치·상담 동선, 재상담 단골 자산이 모두 지역 안에서 만들어지며, 개설 후 첫 90일의 정착 성과가 이후 생존율과 월 24건(하루 1건) 페이스 도달 여부를 사실상 결정한다.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이에 본사는 권역 사업권(분양비) 명목 수익의 20%를 "파트너 정착지원 기금"으로 편성하여, 신규 분양몰의 로컬 마케팅과 초기 정착을 본사 차원에서 직접 지원한다. 본 정책은 일회성 보조가 아니라, 정착 행동(개통·집행·교육 이수)에 연동해 지급하는 성과 연동형 프로그램이다.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b/>
          <w:bCs/>
          <w:sz w:val="21"/>
          <w:szCs w:val="21"/>
        </w:rPr>
        <w:t xml:space="preserve">설계 원칙 — </w:t>
      </w:r>
      <w:r>
        <w:rPr>
          <w:rFonts w:ascii="Noto Sans CJK KR" w:cs="Noto Sans CJK KR" w:eastAsia="Noto Sans CJK KR" w:hAnsi="Noto Sans CJK KR"/>
          <w:sz w:val="21"/>
          <w:szCs w:val="21"/>
        </w:rPr>
        <w:t xml:space="preserve">"본사가 먼저 재투자하고, 이긴 구조만 확대한다." 지원은 지역 안에서 쓰이게 하고(로컬 지향), 숫자로 검증하며(성과 연동), 전 과정은 감사 로그로 남긴다(투명 집행).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2. 재원 — 정착지원 기금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기금은 정책 v4 분양비(사업권) 체계의 전체 권역 명목 총액을 기준으로 20%를 편성한다.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000"/>
        <w:gridCol w:w="2000"/>
      </w:tblGrid>
      <w:tr>
        <w:tc>
          <w:tcPr>
            <w:tcW w:type="dxa" w:w="3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구분(정책 v4 분양비 체계)</w:t>
            </w:r>
          </w:p>
        </w:tc>
        <w:tc>
          <w:tcPr>
            <w:tcW w:type="dxa" w:w="21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단가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수량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명목 금액</w:t>
            </w:r>
          </w:p>
        </w:tc>
      </w:tr>
      <w:tr>
        <w:tc>
          <w:tcPr>
            <w:tcW w:type="dxa" w:w="3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서울 자치구 사업권</w:t>
            </w:r>
          </w:p>
        </w:tc>
        <w:tc>
          <w:tcPr>
            <w:tcW w:type="dxa" w:w="21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2,000만원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25개 구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5억 원</w:t>
            </w:r>
          </w:p>
        </w:tc>
      </w:tr>
      <w:tr>
        <w:tc>
          <w:tcPr>
            <w:tcW w:type="dxa" w:w="3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경기·인천 시·구 사업권</w:t>
            </w:r>
          </w:p>
        </w:tc>
        <w:tc>
          <w:tcPr>
            <w:tcW w:type="dxa" w:w="21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1,500만원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36개 시·구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5억 4,000만원</w:t>
            </w:r>
          </w:p>
        </w:tc>
      </w:tr>
      <w:tr>
        <w:tc>
          <w:tcPr>
            <w:tcW w:type="dxa" w:w="3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수도권 군 사업권</w:t>
            </w:r>
          </w:p>
        </w:tc>
        <w:tc>
          <w:tcPr>
            <w:tcW w:type="dxa" w:w="21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500만원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5개 군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2,500만원</w:t>
            </w:r>
          </w:p>
        </w:tc>
      </w:tr>
      <w:tr>
        <w:tc>
          <w:tcPr>
            <w:tcW w:type="dxa" w:w="3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지방 8개 단 사업권(단 단위 일괄)</w:t>
            </w:r>
          </w:p>
        </w:tc>
        <w:tc>
          <w:tcPr>
            <w:tcW w:type="dxa" w:w="21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5,000만원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8개 단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4억 원</w:t>
            </w:r>
          </w:p>
        </w:tc>
      </w:tr>
      <w:tr>
        <w:tc>
          <w:tcPr>
            <w:tcW w:type="dxa" w:w="3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3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전체 권역 명목 총액</w:t>
            </w:r>
          </w:p>
        </w:tc>
        <w:tc>
          <w:tcPr>
            <w:tcW w:type="dxa" w:w="21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3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14억 6,500만원</w:t>
            </w:r>
          </w:p>
        </w:tc>
      </w:tr>
      <w:tr>
        <w:tc>
          <w:tcPr>
            <w:tcW w:type="dxa" w:w="3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D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D64A26"/>
                <w:sz w:val="20"/>
                <w:szCs w:val="20"/>
              </w:rPr>
              <w:t xml:space="preserve">정착지원 기금 편성(명목의 20%)</w:t>
            </w:r>
          </w:p>
        </w:tc>
        <w:tc>
          <w:tcPr>
            <w:tcW w:type="dxa" w:w="21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D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D64A26"/>
                <w:sz w:val="20"/>
                <w:szCs w:val="20"/>
              </w:rPr>
              <w:t xml:space="preserve">연 2억 9,300만원</w:t>
            </w:r>
          </w:p>
        </w:tc>
      </w:tr>
    </w:tbl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연간 기금 2억 9,300만원은 몰당 최대 500만원 상당 패키지 기준 약 58개 몰을 지원할 수 있는 규모로, 1차년도 분양 목표(60개 몰)와 정합한다.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권역 우선 원칙: 각 권역(단) 분양비 명목의 20%는 해당 권역 소속 몰에 우선 배정한다. 분기 미집행분은 익분기로 이월한다.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사업권 판매가 명목 기준이므로, 실제 판매 진도와 무관하게 연간 기금 상한은 위 표를 따른다(미판매 권역분은 본사 마케팅 예산에서 선집행).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3. 지원 프로그램 — 정착 패키지 (개설 후 90일)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4200"/>
        <w:gridCol w:w="1850"/>
      </w:tblGrid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환산 지원액</w:t>
            </w:r>
          </w:p>
        </w:tc>
      </w:tr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① 개설 정착금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오픈 프로모션 사은품 가산 재원 — 첫 30일 내 개통 5건 달성 시 지급(성과 연동 2차 지급)</w:t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100만원</w:t>
            </w:r>
          </w:p>
        </w:tc>
      </w:tr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② 로컬 마케팅 매칭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당근마켓·지역 맘카페·아파트 게시판·전단/현수막·네이버 플레이스 광고 등 파트너 집행액의 50% 매칭, 월 상한 50만원 × 3개월</w:t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최대 150만원</w:t>
            </w:r>
          </w:p>
        </w:tc>
      </w:tr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③ 디지털 개설 대행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네이버 플레이스·지도 등록, 지역 키워드 블로그 3편, 카카오톡 채널 개설 — 본사 제작팀 일괄 대행</w:t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100만원 상당</w:t>
            </w:r>
          </w:p>
        </w:tc>
      </w:tr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④ AI 마케팅 크레딧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마케팅 스튜디오 AI 카피 무제한 + 알림톡 발송비 월 1,000건 × 3개월</w:t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50만원 상당</w:t>
            </w:r>
          </w:p>
        </w:tc>
      </w:tr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⑤ 리드 부스터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개설 첫 30일, 본진(중앙) 유입 리드의 권역 배정 가중치 +30%</w:t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비금전</w:t>
            </w:r>
          </w:p>
        </w:tc>
      </w:tr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⑥ 교육·전담 케어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온보딩 교육 2회 + 총판 동행 영업 1회 + 전담 매니저 90일</w:t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100만원 상당</w:t>
            </w:r>
          </w:p>
        </w:tc>
      </w:tr>
      <w:tr>
        <w:tc>
          <w:tcPr>
            <w:tcW w:type="dxa" w:w="3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3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몰당 합계</w:t>
            </w:r>
          </w:p>
        </w:tc>
        <w:tc>
          <w:tcPr>
            <w:tcW w:type="dxa" w:w="4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3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최대 500만원 상당</w:t>
            </w:r>
          </w:p>
        </w:tc>
      </w:tr>
    </w:tbl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b/>
          <w:bCs/>
          <w:sz w:val="21"/>
          <w:szCs w:val="21"/>
        </w:rPr>
        <w:t xml:space="preserve">로컬 마케팅 매칭(②)의 인정 범위 — </w:t>
      </w:r>
      <w:r>
        <w:rPr>
          <w:rFonts w:ascii="Noto Sans CJK KR" w:cs="Noto Sans CJK KR" w:eastAsia="Noto Sans CJK KR" w:hAnsi="Noto Sans CJK KR"/>
          <w:sz w:val="21"/>
          <w:szCs w:val="21"/>
        </w:rPr>
        <w:t xml:space="preserve">권역 내 노출을 목적으로 하는 집행만 인정한다: 당근마켓 지역광고, 지역 맘카페·커뮤니티 제휴, 아파트 게시판·엘리베이터 광고, 전단·현수막 제작/게첨, 네이버 플레이스·지역 키워드 광고. 권역 외 전국 단위 광고는 매칭 대상에서 제외한다.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4. 지급 구조 — 성과 연동 2단계</w:t>
      </w:r>
    </w:p>
    <w:p>
      <w:pPr>
        <w:pStyle w:val="Heading2"/>
        <w:spacing w:after="100" w:before="240"/>
      </w:pPr>
      <w:r>
        <w:rPr>
          <w:rFonts w:ascii="Noto Sans CJK KR" w:cs="Noto Sans CJK KR" w:eastAsia="Noto Sans CJK KR" w:hAnsi="Noto Sans CJK KR"/>
          <w:b/>
          <w:bCs/>
          <w:color w:val="5377D6"/>
          <w:sz w:val="23"/>
          <w:szCs w:val="23"/>
        </w:rPr>
        <w:t xml:space="preserve">1차 (개설 즉시 · 자동 제공)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③ 디지털 개설 대행 + ④ AI 마케팅 크레딧 + ⑥ 교육·케어 개시 + ⑤ 리드 부스터 적용</w:t>
      </w:r>
    </w:p>
    <w:p>
      <w:pPr>
        <w:pStyle w:val="Heading2"/>
        <w:spacing w:after="100" w:before="240"/>
      </w:pPr>
      <w:r>
        <w:rPr>
          <w:rFonts w:ascii="Noto Sans CJK KR" w:cs="Noto Sans CJK KR" w:eastAsia="Noto Sans CJK KR" w:hAnsi="Noto Sans CJK KR"/>
          <w:b/>
          <w:bCs/>
          <w:color w:val="5377D6"/>
          <w:sz w:val="23"/>
          <w:szCs w:val="23"/>
        </w:rPr>
        <w:t xml:space="preserve">2차 (첫 30일 내 개통 5건 달성 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① 개설 정착금 100만원 지급 + ② 로컬 마케팅 매칭 개시(3개월)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30일 내 미달 시: 전담 매니저 재코칭 후 1회에 한해 30일 연장. 연장 후에도 미달하면 2차 지급은 종료하고 1차 지원만 유지한다.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b/>
          <w:bCs/>
          <w:sz w:val="21"/>
          <w:szCs w:val="21"/>
        </w:rPr>
        <w:t xml:space="preserve">취지 — </w:t>
      </w:r>
      <w:r>
        <w:rPr>
          <w:rFonts w:ascii="Noto Sans CJK KR" w:cs="Noto Sans CJK KR" w:eastAsia="Noto Sans CJK KR" w:hAnsi="Noto Sans CJK KR"/>
          <w:sz w:val="21"/>
          <w:szCs w:val="21"/>
        </w:rPr>
        <w:t xml:space="preserve">"퍼주기"가 아니라 정착 행동에 대한 매칭이다. 지원금이 지역 마케팅과 첫 개통 실적으로 이어지는 구조만 남기고, 나머지는 조기에 손절해 기금 효율을 지킨다.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5. 신청·집행 절차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1) 신청 — 마이오피스 &gt; 마케팅 스튜디오에서 정착 패키지 신청(개설 90일 내 1회)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2) 검토 — 총판(관리단) 1차 확인 → 본사 승인(영업일 3일 내), 결과는 알림·감사 로그 기록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3) 집행 — 매칭 항목은 파트너 선집행 후 증빙(세금계산서·영수증·게첨 사진) 제출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4) 정산 — 증빙 확인 후 익월 정산과 합산 지급, 명세는 정산 화면에 항목별 표기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5) 사후 — 90일 종료 시 정착 리포트(KPI 달성 여부) 자동 생성, 미집행 잔액은 기금 회수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6. 성과 관리 (KPI)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900"/>
        <w:gridCol w:w="2000"/>
      </w:tblGrid>
      <w:tr>
        <w:tc>
          <w:tcPr>
            <w:tcW w:type="dxa" w:w="25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4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5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90일 생존율</w:t>
            </w:r>
          </w:p>
        </w:tc>
        <w:tc>
          <w:tcPr>
            <w:tcW w:type="dxa" w:w="4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개설 후 90일 시점 "활성" 상태 유지 비율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90% 이상</w:t>
            </w:r>
          </w:p>
        </w:tc>
      </w:tr>
      <w:tr>
        <w:tc>
          <w:tcPr>
            <w:tcW w:type="dxa" w:w="25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첫 개통 리드타임</w:t>
            </w:r>
          </w:p>
        </w:tc>
        <w:tc>
          <w:tcPr>
            <w:tcW w:type="dxa" w:w="4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개설일 → 첫 완료(개통) 처리까지 일수(중위값)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14일 이내</w:t>
            </w:r>
          </w:p>
        </w:tc>
      </w:tr>
      <w:tr>
        <w:tc>
          <w:tcPr>
            <w:tcW w:type="dxa" w:w="25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정착 페이스 도달률</w:t>
            </w:r>
          </w:p>
        </w:tc>
        <w:tc>
          <w:tcPr>
            <w:tcW w:type="dxa" w:w="4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90일 내 월 24건(하루 1건) 완료 페이스 도달 몰 비율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40% 이상</w:t>
            </w:r>
          </w:p>
        </w:tc>
      </w:tr>
      <w:tr>
        <w:tc>
          <w:tcPr>
            <w:tcW w:type="dxa" w:w="25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매칭 집행률</w:t>
            </w:r>
          </w:p>
        </w:tc>
        <w:tc>
          <w:tcPr>
            <w:tcW w:type="dxa" w:w="4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분기 기금 대비 실제 집행 비율(미집행분 익분기 이월)</w:t>
            </w:r>
          </w:p>
        </w:tc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70% 이상</w:t>
            </w:r>
          </w:p>
        </w:tc>
      </w:tr>
    </w:tbl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분기마다 권역별 집행률·KPI를 경영 전략 화면에 공시하고, 2분기 연속 KPI 미달 프로그램은 축소·개편한다. 성과가 검증된 프로그램(예: 매칭 광고 채널별 리드 단가)은 표준 플레이북으로 자산화하여 전 권역에 확산한다.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7. 준수사항 및 환수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모든 광고물은 표시광고법·정보통신망법을 준수한다. 혜택 표기는 "최대/조건 충족 시"를 병기하고, 문자·알림톡은 (광고) 표기와 무료 수신거부 안내를 포함한다.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증빙 위·변조, 권역 외 집행 위장, 자전 거래 등 부정수급 확인 시 지원 전액을 환수하고 재신청을 제한한다.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지원 내역·승인·환수 등 전 과정은 권한·감사 로그에 기록하며, 분쟁 시 로그를 우선 근거로 한다.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부칙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본 정책(안)은 내부 검토용 초안으로, 이사회 승인 후 시행한다. 시행(안): 2026년 9월 1일.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본 문서의 수치는 정책 v4 분양비 체계 명목 기준이며, 정책 개정 시 기금 규모는 자동 재산정한다.</w:t>
      </w:r>
    </w:p>
    <w:p>
      <w:pPr>
        <w:spacing w:before="300"/>
      </w:pPr>
      <w:r>
        <w:rPr>
          <w:rFonts w:ascii="Noto Sans CJK KR" w:cs="Noto Sans CJK KR" w:eastAsia="Noto Sans CJK KR" w:hAnsi="Noto Sans CJK KR"/>
          <w:color w:val="6B7280"/>
          <w:sz w:val="18"/>
          <w:szCs w:val="18"/>
        </w:rPr>
        <w:t xml:space="preserve">— 본 문서는 모두온 데모 빌드의 정책 초안 예시로, 화면·수치는 시연용입니다. —</w:t>
      </w:r>
    </w:p>
    <w:sectPr>
      <w:pgSz w:w="11906" w:h="16838" w:orient="portrait"/>
      <w:pgMar w:top="12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2026-08-10T02:55:38.148Z</dcterms:created>
  <dcterms:modified xsi:type="dcterms:W3CDTF">2026-08-10T02:55:38.162Z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