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PART 1 – GENERAL</w:t>
      </w:r>
    </w:p>
    <w:p>
      <w:pPr>
        <w:pStyle w:val="Heading2"/>
        <w:bidi w:val="0"/>
        <w:jc w:val="left"/>
        <w:rPr/>
      </w:pPr>
      <w:r>
        <w:rPr/>
        <w:t>1.1 SCOPE</w:t>
      </w:r>
    </w:p>
    <w:p>
      <w:pPr>
        <w:pStyle w:val="BodyText"/>
        <w:bidi w:val="0"/>
        <w:jc w:val="left"/>
        <w:rPr/>
      </w:pPr>
      <w:r>
        <w:rPr/>
        <w:t>A. This section covers grounding and bonding for communications systems.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All work shall comply with applicable standards.</w:t>
      </w:r>
    </w:p>
    <w:p>
      <w:pPr>
        <w:pStyle w:val="Heading2"/>
        <w:bidi w:val="0"/>
        <w:jc w:val="left"/>
        <w:rPr/>
      </w:pPr>
      <w:r>
        <w:rPr/>
        <w:t>1.2 REFERENCES</w:t>
      </w:r>
    </w:p>
    <w:p>
      <w:pPr>
        <w:pStyle w:val="BodyText"/>
        <w:bidi w:val="0"/>
        <w:jc w:val="left"/>
        <w:rPr/>
      </w:pPr>
      <w:r>
        <w:rPr/>
        <w:t>A. ANSI/TIA-607-C Commercial Building Grounding standard.</w:t>
      </w:r>
    </w:p>
    <w:p>
      <w:pPr>
        <w:pStyle w:val="Heading1"/>
        <w:bidi w:val="0"/>
        <w:jc w:val="left"/>
        <w:rPr/>
      </w:pPr>
      <w:r>
        <w:rPr/>
        <w:t>PART 2 – PRODUCTS</w:t>
      </w:r>
    </w:p>
    <w:p>
      <w:pPr>
        <w:pStyle w:val="Heading2"/>
        <w:bidi w:val="0"/>
        <w:jc w:val="left"/>
        <w:rPr/>
      </w:pPr>
      <w:r>
        <w:rPr/>
        <w:t>2.1 MATERIALS</w:t>
      </w:r>
    </w:p>
    <w:p>
      <w:pPr>
        <w:pStyle w:val="BodyText"/>
        <w:bidi w:val="0"/>
        <w:jc w:val="left"/>
        <w:rPr/>
      </w:pPr>
      <w:r>
        <w:rPr/>
        <w:t>A. Copper busbars per ANSI-J-STD-607-A.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Minimum 6mm thickness.</w:t>
      </w:r>
    </w:p>
    <w:p>
      <w:pPr>
        <w:pStyle w:val="Heading2"/>
        <w:bidi w:val="0"/>
        <w:jc w:val="left"/>
        <w:rPr/>
      </w:pPr>
      <w:r>
        <w:rPr/>
        <w:t>2.2 FABRICATION</w:t>
      </w:r>
    </w:p>
    <w:p>
      <w:pPr>
        <w:pStyle w:val="BodyText"/>
        <w:bidi w:val="0"/>
        <w:jc w:val="left"/>
        <w:rPr/>
      </w:pPr>
      <w:r>
        <w:rPr/>
        <w:t>A. Factory fabricated assemblies only.</w:t>
      </w:r>
    </w:p>
    <w:p>
      <w:pPr>
        <w:pStyle w:val="Heading1"/>
        <w:bidi w:val="0"/>
        <w:jc w:val="left"/>
        <w:rPr/>
      </w:pPr>
      <w:r>
        <w:rPr/>
        <w:t>PART 3 – EXECUTION</w:t>
      </w:r>
    </w:p>
    <w:p>
      <w:pPr>
        <w:pStyle w:val="Heading2"/>
        <w:bidi w:val="0"/>
        <w:jc w:val="left"/>
        <w:rPr/>
      </w:pPr>
      <w:r>
        <w:rPr/>
        <w:t>3.1 INSTALLATION</w:t>
      </w:r>
    </w:p>
    <w:p>
      <w:pPr>
        <w:pStyle w:val="BodyText"/>
        <w:bidi w:val="0"/>
        <w:jc w:val="left"/>
        <w:rPr/>
      </w:pPr>
      <w:r>
        <w:rPr/>
        <w:t>A. Install per manufacturer instructions.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Torque connections to specified values.</w:t>
      </w:r>
    </w:p>
    <w:p>
      <w:pPr>
        <w:pStyle w:val="Heading2"/>
        <w:bidi w:val="0"/>
        <w:jc w:val="left"/>
        <w:rPr/>
      </w:pPr>
      <w:r>
        <w:rPr/>
        <w:t>3.2 FIELD QUALITY CONTROL</w:t>
      </w:r>
    </w:p>
    <w:p>
      <w:pPr>
        <w:pStyle w:val="BodyText"/>
        <w:bidi w:val="0"/>
        <w:spacing w:before="0" w:after="140"/>
        <w:jc w:val="left"/>
        <w:rPr/>
      </w:pPr>
      <w:r>
        <w:rPr/>
        <w:t>A. Verify continuity after installation.</w:t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Section 27 10 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