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60"/>
        <w:jc w:val="center"/>
      </w:pPr>
      <w:r>
        <w:rPr>
          <w:rFonts w:ascii="NanumSquare" w:hAnsi="NanumSquare" w:eastAsia="NanumSquare"/>
          <w:b/>
          <w:sz w:val="40"/>
        </w:rPr>
        <w:t>동해SS F3 전력품질 이상 이벤트 분석 보고서</w:t>
      </w:r>
    </w:p>
    <w:p>
      <w:pPr>
        <w:jc w:val="center"/>
      </w:pPr>
      <w:r>
        <w:rPr>
          <w:rFonts w:ascii="NanumSquare" w:hAnsi="NanumSquare" w:eastAsia="NanumSquare"/>
          <w:sz w:val="21"/>
        </w:rPr>
        <w:t>분석대상: 2026-06-25 20:00~21:00 / 60개 시점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5F9"/>
          </w:tcPr>
          <w:p>
            <w:r>
              <w:rPr>
                <w:rFonts w:ascii="NanumSquare" w:hAnsi="NanumSquare" w:eastAsia="NanumSquare"/>
                <w:b/>
                <w:sz w:val="22"/>
              </w:rPr>
              <w:t>핵심 요약</w:t>
            </w:r>
          </w:p>
          <w:p>
            <w:pPr>
              <w:ind w:left="227" w:hanging="170"/>
            </w:pPr>
            <w:r>
              <w:rPr>
                <w:rFonts w:ascii="NanumSquare" w:hAnsi="NanumSquare" w:eastAsia="NanumSquare"/>
                <w:sz w:val="19"/>
              </w:rPr>
              <w:t>• 자동 이벤트 점수에서 20:41:28이 가장 큰 이상 이벤트(6,617.52)로 탐지되었고, 20:31:28이 두 번째(2,044.48)로 나타났다.</w:t>
            </w:r>
          </w:p>
          <w:p>
            <w:pPr>
              <w:ind w:left="227" w:hanging="170"/>
            </w:pPr>
            <w:r>
              <w:rPr>
                <w:rFonts w:ascii="NanumSquare" w:hAnsi="NanumSquare" w:eastAsia="NanumSquare"/>
                <w:sz w:val="19"/>
              </w:rPr>
              <w:t>• 20:41 이벤트는 직전 대비 전류가 67.1 A에서 10,903.7 A로 약 162배 증가하고, 최소전압은 26.884 kV에서 0.218 kV로 약 99.2% 저하되었다.</w:t>
            </w:r>
          </w:p>
          <w:p>
            <w:pPr>
              <w:ind w:left="227" w:hanging="170"/>
            </w:pPr>
            <w:r>
              <w:rPr>
                <w:rFonts w:ascii="NanumSquare" w:hAnsi="NanumSquare" w:eastAsia="NanumSquare"/>
                <w:sz w:val="19"/>
              </w:rPr>
              <w:t>• 사고 직전에는 49차·47차 고조파가 상대적으로 우세했으나, 사고 시점에는 2~13차 중심의 저차 고조파가 상위 성분으로 전환되었다.</w:t>
            </w:r>
          </w:p>
          <w:p>
            <w:pPr>
              <w:ind w:left="227" w:hanging="170"/>
            </w:pPr>
            <w:r>
              <w:rPr>
                <w:rFonts w:ascii="NanumSquare" w:hAnsi="NanumSquare" w:eastAsia="NanumSquare"/>
                <w:sz w:val="19"/>
              </w:rPr>
              <w:t>• 20:41의 97.36 kV·10.9 kA 수준은 매우 큰 값이므로 실제 물리적 사고값인지 계측 포화/스케일링 이상인지 보호계전기·차단기 동작기록과 교차검증이 필요하다.</w:t>
            </w:r>
          </w:p>
        </w:tc>
      </w:tr>
    </w:tbl>
    <w:p>
      <w:pPr>
        <w:pStyle w:val="Heading1"/>
      </w:pPr>
      <w:r>
        <w:t>1. 분석 개요</w:t>
      </w:r>
    </w:p>
    <w:p>
      <w:r>
        <w:t>본 분석은 동해SS F3 전력품질 데이터의 1분 단위 시계열을 이용하여 전압, 전류, 전압 THD 및 고조파 성분의 급격한 변화를 탐지하고, 이상 이벤트 전후의 특성을 비교하는 것을 목적으로 한다. 분석 결과 파일에 포함된 이벤트 점수, 사고 전후 비교값 및 고조파 순위를 기준으로 결과를 정리하였다.</w:t>
      </w:r>
    </w:p>
    <w:p>
      <w:pPr>
        <w:ind w:left="283" w:hanging="227"/>
      </w:pPr>
      <w:r>
        <w:t>• 분석 파일: 260625 _2000_2100_동해SS F3_전력품질_데이터.xlsx</w:t>
      </w:r>
    </w:p>
    <w:p>
      <w:pPr>
        <w:ind w:left="283" w:hanging="227"/>
      </w:pPr>
      <w:r>
        <w:t>• 분석 구간: 2026-06-25 20:00~21:00</w:t>
      </w:r>
    </w:p>
    <w:p>
      <w:pPr>
        <w:ind w:left="283" w:hanging="227"/>
      </w:pPr>
      <w:r>
        <w:t>• 분석 표본: 60개 시점</w:t>
      </w:r>
    </w:p>
    <w:p>
      <w:pPr>
        <w:ind w:left="283" w:hanging="227"/>
      </w:pPr>
      <w:r>
        <w:t>• 주요 지표: 전차선 전류, 최소·최대 전압, 전압 THD, 2~13차 저차 고조파 합, 14~50차 고차 고조파 합, 종합 이벤트 점수</w:t>
      </w:r>
    </w:p>
    <w:p>
      <w:pPr>
        <w:pStyle w:val="Heading1"/>
      </w:pPr>
      <w:r>
        <w:t>2. 이상 이벤트 탐지 결과</w:t>
      </w:r>
    </w:p>
    <w:p>
      <w:r>
        <w:t>종합 이벤트 점수에 따라 이상 시점을 정렬한 결과, 20:41:28과 20:31:28이 다른 시점에 비해 압도적으로 큰 이상치를 보였다. 특히 20:41:28의 점수는 6,617.52로 가장 높았으며, 20:31:28은 2,044.48로 두 번째였다. 그 다음 순위인 20:32:28의 점수는 16.07에 불과하여, 두 시점이 독립적인 중대 이상 이벤트 후보임을 확인할 수 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vAlign w:val="center"/>
            <w:shd w:fill="E7EEF8"/>
          </w:tcPr>
          <w:p>
            <w:pPr>
              <w:jc w:val="center"/>
            </w:pPr>
            <w:r/>
            <w:r>
              <w:rPr>
                <w:rFonts w:ascii="NanumSquare" w:hAnsi="NanumSquare" w:eastAsia="NanumSquare"/>
                <w:b/>
                <w:sz w:val="17"/>
              </w:rPr>
              <w:t>순위</w:t>
            </w:r>
          </w:p>
        </w:tc>
        <w:tc>
          <w:tcPr>
            <w:tcW w:type="dxa" w:w="1425"/>
            <w:vAlign w:val="center"/>
            <w:shd w:fill="E7EEF8"/>
          </w:tcPr>
          <w:p>
            <w:pPr>
              <w:jc w:val="center"/>
            </w:pPr>
            <w:r/>
            <w:r>
              <w:rPr>
                <w:rFonts w:ascii="NanumSquare" w:hAnsi="NanumSquare" w:eastAsia="NanumSquare"/>
                <w:b/>
                <w:sz w:val="17"/>
              </w:rPr>
              <w:t>시각</w:t>
            </w:r>
          </w:p>
        </w:tc>
        <w:tc>
          <w:tcPr>
            <w:tcW w:type="dxa" w:w="1425"/>
            <w:vAlign w:val="center"/>
            <w:shd w:fill="E7EEF8"/>
          </w:tcPr>
          <w:p>
            <w:pPr>
              <w:jc w:val="center"/>
            </w:pPr>
            <w:r/>
            <w:r>
              <w:rPr>
                <w:rFonts w:ascii="NanumSquare" w:hAnsi="NanumSquare" w:eastAsia="NanumSquare"/>
                <w:b/>
                <w:sz w:val="17"/>
              </w:rPr>
              <w:t>전류(A)</w:t>
            </w:r>
          </w:p>
        </w:tc>
        <w:tc>
          <w:tcPr>
            <w:tcW w:type="dxa" w:w="1425"/>
            <w:vAlign w:val="center"/>
            <w:shd w:fill="E7EEF8"/>
          </w:tcPr>
          <w:p>
            <w:pPr>
              <w:jc w:val="center"/>
            </w:pPr>
            <w:r/>
            <w:r>
              <w:rPr>
                <w:rFonts w:ascii="NanumSquare" w:hAnsi="NanumSquare" w:eastAsia="NanumSquare"/>
                <w:b/>
                <w:sz w:val="17"/>
              </w:rPr>
              <w:t>최대전압(kV)</w:t>
            </w:r>
          </w:p>
        </w:tc>
        <w:tc>
          <w:tcPr>
            <w:tcW w:type="dxa" w:w="1425"/>
            <w:vAlign w:val="center"/>
            <w:shd w:fill="E7EEF8"/>
          </w:tcPr>
          <w:p>
            <w:pPr>
              <w:jc w:val="center"/>
            </w:pPr>
            <w:r/>
            <w:r>
              <w:rPr>
                <w:rFonts w:ascii="NanumSquare" w:hAnsi="NanumSquare" w:eastAsia="NanumSquare"/>
                <w:b/>
                <w:sz w:val="17"/>
              </w:rPr>
              <w:t>최소전압(kV)</w:t>
            </w:r>
          </w:p>
        </w:tc>
        <w:tc>
          <w:tcPr>
            <w:tcW w:type="dxa" w:w="1425"/>
            <w:vAlign w:val="center"/>
            <w:shd w:fill="E7EEF8"/>
          </w:tcPr>
          <w:p>
            <w:pPr>
              <w:jc w:val="center"/>
            </w:pPr>
            <w:r/>
            <w:r>
              <w:rPr>
                <w:rFonts w:ascii="NanumSquare" w:hAnsi="NanumSquare" w:eastAsia="NanumSquare"/>
                <w:b/>
                <w:sz w:val="17"/>
              </w:rPr>
              <w:t>THD(%)</w:t>
            </w:r>
          </w:p>
        </w:tc>
        <w:tc>
          <w:tcPr>
            <w:tcW w:type="dxa" w:w="1425"/>
            <w:vAlign w:val="center"/>
            <w:shd w:fill="E7EEF8"/>
          </w:tcPr>
          <w:p>
            <w:pPr>
              <w:jc w:val="center"/>
            </w:pPr>
            <w:r/>
            <w:r>
              <w:rPr>
                <w:rFonts w:ascii="NanumSquare" w:hAnsi="NanumSquare" w:eastAsia="NanumSquare"/>
                <w:b/>
                <w:sz w:val="17"/>
              </w:rPr>
              <w:t>이벤트점수</w:t>
            </w:r>
          </w:p>
        </w:tc>
      </w:tr>
      <w:tr>
        <w:tc>
          <w:tcPr>
            <w:tcW w:type="dxa" w:w="1425"/>
            <w:vAlign w:val="center"/>
          </w:tcPr>
          <w:p>
            <w:pPr>
              <w:jc w:val="center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1</w:t>
            </w:r>
          </w:p>
        </w:tc>
        <w:tc>
          <w:tcPr>
            <w:tcW w:type="dxa" w:w="1425"/>
            <w:vAlign w:val="center"/>
          </w:tcPr>
          <w:p>
            <w:pPr>
              <w:jc w:val="center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20:41:28</w:t>
            </w:r>
          </w:p>
        </w:tc>
        <w:tc>
          <w:tcPr>
            <w:tcW w:type="dxa" w:w="1425"/>
            <w:vAlign w:val="center"/>
          </w:tcPr>
          <w:p>
            <w:pPr>
              <w:jc w:val="center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10,903.695</w:t>
            </w:r>
          </w:p>
        </w:tc>
        <w:tc>
          <w:tcPr>
            <w:tcW w:type="dxa" w:w="1425"/>
            <w:vAlign w:val="center"/>
          </w:tcPr>
          <w:p>
            <w:pPr>
              <w:jc w:val="center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97.360</w:t>
            </w:r>
          </w:p>
        </w:tc>
        <w:tc>
          <w:tcPr>
            <w:tcW w:type="dxa" w:w="1425"/>
            <w:vAlign w:val="center"/>
          </w:tcPr>
          <w:p>
            <w:pPr>
              <w:jc w:val="center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0.218</w:t>
            </w:r>
          </w:p>
        </w:tc>
        <w:tc>
          <w:tcPr>
            <w:tcW w:type="dxa" w:w="1425"/>
            <w:vAlign w:val="center"/>
          </w:tcPr>
          <w:p>
            <w:pPr>
              <w:jc w:val="center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1,495.92</w:t>
            </w:r>
          </w:p>
        </w:tc>
        <w:tc>
          <w:tcPr>
            <w:tcW w:type="dxa" w:w="1425"/>
            <w:vAlign w:val="center"/>
          </w:tcPr>
          <w:p>
            <w:pPr>
              <w:jc w:val="center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6,617.52</w:t>
            </w:r>
          </w:p>
        </w:tc>
      </w:tr>
      <w:tr>
        <w:tc>
          <w:tcPr>
            <w:tcW w:type="dxa" w:w="1425"/>
            <w:vAlign w:val="center"/>
          </w:tcPr>
          <w:p>
            <w:pPr>
              <w:jc w:val="center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2</w:t>
            </w:r>
          </w:p>
        </w:tc>
        <w:tc>
          <w:tcPr>
            <w:tcW w:type="dxa" w:w="1425"/>
            <w:vAlign w:val="center"/>
          </w:tcPr>
          <w:p>
            <w:pPr>
              <w:jc w:val="center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20:31:28</w:t>
            </w:r>
          </w:p>
        </w:tc>
        <w:tc>
          <w:tcPr>
            <w:tcW w:type="dxa" w:w="1425"/>
            <w:vAlign w:val="center"/>
          </w:tcPr>
          <w:p>
            <w:pPr>
              <w:jc w:val="center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1,869.529</w:t>
            </w:r>
          </w:p>
        </w:tc>
        <w:tc>
          <w:tcPr>
            <w:tcW w:type="dxa" w:w="1425"/>
            <w:vAlign w:val="center"/>
          </w:tcPr>
          <w:p>
            <w:pPr>
              <w:jc w:val="center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27.313</w:t>
            </w:r>
          </w:p>
        </w:tc>
        <w:tc>
          <w:tcPr>
            <w:tcW w:type="dxa" w:w="1425"/>
            <w:vAlign w:val="center"/>
          </w:tcPr>
          <w:p>
            <w:pPr>
              <w:jc w:val="center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0.023</w:t>
            </w:r>
          </w:p>
        </w:tc>
        <w:tc>
          <w:tcPr>
            <w:tcW w:type="dxa" w:w="1425"/>
            <w:vAlign w:val="center"/>
          </w:tcPr>
          <w:p>
            <w:pPr>
              <w:jc w:val="center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1,256.61</w:t>
            </w:r>
          </w:p>
        </w:tc>
        <w:tc>
          <w:tcPr>
            <w:tcW w:type="dxa" w:w="1425"/>
            <w:vAlign w:val="center"/>
          </w:tcPr>
          <w:p>
            <w:pPr>
              <w:jc w:val="center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2,044.48</w:t>
            </w:r>
          </w:p>
        </w:tc>
      </w:tr>
      <w:tr>
        <w:tc>
          <w:tcPr>
            <w:tcW w:type="dxa" w:w="1425"/>
            <w:vAlign w:val="center"/>
          </w:tcPr>
          <w:p>
            <w:pPr>
              <w:jc w:val="center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3</w:t>
            </w:r>
          </w:p>
        </w:tc>
        <w:tc>
          <w:tcPr>
            <w:tcW w:type="dxa" w:w="1425"/>
            <w:vAlign w:val="center"/>
          </w:tcPr>
          <w:p>
            <w:pPr>
              <w:jc w:val="center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20:32:28</w:t>
            </w:r>
          </w:p>
        </w:tc>
        <w:tc>
          <w:tcPr>
            <w:tcW w:type="dxa" w:w="1425"/>
            <w:vAlign w:val="center"/>
          </w:tcPr>
          <w:p>
            <w:pPr>
              <w:jc w:val="center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50.343</w:t>
            </w:r>
          </w:p>
        </w:tc>
        <w:tc>
          <w:tcPr>
            <w:tcW w:type="dxa" w:w="1425"/>
            <w:vAlign w:val="center"/>
          </w:tcPr>
          <w:p>
            <w:pPr>
              <w:jc w:val="center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26.959</w:t>
            </w:r>
          </w:p>
        </w:tc>
        <w:tc>
          <w:tcPr>
            <w:tcW w:type="dxa" w:w="1425"/>
            <w:vAlign w:val="center"/>
          </w:tcPr>
          <w:p>
            <w:pPr>
              <w:jc w:val="center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26.773</w:t>
            </w:r>
          </w:p>
        </w:tc>
        <w:tc>
          <w:tcPr>
            <w:tcW w:type="dxa" w:w="1425"/>
            <w:vAlign w:val="center"/>
          </w:tcPr>
          <w:p>
            <w:pPr>
              <w:jc w:val="center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6.43</w:t>
            </w:r>
          </w:p>
        </w:tc>
        <w:tc>
          <w:tcPr>
            <w:tcW w:type="dxa" w:w="1425"/>
            <w:vAlign w:val="center"/>
          </w:tcPr>
          <w:p>
            <w:pPr>
              <w:jc w:val="center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16.07</w:t>
            </w:r>
          </w:p>
        </w:tc>
      </w:tr>
      <w:tr>
        <w:tc>
          <w:tcPr>
            <w:tcW w:type="dxa" w:w="1425"/>
            <w:vAlign w:val="center"/>
          </w:tcPr>
          <w:p>
            <w:pPr>
              <w:jc w:val="center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4</w:t>
            </w:r>
          </w:p>
        </w:tc>
        <w:tc>
          <w:tcPr>
            <w:tcW w:type="dxa" w:w="1425"/>
            <w:vAlign w:val="center"/>
          </w:tcPr>
          <w:p>
            <w:pPr>
              <w:jc w:val="center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20:57:28</w:t>
            </w:r>
          </w:p>
        </w:tc>
        <w:tc>
          <w:tcPr>
            <w:tcW w:type="dxa" w:w="1425"/>
            <w:vAlign w:val="center"/>
          </w:tcPr>
          <w:p>
            <w:pPr>
              <w:jc w:val="center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137.835</w:t>
            </w:r>
          </w:p>
        </w:tc>
        <w:tc>
          <w:tcPr>
            <w:tcW w:type="dxa" w:w="1425"/>
            <w:vAlign w:val="center"/>
          </w:tcPr>
          <w:p>
            <w:pPr>
              <w:jc w:val="center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27.024</w:t>
            </w:r>
          </w:p>
        </w:tc>
        <w:tc>
          <w:tcPr>
            <w:tcW w:type="dxa" w:w="1425"/>
            <w:vAlign w:val="center"/>
          </w:tcPr>
          <w:p>
            <w:pPr>
              <w:jc w:val="center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26.747</w:t>
            </w:r>
          </w:p>
        </w:tc>
        <w:tc>
          <w:tcPr>
            <w:tcW w:type="dxa" w:w="1425"/>
            <w:vAlign w:val="center"/>
          </w:tcPr>
          <w:p>
            <w:pPr>
              <w:jc w:val="center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4.85</w:t>
            </w:r>
          </w:p>
        </w:tc>
        <w:tc>
          <w:tcPr>
            <w:tcW w:type="dxa" w:w="1425"/>
            <w:vAlign w:val="center"/>
          </w:tcPr>
          <w:p>
            <w:pPr>
              <w:jc w:val="center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10.53</w:t>
            </w:r>
          </w:p>
        </w:tc>
      </w:tr>
      <w:tr>
        <w:tc>
          <w:tcPr>
            <w:tcW w:type="dxa" w:w="1425"/>
            <w:vAlign w:val="center"/>
          </w:tcPr>
          <w:p>
            <w:pPr>
              <w:jc w:val="center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5</w:t>
            </w:r>
          </w:p>
        </w:tc>
        <w:tc>
          <w:tcPr>
            <w:tcW w:type="dxa" w:w="1425"/>
            <w:vAlign w:val="center"/>
          </w:tcPr>
          <w:p>
            <w:pPr>
              <w:jc w:val="center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20:45:28</w:t>
            </w:r>
          </w:p>
        </w:tc>
        <w:tc>
          <w:tcPr>
            <w:tcW w:type="dxa" w:w="1425"/>
            <w:vAlign w:val="center"/>
          </w:tcPr>
          <w:p>
            <w:pPr>
              <w:jc w:val="center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147.633</w:t>
            </w:r>
          </w:p>
        </w:tc>
        <w:tc>
          <w:tcPr>
            <w:tcW w:type="dxa" w:w="1425"/>
            <w:vAlign w:val="center"/>
          </w:tcPr>
          <w:p>
            <w:pPr>
              <w:jc w:val="center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26.992</w:t>
            </w:r>
          </w:p>
        </w:tc>
        <w:tc>
          <w:tcPr>
            <w:tcW w:type="dxa" w:w="1425"/>
            <w:vAlign w:val="center"/>
          </w:tcPr>
          <w:p>
            <w:pPr>
              <w:jc w:val="center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26.733</w:t>
            </w:r>
          </w:p>
        </w:tc>
        <w:tc>
          <w:tcPr>
            <w:tcW w:type="dxa" w:w="1425"/>
            <w:vAlign w:val="center"/>
          </w:tcPr>
          <w:p>
            <w:pPr>
              <w:jc w:val="center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4.88</w:t>
            </w:r>
          </w:p>
        </w:tc>
        <w:tc>
          <w:tcPr>
            <w:tcW w:type="dxa" w:w="1425"/>
            <w:vAlign w:val="center"/>
          </w:tcPr>
          <w:p>
            <w:pPr>
              <w:jc w:val="center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8.51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6743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ent_scor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6743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7"/>
        </w:rPr>
        <w:t>그림 1. 주요 이상 이벤트의 종합 점수(로그 스케일)</w:t>
      </w:r>
    </w:p>
    <w:p>
      <w:pPr>
        <w:pStyle w:val="Heading1"/>
      </w:pPr>
      <w:r>
        <w:t>3. 대표 이벤트(20:41) 전후 비교</w:t>
      </w:r>
    </w:p>
    <w:p>
      <w:r>
        <w:t>자동 탐지 결과에서 대표 이벤트로 선택된 20:41:28을 직전 시점인 20:40:28과 비교하였다. 사고 시점에는 전류의 폭증, 최소전압의 붕괴, 최대전압의 급상승 및 THD의 급등이 동시에 관측되었다.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vAlign w:val="center"/>
            <w:shd w:fill="E7EEF8"/>
          </w:tcPr>
          <w:p>
            <w:pPr>
              <w:jc w:val="center"/>
            </w:pPr>
            <w:r/>
            <w:r>
              <w:rPr>
                <w:rFonts w:ascii="NanumSquare" w:hAnsi="NanumSquare" w:eastAsia="NanumSquare"/>
                <w:b/>
                <w:sz w:val="17"/>
              </w:rPr>
              <w:t>지표</w:t>
            </w:r>
          </w:p>
        </w:tc>
        <w:tc>
          <w:tcPr>
            <w:tcW w:type="dxa" w:w="1994"/>
            <w:vAlign w:val="center"/>
            <w:shd w:fill="E7EEF8"/>
          </w:tcPr>
          <w:p>
            <w:pPr>
              <w:jc w:val="center"/>
            </w:pPr>
            <w:r/>
            <w:r>
              <w:rPr>
                <w:rFonts w:ascii="NanumSquare" w:hAnsi="NanumSquare" w:eastAsia="NanumSquare"/>
                <w:b/>
                <w:sz w:val="17"/>
              </w:rPr>
              <w:t>사고 직전(20:40)</w:t>
            </w:r>
          </w:p>
        </w:tc>
        <w:tc>
          <w:tcPr>
            <w:tcW w:type="dxa" w:w="1994"/>
            <w:vAlign w:val="center"/>
            <w:shd w:fill="E7EEF8"/>
          </w:tcPr>
          <w:p>
            <w:pPr>
              <w:jc w:val="center"/>
            </w:pPr>
            <w:r/>
            <w:r>
              <w:rPr>
                <w:rFonts w:ascii="NanumSquare" w:hAnsi="NanumSquare" w:eastAsia="NanumSquare"/>
                <w:b/>
                <w:sz w:val="17"/>
              </w:rPr>
              <w:t>사고 시점(20:41)</w:t>
            </w:r>
          </w:p>
        </w:tc>
        <w:tc>
          <w:tcPr>
            <w:tcW w:type="dxa" w:w="1994"/>
            <w:vAlign w:val="center"/>
            <w:shd w:fill="E7EEF8"/>
          </w:tcPr>
          <w:p>
            <w:pPr>
              <w:jc w:val="center"/>
            </w:pPr>
            <w:r/>
            <w:r>
              <w:rPr>
                <w:rFonts w:ascii="NanumSquare" w:hAnsi="NanumSquare" w:eastAsia="NanumSquare"/>
                <w:b/>
                <w:sz w:val="17"/>
              </w:rPr>
              <w:t>변화</w:t>
            </w:r>
          </w:p>
        </w:tc>
        <w:tc>
          <w:tcPr>
            <w:tcW w:type="dxa" w:w="1994"/>
            <w:vAlign w:val="center"/>
            <w:shd w:fill="E7EEF8"/>
          </w:tcPr>
          <w:p>
            <w:pPr>
              <w:jc w:val="center"/>
            </w:pPr>
            <w:r/>
            <w:r>
              <w:rPr>
                <w:rFonts w:ascii="NanumSquare" w:hAnsi="NanumSquare" w:eastAsia="NanumSquare"/>
                <w:b/>
                <w:sz w:val="17"/>
              </w:rPr>
              <w:t>해석</w:t>
            </w:r>
          </w:p>
        </w:tc>
      </w:tr>
      <w:tr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전류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67.12 A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10,903.70 A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+16,145.02%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약 162배 증가</w:t>
            </w:r>
          </w:p>
        </w:tc>
      </w:tr>
      <w:tr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최대전압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27.00 kV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97.36 kV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+260.60%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비정상 급상승</w:t>
            </w:r>
          </w:p>
        </w:tc>
      </w:tr>
      <w:tr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최소전압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26.88 kV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0.218 kV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-99.19%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순간 전압 붕괴</w:t>
            </w:r>
          </w:p>
        </w:tc>
      </w:tr>
      <w:tr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전압 THD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6.31%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1,495.92%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+23,607.13%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파형 왜곡 급증</w:t>
            </w:r>
          </w:p>
        </w:tc>
      </w:tr>
      <w:tr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2~13차 합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3.63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70.88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+1,852.62%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저차 고조파 급증</w:t>
            </w:r>
          </w:p>
        </w:tc>
      </w:tr>
      <w:tr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14~50차 합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17.40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85.32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약 +390%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고차 성분도 증가</w:t>
            </w:r>
          </w:p>
        </w:tc>
      </w:tr>
      <w:tr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저차/고차 비율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0.209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0.831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약 4.0배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저차 비중 확대</w:t>
            </w:r>
          </w:p>
        </w:tc>
      </w:tr>
    </w:tbl>
    <w:p>
      <w:pPr>
        <w:spacing w:before="60" w:after="100"/>
        <w:ind w:left="227" w:right="227"/>
      </w:pPr>
      <w:r>
        <w:rPr>
          <w:rFonts w:ascii="NanumSquare" w:hAnsi="NanumSquare" w:eastAsia="NanumSquare"/>
          <w:i/>
          <w:sz w:val="18"/>
        </w:rPr>
        <w:t>해석상 주의: 20:41의 최대전압 97.36 kV와 전류 10.9 kA는 통상 구간 대비 매우 큰 값이므로, 실제 사고 크기인지 계측기 포화·스케일링 또는 순간 측정 오류가 포함된 값인지 별도의 장비 로그 검증이 필요하다.</w:t>
      </w:r>
    </w:p>
    <w:p>
      <w:r>
        <w:br w:type="page"/>
      </w:r>
    </w:p>
    <w:p>
      <w:pPr>
        <w:pStyle w:val="Heading1"/>
      </w:pPr>
      <w:r>
        <w:t>4. 고조파 패턴 변화</w:t>
      </w:r>
    </w:p>
    <w:p>
      <w:r>
        <w:t>사고 직전에는 49차(4.46)와 47차(2.54)가 가장 큰 고조파 성분으로 나타나 고차 고조파가 상대적으로 우세하였다. 반면 사고 시점에는 2차(13.14), 3차(11.05), 4차(8.25), 5차(6.28), 6차(5.26)가 상위권을 차지하여 저차 고조파 중심으로 패턴이 크게 전환되었다.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3226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fore_harmonic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22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7"/>
        </w:rPr>
        <w:t>그림 2. 사고 직전 상위 고조파 성분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3247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ent_harmonic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24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7"/>
        </w:rPr>
        <w:t>그림 3. 사고 시점 상위 고조파 성분</w:t>
      </w:r>
    </w:p>
    <w:p>
      <w:r>
        <w:t>특히 사고 시점 상위 10개 중 8개가 2~13차 범위에 포함되어, 저차 고조파가 광범위하게 발생한 특징이 분명하다. 이는 분석결과 파일의 “절연파괴로 인한 저차 고조파(2~13차) 발생 확인”이라는 현장 해석과 일치하는 방향이다. 다만 고조파 패턴만으로 절연파괴를 단독 확정하기보다는 사고기록과 함께 판단하는 것이 타당하다.</w:t>
      </w:r>
    </w:p>
    <w:p>
      <w:pPr>
        <w:pStyle w:val="Heading1"/>
      </w:pPr>
      <w:r>
        <w:t>5. 20:31 이벤트의 별도 검토</w:t>
      </w:r>
    </w:p>
    <w:p>
      <w:r>
        <w:t>대표 이벤트보다 10분 앞선 20:31:28에도 중대한 이상이 탐지되었다. 이 시점의 전류는 1,869.53 A, 최대전압은 27.313 kV, 최소전압은 0.023 kV, 전압 THD는 1,256.61%, 2~13차 저차 고조파 합은 125.80으로 나타났다. 특히 저차 고조파 합은 20:41 이벤트보다 더 크게 나타나, 20:31과 20:41이 동일한 사건의 연속 과정인지 별개의 이벤트인지 확인할 필요가 있다.</w:t>
      </w:r>
    </w:p>
    <w:p>
      <w:pPr>
        <w:ind w:left="283" w:hanging="227"/>
      </w:pPr>
      <w:r>
        <w:t>• 20:31: 최소전압의 극단적 저하와 저차고조파 합 125.80이 동시 발생</w:t>
      </w:r>
    </w:p>
    <w:p>
      <w:pPr>
        <w:ind w:left="283" w:hanging="227"/>
      </w:pPr>
      <w:r>
        <w:t>• 20:41: 전류·최대전압·THD의 최대치가 관측된 가장 큰 종합 이벤트</w:t>
      </w:r>
    </w:p>
    <w:p>
      <w:pPr>
        <w:ind w:left="283" w:hanging="227"/>
      </w:pPr>
      <w:r>
        <w:t>• 두 시점의 관계를 확인하기 위해 차단기/보호계전기 동작시각, 고장점 표정, 현장 점검기록과 시간 동기화 필요</w:t>
      </w:r>
    </w:p>
    <w:p>
      <w:pPr>
        <w:pStyle w:val="Heading1"/>
      </w:pPr>
      <w:r>
        <w:t>6. 종합 결론 및 권고</w:t>
      </w:r>
    </w:p>
    <w:p>
      <w:pPr>
        <w:ind w:left="283" w:hanging="227"/>
      </w:pPr>
      <w:r>
        <w:t>• 2026-06-25 20:00~21:00 구간에서 20:31과 20:41 두 개의 매우 큰 이상 이벤트가 식별되었다.</w:t>
      </w:r>
    </w:p>
    <w:p>
      <w:pPr>
        <w:ind w:left="283" w:hanging="227"/>
      </w:pPr>
      <w:r>
        <w:t>• 20:41 대표 이벤트는 직전 대비 전류 약 162배 증가, 최소전압 약 99.2% 저하, THD 약 237배 증가가 동시에 발생해 정상 부하변동으로 보기 어려운 급격한 전력품질 이상을 보였다.</w:t>
      </w:r>
    </w:p>
    <w:p>
      <w:pPr>
        <w:ind w:left="283" w:hanging="227"/>
      </w:pPr>
      <w:r>
        <w:t>• 평상시에는 49차·47차 고조파가 상대적으로 우세했으나 사고시에는 2~13차 저차 고조파가 다수 상위 성분으로 전환되어, 사고 전후 고조파 구조가 명확히 달라졌다.</w:t>
      </w:r>
    </w:p>
    <w:p>
      <w:pPr>
        <w:ind w:left="283" w:hanging="227"/>
      </w:pPr>
      <w:r>
        <w:t>• 절연파괴 관련 이상 패턴과 부합하지만, 원인 확정을 위해서는 보호계전기 이벤트 로그, 차단기 동작기록, 원시 파형 및 계측기 상태를 함께 검토해야 한다.</w:t>
      </w:r>
    </w:p>
    <w:p>
      <w:pPr>
        <w:ind w:left="283" w:hanging="227"/>
      </w:pPr>
      <w:r>
        <w:t>• 특히 20:41의 97.36 kV·10.9 kA 값은 계측 범위·변성비·스케일링 검증 후 공식 사고값으로 사용하는 것이 바람직하다.</w:t>
      </w:r>
    </w:p>
    <w:p>
      <w:pPr>
        <w:spacing w:before="160"/>
      </w:pPr>
      <w:r>
        <w:rPr>
          <w:b/>
          <w:sz w:val="22"/>
        </w:rPr>
        <w:t>보고서용 요약 문구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7F7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9"/>
              </w:rPr>
              <w:t>장애 전후 전력품질 데이터를 분석한 결과, 20:41경 전차선 전류가 67.1 A에서 10,903.7 A로 급증하고 최소전압은 26.88 kV에서 0.218 kV로 급락하였으며, 전압 THD도 6.31%에서 1,495.92%로 급증하였다. 또한 평상시에는 49차·47차 고조파가 상대적으로 우세하였으나 사고 시점에는 2~13차 저차 고조파가 광범위하게 상위 성분으로 나타나 고조파 구조가 현저히 변화하였다. 다만 20:41의 최대전압·전류 값은 매우 큰 수준이므로 계측기 상태 및 보호계전기·차단기 동작기록과의 교차검증 후 최종 사고값과 원인을 확정할 필요가 있다.</w:t>
            </w:r>
          </w:p>
        </w:tc>
      </w:tr>
    </w:tbl>
    <w:p>
      <w:pPr>
        <w:spacing w:before="200"/>
      </w:pPr>
      <w:r>
        <w:rPr>
          <w:i/>
          <w:sz w:val="16"/>
        </w:rPr>
        <w:t>자료 출처: Cursor 실행 결과(report.txt), 원자료 260625 _2000_2100_동해SS F3_전력품질_데이터.xlsx / Sheet1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Square" w:hAnsi="NanumSquare" w:eastAsia="NanumSquare"/>
        <w:sz w:val="16"/>
      </w:rPr>
      <w:t>2026.06.25 전력품질 데이터 기반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anumSquare" w:hAnsi="NanumSquare" w:eastAsia="NanumSquare"/>
        <w:sz w:val="17"/>
      </w:rPr>
      <w:t>동해SS F3 전력품질 분석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NanumSquare" w:hAnsi="NanumSquare" w:eastAsia="NanumSquar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NanumSquare" w:hAnsi="NanumSquare" w:eastAsia="NanumSquare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NanumSquare" w:hAnsi="NanumSquare" w:eastAsia="NanumSquare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anumSquare" w:hAnsi="NanumSquare" w:eastAsia="NanumSquare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anumSquare" w:hAnsi="NanumSquare" w:eastAsia="NanumSquare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