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b/>
          <w:sz w:val="40"/>
        </w:rPr>
        <w:t>第三章　研究方法</w:t>
      </w:r>
    </w:p>
    <w:p>
      <w:pPr>
        <w:spacing w:before="280" w:after="120"/>
      </w:pPr>
      <w:r>
        <w:rPr>
          <w:b/>
          <w:sz w:val="32"/>
        </w:rPr>
        <w:t>3.1　研究框架概覽</w:t>
      </w:r>
    </w:p>
    <w:p>
      <w:pPr>
        <w:spacing w:after="120" w:line="360" w:lineRule="auto"/>
        <w:ind w:firstLine="482"/>
      </w:pPr>
      <w:r>
        <w:rPr>
          <w:sz w:val="22"/>
        </w:rPr>
        <w:t>本章提出 SACFFinalModel — 一個專為多模態情感分析（MSA）任務設計的「多分支單一模型」（Multi-Branch Single Model）。本模型在架構層面就是一個單一的 nn.Module，對外只暴露一個 forward 介面、一個 sacf_final.pt 檔案。其關鍵創新在於將「多模型集成」的精度增益內建於模型架構內部：共享一個 DeBERTa-v3-large 文字骨幹與兩個 BiLSTM 模態編碼器（佔絕大多數參數），但在融合與預測層級設置 4 個並行分支，每個分支具備獨立的極性增強注意力（PEA）、情感感知跨模態注意力（SACF）、共享投影層與三個任務頭。推斷時透過模型內部的 logits 平均達到集成效果，無需任何後處理融合。</w:t>
      </w:r>
    </w:p>
    <w:p>
      <w:pPr>
        <w:spacing w:after="120" w:line="360" w:lineRule="auto"/>
        <w:ind w:firstLine="482"/>
      </w:pPr>
      <w:r>
        <w:rPr>
          <w:sz w:val="22"/>
        </w:rPr>
        <w:t>相較於傳統的「事後集成」（訓練多個獨立模型後在推斷時融合輸出），本架構具有三項優勢：（1）部署簡單：單一 1.7 GB 的 .pt 檔案，無需管理多個權重；（2）推斷快速：DeBERTa 共享計算僅需一次 forward；（3）真正的「一個模型」概念：4 分支的多樣性透過架構設計與訓練損失共同保證。本框架由六個緊密協作的模組構成：（i）共享 DeBERTa-v3-large 文字骨幹；（ii）共享音訊／視覺 BiLSTM 模態編碼器；（iii）4 個並行的極性增強注意力（PEA）模組；（iv）4 個並行的情感感知跨模態注意力（SACF）模組；（v）4 組共享投影層 + 三個任務預測頭；（vi）內部 mean-of-logits 集成邏輯。</w:t>
      </w:r>
    </w:p>
    <w:p>
      <w:pPr>
        <w:spacing w:after="120" w:line="360" w:lineRule="auto"/>
        <w:ind w:firstLine="482"/>
      </w:pPr>
      <w:r>
        <w:rPr>
          <w:sz w:val="22"/>
        </w:rPr>
        <w:t>本研究將「無條件分類準確度」明確定義為：對全部測試樣本進行預測（不過濾、不拒絕），且不引入任何依測試特性或外部分布資訊調整最終預測類別的後處理步驟。在此嚴格定義下，零資料洩漏被確立為核心設計原則：測試集僅在所有訓練與超參數決策完成後執行唯一一次評估。圖 3.1 呈現 SACFFinalModel 的完整端對端架構。</w:t>
      </w:r>
    </w:p>
    <w:p>
      <w:pPr>
        <w:spacing w:before="160" w:after="40"/>
        <w:jc w:val="center"/>
      </w:pPr>
      <w:r>
        <w:drawing>
          <wp:inline xmlns:a="http://schemas.openxmlformats.org/drawingml/2006/main" xmlns:pic="http://schemas.openxmlformats.org/drawingml/2006/picture">
            <wp:extent cx="5852160" cy="4523756"/>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52160" cy="4523756"/>
                    </a:xfrm>
                    <a:prstGeom prst="rect"/>
                  </pic:spPr>
                </pic:pic>
              </a:graphicData>
            </a:graphic>
          </wp:inline>
        </w:drawing>
      </w:r>
    </w:p>
    <w:p>
      <w:pPr>
        <w:spacing w:after="200"/>
        <w:jc w:val="center"/>
      </w:pPr>
      <w:r>
        <w:rPr>
          <w:b/>
          <w:sz w:val="20"/>
        </w:rPr>
        <w:t xml:space="preserve">圖 3.1  </w:t>
      </w:r>
      <w:r>
        <w:rPr>
          <w:b/>
          <w:sz w:val="20"/>
        </w:rPr>
        <w:t>SACFFinalModel 整體架構</w:t>
      </w:r>
      <w:r>
        <w:rPr>
          <w:sz w:val="4"/>
        </w:rPr>
        <w:br/>
      </w:r>
      <w:r>
        <w:rPr>
          <w:i/>
          <w:sz w:val="19"/>
        </w:rPr>
        <w:t>從上至下：（i）三模態輸入；（ii）共享編碼層（DeBERTa-v3-large、Audio BiLSTM、Vision BiLSTM）；（iii）4 個並行分支，每個內含 PEA、SACF、共享投影、三任務頭；（iv）內部 mean-of-logits ensemble；（v）三個輸出（cls7、cls2、reg）。紫、粉、橙、青四色對應 4 個分支，使用不同 dropout 率（0.105 ~ 0.225）以提升內部多樣性。</w:t>
      </w:r>
    </w:p>
    <w:p>
      <w:pPr>
        <w:spacing w:before="280" w:after="120"/>
      </w:pPr>
      <w:r>
        <w:rPr>
          <w:b/>
          <w:sz w:val="32"/>
        </w:rPr>
        <w:t>3.2　資料集與前處理</w:t>
      </w:r>
    </w:p>
    <w:p>
      <w:pPr>
        <w:spacing w:before="160" w:after="120"/>
      </w:pPr>
      <w:r>
        <w:rPr>
          <w:b/>
          <w:sz w:val="26"/>
        </w:rPr>
        <w:t>3.2.1　CMU-MOSI 資料集</w:t>
      </w:r>
    </w:p>
    <w:p>
      <w:pPr>
        <w:spacing w:after="120" w:line="360" w:lineRule="auto"/>
        <w:ind w:firstLine="482"/>
      </w:pPr>
      <w:r>
        <w:rPr>
          <w:sz w:val="22"/>
        </w:rPr>
        <w:t>本研究使用 CMU-MOSI（CMU Multimodal Opinion Sentiment and Subjectivity）資料集，由 93 名 YouTube 評論者的影片片段組成，提供文字（逐字稿）、音訊聲學特徵與視覺面部特徵三種模態，並以連續情感強度分數（−3 至 +3）標注。本研究採用官方非對齊版本（unaligned_50），各樣本的三模態特徵序列長度不一致，更貼近真實應用場景。資料集劃分如表 3.1。</w:t>
      </w:r>
    </w:p>
    <w:p>
      <w:pPr>
        <w:spacing w:before="160" w:after="40"/>
        <w:jc w:val="center"/>
      </w:pPr>
      <w:r>
        <w:rPr>
          <w:b/>
          <w:sz w:val="21"/>
        </w:rPr>
        <w:t xml:space="preserve">表 3.1  </w:t>
      </w:r>
      <w:r>
        <w:rPr>
          <w:b/>
          <w:sz w:val="21"/>
        </w:rPr>
        <w:t>CMU-MOSI 資料集劃分</w:t>
      </w:r>
    </w:p>
    <w:tbl>
      <w:tblPr>
        <w:tblStyle w:val="LightGrid-Accent1"/>
        <w:tblW w:type="auto" w:w="0"/>
        <w:jc w:val="center"/>
        <w:tblLook w:firstColumn="1" w:firstRow="1" w:lastColumn="0" w:lastRow="0" w:noHBand="0" w:noVBand="1" w:val="04A0"/>
      </w:tblPr>
      <w:tblGrid>
        <w:gridCol w:w="3173"/>
        <w:gridCol w:w="3173"/>
        <w:gridCol w:w="3173"/>
      </w:tblGrid>
      <w:tr>
        <w:tc>
          <w:tcPr>
            <w:tcW w:type="dxa" w:w="2592"/>
            <w:vAlign w:val="center"/>
          </w:tcPr>
          <w:p>
            <w:pPr>
              <w:jc w:val="center"/>
            </w:pPr>
            <w:r/>
            <w:r>
              <w:rPr>
                <w:b/>
                <w:sz w:val="20"/>
              </w:rPr>
              <w:t>資料集劃分</w:t>
            </w:r>
          </w:p>
        </w:tc>
        <w:tc>
          <w:tcPr>
            <w:tcW w:type="dxa" w:w="1440"/>
            <w:vAlign w:val="center"/>
          </w:tcPr>
          <w:p>
            <w:pPr>
              <w:jc w:val="center"/>
            </w:pPr>
            <w:r/>
            <w:r>
              <w:rPr>
                <w:b/>
                <w:sz w:val="20"/>
              </w:rPr>
              <w:t>樣本數量</w:t>
            </w:r>
          </w:p>
        </w:tc>
        <w:tc>
          <w:tcPr>
            <w:tcW w:type="dxa" w:w="4608"/>
            <w:vAlign w:val="center"/>
          </w:tcPr>
          <w:p>
            <w:pPr>
              <w:jc w:val="center"/>
            </w:pPr>
            <w:r/>
            <w:r>
              <w:rPr>
                <w:b/>
                <w:sz w:val="20"/>
              </w:rPr>
              <w:t>用途說明</w:t>
            </w:r>
          </w:p>
        </w:tc>
      </w:tr>
      <w:tr>
        <w:tc>
          <w:tcPr>
            <w:tcW w:type="dxa" w:w="2592"/>
            <w:vAlign w:val="center"/>
          </w:tcPr>
          <w:p>
            <w:pPr>
              <w:jc w:val="center"/>
            </w:pPr>
            <w:r/>
            <w:r>
              <w:rPr>
                <w:sz w:val="19"/>
              </w:rPr>
              <w:t>訓練集（Train）</w:t>
            </w:r>
          </w:p>
        </w:tc>
        <w:tc>
          <w:tcPr>
            <w:tcW w:type="dxa" w:w="1440"/>
            <w:vAlign w:val="center"/>
          </w:tcPr>
          <w:p>
            <w:pPr>
              <w:jc w:val="center"/>
            </w:pPr>
            <w:r/>
            <w:r>
              <w:rPr>
                <w:sz w:val="19"/>
              </w:rPr>
              <w:t>1,284</w:t>
            </w:r>
          </w:p>
        </w:tc>
        <w:tc>
          <w:tcPr>
            <w:tcW w:type="dxa" w:w="4608"/>
            <w:vAlign w:val="center"/>
          </w:tcPr>
          <w:p>
            <w:pPr>
              <w:jc w:val="center"/>
            </w:pPr>
            <w:r/>
            <w:r>
              <w:rPr>
                <w:sz w:val="19"/>
              </w:rPr>
              <w:t>模型訓練，用於反向傳播</w:t>
            </w:r>
          </w:p>
        </w:tc>
      </w:tr>
      <w:tr>
        <w:tc>
          <w:tcPr>
            <w:tcW w:type="dxa" w:w="2592"/>
            <w:vAlign w:val="center"/>
          </w:tcPr>
          <w:p>
            <w:pPr>
              <w:jc w:val="center"/>
            </w:pPr>
            <w:r/>
            <w:r>
              <w:rPr>
                <w:sz w:val="19"/>
              </w:rPr>
              <w:t>驗證集（Valid）</w:t>
            </w:r>
          </w:p>
        </w:tc>
        <w:tc>
          <w:tcPr>
            <w:tcW w:type="dxa" w:w="1440"/>
            <w:vAlign w:val="center"/>
          </w:tcPr>
          <w:p>
            <w:pPr>
              <w:jc w:val="center"/>
            </w:pPr>
            <w:r/>
            <w:r>
              <w:rPr>
                <w:sz w:val="19"/>
              </w:rPr>
              <w:t>229</w:t>
            </w:r>
          </w:p>
        </w:tc>
        <w:tc>
          <w:tcPr>
            <w:tcW w:type="dxa" w:w="4608"/>
            <w:vAlign w:val="center"/>
          </w:tcPr>
          <w:p>
            <w:pPr>
              <w:jc w:val="center"/>
            </w:pPr>
            <w:r/>
            <w:r>
              <w:rPr>
                <w:sz w:val="19"/>
              </w:rPr>
              <w:t>超參數選擇，不參與最終反向傳播</w:t>
            </w:r>
          </w:p>
        </w:tc>
      </w:tr>
      <w:tr>
        <w:tc>
          <w:tcPr>
            <w:tcW w:type="dxa" w:w="2592"/>
            <w:vAlign w:val="center"/>
          </w:tcPr>
          <w:p>
            <w:pPr>
              <w:jc w:val="center"/>
            </w:pPr>
            <w:r/>
            <w:r>
              <w:rPr>
                <w:sz w:val="19"/>
              </w:rPr>
              <w:t>測試集（Test）</w:t>
            </w:r>
          </w:p>
        </w:tc>
        <w:tc>
          <w:tcPr>
            <w:tcW w:type="dxa" w:w="1440"/>
            <w:vAlign w:val="center"/>
          </w:tcPr>
          <w:p>
            <w:pPr>
              <w:jc w:val="center"/>
            </w:pPr>
            <w:r/>
            <w:r>
              <w:rPr>
                <w:sz w:val="19"/>
              </w:rPr>
              <w:t>686</w:t>
            </w:r>
          </w:p>
        </w:tc>
        <w:tc>
          <w:tcPr>
            <w:tcW w:type="dxa" w:w="4608"/>
            <w:vAlign w:val="center"/>
          </w:tcPr>
          <w:p>
            <w:pPr>
              <w:jc w:val="center"/>
            </w:pPr>
            <w:r/>
            <w:r>
              <w:rPr>
                <w:sz w:val="19"/>
              </w:rPr>
              <w:t>最終評估，僅執行一次（零資料洩漏）</w:t>
            </w:r>
          </w:p>
        </w:tc>
      </w:tr>
      <w:tr>
        <w:tc>
          <w:tcPr>
            <w:tcW w:type="dxa" w:w="2592"/>
            <w:vAlign w:val="center"/>
          </w:tcPr>
          <w:p>
            <w:pPr>
              <w:jc w:val="center"/>
            </w:pPr>
            <w:r/>
            <w:r>
              <w:rPr>
                <w:sz w:val="19"/>
              </w:rPr>
              <w:t>訓練驗證合併（TrainVal）</w:t>
            </w:r>
          </w:p>
        </w:tc>
        <w:tc>
          <w:tcPr>
            <w:tcW w:type="dxa" w:w="1440"/>
            <w:vAlign w:val="center"/>
          </w:tcPr>
          <w:p>
            <w:pPr>
              <w:jc w:val="center"/>
            </w:pPr>
            <w:r/>
            <w:r>
              <w:rPr>
                <w:sz w:val="19"/>
              </w:rPr>
              <w:t>1,513</w:t>
            </w:r>
          </w:p>
        </w:tc>
        <w:tc>
          <w:tcPr>
            <w:tcW w:type="dxa" w:w="4608"/>
            <w:vAlign w:val="center"/>
          </w:tcPr>
          <w:p>
            <w:pPr>
              <w:jc w:val="center"/>
            </w:pPr>
            <w:r/>
            <w:r>
              <w:rPr>
                <w:sz w:val="19"/>
              </w:rPr>
              <w:t>最終 SACFFinalModel 訓練時合併使用</w:t>
            </w:r>
          </w:p>
        </w:tc>
      </w:tr>
    </w:tbl>
    <w:p>
      <w:pPr>
        <w:spacing w:after="160"/>
      </w:pPr>
    </w:p>
    <w:p>
      <w:pPr>
        <w:spacing w:after="120" w:line="360" w:lineRule="auto"/>
        <w:ind w:firstLine="482"/>
      </w:pPr>
      <w:r>
        <w:rPr>
          <w:sz w:val="22"/>
        </w:rPr>
        <w:t>圖 3.8 呈現各劃分的七類情感分布。值得注意的是訓練集偏向中性與輕微正面情感，而測試集顯著偏向負面類別（−3 類別佔 6.7%、訓練集僅 1.9%）。此分布偏移是 MSA 的固有挑戰；本研究透過 SACFFinalModel 的多分支設計與 EMD 序數損失共同處理此差異。</w:t>
      </w:r>
    </w:p>
    <w:p>
      <w:pPr>
        <w:spacing w:before="160" w:after="40"/>
        <w:jc w:val="center"/>
      </w:pPr>
      <w:r>
        <w:drawing>
          <wp:inline xmlns:a="http://schemas.openxmlformats.org/drawingml/2006/main" xmlns:pic="http://schemas.openxmlformats.org/drawingml/2006/picture">
            <wp:extent cx="5852160" cy="2885674"/>
            <wp:docPr id="2" name="Picture 2"/>
            <wp:cNvGraphicFramePr>
              <a:graphicFrameLocks noChangeAspect="1"/>
            </wp:cNvGraphicFramePr>
            <a:graphic>
              <a:graphicData uri="http://schemas.openxmlformats.org/drawingml/2006/picture">
                <pic:pic>
                  <pic:nvPicPr>
                    <pic:cNvPr id="0" name="fig8_distribution.png"/>
                    <pic:cNvPicPr/>
                  </pic:nvPicPr>
                  <pic:blipFill>
                    <a:blip r:embed="rId10"/>
                    <a:stretch>
                      <a:fillRect/>
                    </a:stretch>
                  </pic:blipFill>
                  <pic:spPr>
                    <a:xfrm>
                      <a:off x="0" y="0"/>
                      <a:ext cx="5852160" cy="2885674"/>
                    </a:xfrm>
                    <a:prstGeom prst="rect"/>
                  </pic:spPr>
                </pic:pic>
              </a:graphicData>
            </a:graphic>
          </wp:inline>
        </w:drawing>
      </w:r>
    </w:p>
    <w:p>
      <w:pPr>
        <w:spacing w:after="200"/>
        <w:jc w:val="center"/>
      </w:pPr>
      <w:r>
        <w:rPr>
          <w:b/>
          <w:sz w:val="20"/>
        </w:rPr>
        <w:t xml:space="preserve">圖 3.8  </w:t>
      </w:r>
      <w:r>
        <w:rPr>
          <w:b/>
          <w:sz w:val="20"/>
        </w:rPr>
        <w:t>CMU-MOSI 各劃分的 7 類情感分布</w:t>
      </w:r>
      <w:r>
        <w:rPr>
          <w:sz w:val="4"/>
        </w:rPr>
        <w:br/>
      </w:r>
      <w:r>
        <w:rPr>
          <w:i/>
          <w:sz w:val="19"/>
        </w:rPr>
        <w:t>Train/Valid/Test 在 7 個類別上的比例分布。測試集明顯偏向負面端（−3 類佔 6.7%，遠高於訓練集 1.9%）。</w:t>
      </w:r>
    </w:p>
    <w:p>
      <w:pPr>
        <w:spacing w:before="160" w:after="120"/>
      </w:pPr>
      <w:r>
        <w:rPr>
          <w:b/>
          <w:sz w:val="26"/>
        </w:rPr>
        <w:t>3.2.2　標籤定義</w:t>
      </w:r>
    </w:p>
    <w:p>
      <w:pPr>
        <w:spacing w:after="120" w:line="360" w:lineRule="auto"/>
        <w:ind w:firstLine="482"/>
      </w:pPr>
      <w:r>
        <w:rPr>
          <w:sz w:val="22"/>
        </w:rPr>
        <w:t>本研究定義三種預測目標以實現多工聯合學習。（1）七分類標籤：y₇ = clip(round(s), −3, 3) + 3 ∈ {0, 1, 2, 3, 4, 5, 6}，為主要評估指標 Acc-7 的計算依據。（2）二分類標籤：當 s ≥ 0 為 1（正面），否則 0（負面），用於 Acc-2 與加權 F1。（3）回歸標籤：直接使用原始連續分數 s ∈ [−3, +3]，用於 MAE 與 Pearson 相關係數。</w:t>
      </w:r>
    </w:p>
    <w:p>
      <w:pPr>
        <w:spacing w:before="160" w:after="120"/>
      </w:pPr>
      <w:r>
        <w:rPr>
          <w:b/>
          <w:sz w:val="26"/>
        </w:rPr>
        <w:t>3.2.3　輸入前處理</w:t>
      </w:r>
    </w:p>
    <w:p>
      <w:pPr>
        <w:spacing w:after="120" w:line="360" w:lineRule="auto"/>
        <w:ind w:firstLine="482"/>
      </w:pPr>
      <w:r>
        <w:rPr>
          <w:sz w:val="22"/>
        </w:rPr>
        <w:t>文字前處理：每個語句加入任務導向提示詞前綴：「Predict the sentiment intensity (−3 to 3, negative to positive) of the following text: ⟨語句⟩」。經 DebertaV2Tokenizer 分詞後填補至 80 個詞元。音訊／視覺前處理：L2 正規化、NaN/Inf 異常值替換為零、記錄有效幀長度作為遮罩；BiLSTM 編碼器使用 pack_padded_sequence 處理可變長度序列，確保填補幀不參與計算。</w:t>
      </w:r>
    </w:p>
    <w:p>
      <w:pPr>
        <w:spacing w:before="280" w:after="120"/>
      </w:pPr>
      <w:r>
        <w:rPr>
          <w:b/>
          <w:sz w:val="32"/>
        </w:rPr>
        <w:t>3.3　模型架構</w:t>
      </w:r>
    </w:p>
    <w:p>
      <w:pPr>
        <w:spacing w:before="160" w:after="120"/>
      </w:pPr>
      <w:r>
        <w:rPr>
          <w:b/>
          <w:sz w:val="26"/>
        </w:rPr>
        <w:t>3.3.1　共享編碼層</w:t>
      </w:r>
    </w:p>
    <w:p>
      <w:pPr>
        <w:spacing w:after="120" w:line="360" w:lineRule="auto"/>
        <w:ind w:firstLine="482"/>
      </w:pPr>
      <w:r>
        <w:rPr>
          <w:sz w:val="22"/>
        </w:rPr>
        <w:t>共享編碼層處理三模態原始輸入，輸出供下游所有 4 個分支使用。選擇「共享」而非「每分支獨立」是因為這部分參數量大、計算昂貴；若每個分支建立獨立副本將使模型膨脹至 1.6 GB+ 且訓練時間倍增，且分散的梯度訊號反而稀釋表徵學習。</w:t>
      </w:r>
    </w:p>
    <w:p>
      <w:pPr>
        <w:spacing w:before="160" w:after="120"/>
      </w:pPr>
      <w:r>
        <w:rPr>
          <w:b/>
          <w:sz w:val="23"/>
        </w:rPr>
        <w:t>3.3.1.1　DeBERTa-v3-large 文字骨幹</w:t>
      </w:r>
    </w:p>
    <w:p>
      <w:pPr>
        <w:spacing w:after="120" w:line="360" w:lineRule="auto"/>
        <w:ind w:firstLine="482"/>
      </w:pPr>
      <w:r>
        <w:rPr>
          <w:sz w:val="22"/>
        </w:rPr>
        <w:t>本模型採用 microsoft/deberta-v3-large，~400M 參數的 24 層 Transformer，隱藏維度 d_lang = 1024。DeBERTa 的解耦注意力機制（disentangled attention）將內容與相對位置編碼分離計算，在情感分析這類需要細緻語義理解的任務上明顯優於同等規模的 BERT/RoBERTa。輸入經 tokenizer 處理後固定填補至 80 個詞元；輸出完整詞元隱藏狀態 H ∈ ℝ^(B × L × 1024)。</w:t>
      </w:r>
    </w:p>
    <w:p>
      <w:pPr>
        <w:spacing w:after="120" w:line="360" w:lineRule="auto"/>
        <w:ind w:firstLine="482"/>
      </w:pPr>
      <w:r>
        <w:rPr>
          <w:sz w:val="22"/>
        </w:rPr>
        <w:t>為平衡訓練穩定性與微調效果，採用「漸進式層解凍」：前 1/3 訓練輪次（Epoch 1–20）凍結下層 6 層（Layers 0–5），僅微調上層 18 層；Epoch 20 後解凍下層，以骨幹學習率的一半（2 × 10⁻⁶）繼續訓練，並透過自定義 LambdaLR 排程器將解凍層的學習率延續主排程的 cosine 衰減曲線。</w:t>
      </w:r>
    </w:p>
    <w:p>
      <w:pPr>
        <w:spacing w:before="160" w:after="120"/>
      </w:pPr>
      <w:r>
        <w:rPr>
          <w:b/>
          <w:sz w:val="23"/>
        </w:rPr>
        <w:t>3.3.1.2　Audio／Vision BiLSTM 模態編碼器</w:t>
      </w:r>
    </w:p>
    <w:p>
      <w:pPr>
        <w:spacing w:after="120" w:line="360" w:lineRule="auto"/>
        <w:ind w:firstLine="482"/>
      </w:pPr>
      <w:r>
        <w:rPr>
          <w:sz w:val="22"/>
        </w:rPr>
        <w:t>音訊模態（COVAREP 5 維特徵，最大 375 幀）與視覺模態（FACET 20 維特徵，最大 500 幀）分別由獨立的 2 層雙向 LSTM 編碼，每方向隱藏狀態 128 維，最後時間步雙向拼接後線性投影至 d_modal = 128 維。兩個模態編碼器在訓練時參數獨立（不共享 LSTM 權重），因為音訊與視覺特徵的時間動態差異很大。BiLSTM 層間使用 dropout（rate = 0.2）正則化。</w:t>
      </w:r>
    </w:p>
    <w:p>
      <w:pPr>
        <w:spacing w:before="160" w:after="120"/>
      </w:pPr>
      <w:r>
        <w:rPr>
          <w:b/>
          <w:sz w:val="26"/>
        </w:rPr>
        <w:t>3.3.2　4 個並行分支（核心創新）</w:t>
      </w:r>
    </w:p>
    <w:p>
      <w:pPr>
        <w:spacing w:after="120" w:line="360" w:lineRule="auto"/>
        <w:ind w:firstLine="482"/>
      </w:pPr>
      <w:r>
        <w:rPr>
          <w:sz w:val="22"/>
        </w:rPr>
        <w:t>本模型的核心創新在於將「多模型集成的多樣性」內建於模型架構。4 個分支共享上游編碼結果（H、x_a、x_v），但各自獨立進行下游融合與預測。每個分支由四個子模組組成：PEA、SACF、共享投影層、三個任務頭。為確保分支之間的多樣性，採用三項設計：</w:t>
      </w:r>
    </w:p>
    <w:p>
      <w:pPr>
        <w:spacing w:after="120" w:line="360" w:lineRule="auto"/>
        <w:ind w:firstLine="482"/>
      </w:pPr>
      <w:r>
        <w:rPr>
          <w:sz w:val="22"/>
        </w:rPr>
        <w:t>（1）不同的 Dropout 率：Branch 1 = 0.150，Branch 2 = 0.195，Branch 3 = 0.105，Branch 4 = 0.225。不同 dropout 率讓每個分支在訓練時看到不同的有效子網路，導致收斂到不同的解空間。（2）不同的隨機初始化：所有獨立模組（PEA、SACF、Proj、Heads）採用 PyTorch 預設的隨機初始化，每個分支從不同點開始；此外，cls7 head 額外加入了不同強度的隨機擾動（× 0.001 ×（i+1））加速差異化。（3）Per-branch 損失：每個分支獨立計算其 cls7/cls2/reg 損失，強迫每個分支獨立勝任所有任務（不能依賴其他分支），這是分支多樣性的關鍵保證。</w:t>
      </w:r>
    </w:p>
    <w:p>
      <w:pPr>
        <w:spacing w:before="160" w:after="120"/>
      </w:pPr>
      <w:r>
        <w:rPr>
          <w:b/>
          <w:sz w:val="23"/>
        </w:rPr>
        <w:t>3.3.2.1　極性增強注意力（PEA）</w:t>
      </w:r>
    </w:p>
    <w:p>
      <w:pPr>
        <w:spacing w:after="120" w:line="360" w:lineRule="auto"/>
        <w:ind w:firstLine="482"/>
      </w:pPr>
      <w:r>
        <w:rPr>
          <w:sz w:val="22"/>
        </w:rPr>
        <w:t>PEA 模組為每個詞元學習一個情感顯著性閘值 g_i = σ(W₂ · tanh(W₁ · h_i)) ∈ [0, 1]，其中 W₁ ∈ ℝ^(d/4 × d)、W₂ ∈ ℝ^(1 × d/4) 為可學習參數。閘值越高代表詞元對情感判斷越重要（如「精彩」、「糟糕」、「非常」、「完全」等情感詞）。句子表徵透過閘值加權池化計算：x_cls = Σᵢ mᵢ · (0.75 · h_i + 0.25 · h_i ⊙ g_i) / Σᵢ mᵢ，保留 75% 原始表徵以維持語義穩定性，注入 25% 閘值調製訊號讓情感詞元獲得加強。閘值向量 g 同時作為下游 SACF 模組的 Top-K 詞元選擇依據。本模型 4 個分支各有獨立的 PEA 參數（W₁、W₂、dropout 不同），自然會學到略不同的情感閘值分佈。</w:t>
      </w:r>
    </w:p>
    <w:p>
      <w:pPr>
        <w:spacing w:before="160" w:after="40"/>
        <w:jc w:val="center"/>
      </w:pPr>
      <w:r>
        <w:drawing>
          <wp:inline xmlns:a="http://schemas.openxmlformats.org/drawingml/2006/main" xmlns:pic="http://schemas.openxmlformats.org/drawingml/2006/picture">
            <wp:extent cx="5852160" cy="3158816"/>
            <wp:docPr id="3" name="Picture 3"/>
            <wp:cNvGraphicFramePr>
              <a:graphicFrameLocks noChangeAspect="1"/>
            </wp:cNvGraphicFramePr>
            <a:graphic>
              <a:graphicData uri="http://schemas.openxmlformats.org/drawingml/2006/picture">
                <pic:pic>
                  <pic:nvPicPr>
                    <pic:cNvPr id="0" name="fig2_pea.png"/>
                    <pic:cNvPicPr/>
                  </pic:nvPicPr>
                  <pic:blipFill>
                    <a:blip r:embed="rId11"/>
                    <a:stretch>
                      <a:fillRect/>
                    </a:stretch>
                  </pic:blipFill>
                  <pic:spPr>
                    <a:xfrm>
                      <a:off x="0" y="0"/>
                      <a:ext cx="5852160" cy="3158816"/>
                    </a:xfrm>
                    <a:prstGeom prst="rect"/>
                  </pic:spPr>
                </pic:pic>
              </a:graphicData>
            </a:graphic>
          </wp:inline>
        </w:drawing>
      </w:r>
    </w:p>
    <w:p>
      <w:pPr>
        <w:spacing w:after="200"/>
        <w:jc w:val="center"/>
      </w:pPr>
      <w:r>
        <w:rPr>
          <w:b/>
          <w:sz w:val="20"/>
        </w:rPr>
        <w:t xml:space="preserve">圖 3.2  </w:t>
      </w:r>
      <w:r>
        <w:rPr>
          <w:b/>
          <w:sz w:val="20"/>
        </w:rPr>
        <w:t>極性增強注意力（PEA）模組詳細示意</w:t>
      </w:r>
      <w:r>
        <w:rPr>
          <w:sz w:val="4"/>
        </w:rPr>
        <w:br/>
      </w:r>
      <w:r>
        <w:rPr>
          <w:i/>
          <w:sz w:val="19"/>
        </w:rPr>
        <w:t>PEA 為每個 DeBERTa 詞元計算情感顯著性閘值 g_i ∈ [0, 1]：「amazing」（高 g）、「the」（低 g）。加權池化公式 x_cls = 0.75 h + 0.25 h ⊙ g 確保情感關鍵詞元的表達被強化。</w:t>
      </w:r>
    </w:p>
    <w:p>
      <w:pPr>
        <w:spacing w:before="160" w:after="120"/>
      </w:pPr>
      <w:r>
        <w:rPr>
          <w:b/>
          <w:sz w:val="23"/>
        </w:rPr>
        <w:t>3.3.2.2　情感感知跨模態注意力（SACF）</w:t>
      </w:r>
    </w:p>
    <w:p>
      <w:pPr>
        <w:spacing w:after="120" w:line="360" w:lineRule="auto"/>
        <w:ind w:firstLine="482"/>
      </w:pPr>
      <w:r>
        <w:rPr>
          <w:sz w:val="22"/>
        </w:rPr>
        <w:t>SACF 是本研究的核心創新模組，負責將語言訊號與音訊／視覺進行跨模態融合。傳統做法直接以 [CLS] 表徵作為固定查詢向量，但這混合了句子的全域語義，未能聚焦於情感相關內容。SACF 改以「情感感知查詢」取代 [CLS]，分四步驟完成融合（圖 3.3）：</w:t>
      </w:r>
    </w:p>
    <w:p>
      <w:pPr>
        <w:spacing w:after="120" w:line="360" w:lineRule="auto"/>
        <w:ind w:firstLine="482"/>
      </w:pPr>
      <w:r>
        <w:rPr>
          <w:sz w:val="22"/>
        </w:rPr>
        <w:t>步驟 1（Top-K 詞元選擇）：根據 PEA 閘值取出前 K = 5 個情感顯著詞元，提取 H_topk ∈ ℝ^(B × 5 × 1024)。步驟 2（情感查詢構建）：對 H_topk 計算注意力加權平均，生成 q_sa = Σ_k softmax(W_attn · H_topk)_k · H_topk,k ∈ ℝ^(B × 1024)。步驟 3（縮放點積跨模態注意力）：以 q_sa 為查詢，音訊與視覺投影後拼接為 KV = [W_a · x_a ; W_v · x_v] ∈ ℝ^(B × 2 × 1024)，計算 x̂ = softmax(q_sa · KV^T / √d) · KV。步驟 4（閘值殘差融合）：z = FFN(x_cls + x̂)；g_w = σ(W_g · [x_cls ; z])；輸出 f = LayerNorm(x_cls + Dropout(g_w ⊙ z)) ∈ ℝ^(B × 1024)。</w:t>
      </w:r>
    </w:p>
    <w:p>
      <w:pPr>
        <w:spacing w:after="120" w:line="360" w:lineRule="auto"/>
        <w:ind w:firstLine="482"/>
      </w:pPr>
      <w:r>
        <w:rPr>
          <w:sz w:val="22"/>
        </w:rPr>
        <w:t>4 個分支的 SACF 模組擁有完全獨立的參數（audio_map、vision_map、token_attn、ffn、gate、norm），在跨模態融合的細節上呈現不同的注意力分佈，這是內部 ensemble 增益的主要來源。</w:t>
      </w:r>
    </w:p>
    <w:p>
      <w:pPr>
        <w:spacing w:before="160" w:after="40"/>
        <w:jc w:val="center"/>
      </w:pPr>
      <w:r>
        <w:drawing>
          <wp:inline xmlns:a="http://schemas.openxmlformats.org/drawingml/2006/main" xmlns:pic="http://schemas.openxmlformats.org/drawingml/2006/picture">
            <wp:extent cx="5852160" cy="3591745"/>
            <wp:docPr id="4" name="Picture 4"/>
            <wp:cNvGraphicFramePr>
              <a:graphicFrameLocks noChangeAspect="1"/>
            </wp:cNvGraphicFramePr>
            <a:graphic>
              <a:graphicData uri="http://schemas.openxmlformats.org/drawingml/2006/picture">
                <pic:pic>
                  <pic:nvPicPr>
                    <pic:cNvPr id="0" name="fig3_sacf.png"/>
                    <pic:cNvPicPr/>
                  </pic:nvPicPr>
                  <pic:blipFill>
                    <a:blip r:embed="rId12"/>
                    <a:stretch>
                      <a:fillRect/>
                    </a:stretch>
                  </pic:blipFill>
                  <pic:spPr>
                    <a:xfrm>
                      <a:off x="0" y="0"/>
                      <a:ext cx="5852160" cy="3591745"/>
                    </a:xfrm>
                    <a:prstGeom prst="rect"/>
                  </pic:spPr>
                </pic:pic>
              </a:graphicData>
            </a:graphic>
          </wp:inline>
        </w:drawing>
      </w:r>
    </w:p>
    <w:p>
      <w:pPr>
        <w:spacing w:after="200"/>
        <w:jc w:val="center"/>
      </w:pPr>
      <w:r>
        <w:rPr>
          <w:b/>
          <w:sz w:val="20"/>
        </w:rPr>
        <w:t xml:space="preserve">圖 3.3  </w:t>
      </w:r>
      <w:r>
        <w:rPr>
          <w:b/>
          <w:sz w:val="20"/>
        </w:rPr>
        <w:t>情感感知跨模態注意力（SACF）四步驟計算流程</w:t>
      </w:r>
      <w:r>
        <w:rPr>
          <w:sz w:val="4"/>
        </w:rPr>
        <w:br/>
      </w:r>
      <w:r>
        <w:rPr>
          <w:i/>
          <w:sz w:val="19"/>
        </w:rPr>
        <w:t>步驟 1：從 PEA 閘值中選出 K=5 個情感顯著詞元；步驟 2：構建情感查詢 q_sa；步驟 3：以 q_sa 為查詢、音訊／視覺為鍵值對進行跨模態注意力；步驟 4：閘值控制殘差融合並 LayerNorm 輸出 f。</w:t>
      </w:r>
    </w:p>
    <w:p>
      <w:pPr>
        <w:spacing w:before="160" w:after="120"/>
      </w:pPr>
      <w:r>
        <w:rPr>
          <w:b/>
          <w:sz w:val="23"/>
        </w:rPr>
        <w:t>3.3.2.3　共享投影層與多工預測頭</w:t>
      </w:r>
    </w:p>
    <w:p>
      <w:pPr>
        <w:spacing w:after="120" w:line="360" w:lineRule="auto"/>
        <w:ind w:firstLine="482"/>
      </w:pPr>
      <w:r>
        <w:rPr>
          <w:sz w:val="22"/>
        </w:rPr>
        <w:t>融合表徵 f ∈ ℝ^(B × 1024) 通過共享投影模組壓縮：Linear(1024 → 512) → LayerNorm → GELU → Dropout(per-branch)，輸出 e ∈ ℝ^(B × 512)。「共享投影」的「共享」指同一分支內三個任務頭共用此 e，並非跨分支共享參數。三個任務頭從 e 分支出去：（i）cls7 頭 Linear(512 → 7) 輸出 7 類情感 logits；（ii）cls2 頭 Linear(512 → 2) 輸出正負面 logits；（iii）reg 頭兩層 MLP + Tanh × 3，輸出限制在 [−3, +3] 範圍的連續強度。多任務聯合學習能讓模型同時學習離散分類與連續強度，互相監督下提升表徵品質。</w:t>
      </w:r>
    </w:p>
    <w:p>
      <w:pPr>
        <w:spacing w:before="160" w:after="120"/>
      </w:pPr>
      <w:r>
        <w:rPr>
          <w:b/>
          <w:sz w:val="26"/>
        </w:rPr>
        <w:t>3.3.3　內部集成（Internal Ensemble）</w:t>
      </w:r>
    </w:p>
    <w:p>
      <w:pPr>
        <w:spacing w:after="120" w:line="360" w:lineRule="auto"/>
        <w:ind w:firstLine="482"/>
      </w:pPr>
      <w:r>
        <w:rPr>
          <w:sz w:val="22"/>
        </w:rPr>
        <w:t>推斷時，4 個分支的輸出在模型內部進行算術平均：cls7_logits = (l7₁ + l7₂ + l7₃ + l7₄) / 4，cls2 與 reg 同樣方式平均。最終預測 ŷ = argmax(cls7_logits)，無任何後處理校正項。這個過程整合在模型 forward() 內部，使外部呼叫者完全不需要知道內部有 4 個分支。對外是「一個」模型；對內是「4 個並行專家」 + 集成邏輯。</w:t>
      </w:r>
    </w:p>
    <w:p>
      <w:pPr>
        <w:spacing w:before="280" w:after="120"/>
      </w:pPr>
      <w:r>
        <w:rPr>
          <w:b/>
          <w:sz w:val="32"/>
        </w:rPr>
        <w:t>3.4　訓練策略</w:t>
      </w:r>
    </w:p>
    <w:p>
      <w:pPr>
        <w:spacing w:after="120" w:line="360" w:lineRule="auto"/>
        <w:ind w:firstLine="482"/>
      </w:pPr>
      <w:r>
        <w:rPr>
          <w:sz w:val="22"/>
        </w:rPr>
        <w:t>本研究採用多項互補的訓練技術，在零資料洩漏前提下最大化 SACFFinalModel 效能。整體訓練流程分為三個階段：漸進式層解凍（Epoch 1–20）、全模型微調（Epoch 20–60）、以及隨機權重平均視窗（Epoch 42–60）。訓練全程維護 EMA 影子模型作為最終推斷的基礎，圖 3.4 概覽完整訓練時間軸。</w:t>
      </w:r>
    </w:p>
    <w:p>
      <w:pPr>
        <w:spacing w:before="160" w:after="40"/>
        <w:jc w:val="center"/>
      </w:pPr>
      <w:r>
        <w:drawing>
          <wp:inline xmlns:a="http://schemas.openxmlformats.org/drawingml/2006/main" xmlns:pic="http://schemas.openxmlformats.org/drawingml/2006/picture">
            <wp:extent cx="5852160" cy="2507726"/>
            <wp:docPr id="5" name="Picture 5"/>
            <wp:cNvGraphicFramePr>
              <a:graphicFrameLocks noChangeAspect="1"/>
            </wp:cNvGraphicFramePr>
            <a:graphic>
              <a:graphicData uri="http://schemas.openxmlformats.org/drawingml/2006/picture">
                <pic:pic>
                  <pic:nvPicPr>
                    <pic:cNvPr id="0" name="fig4_training.png"/>
                    <pic:cNvPicPr/>
                  </pic:nvPicPr>
                  <pic:blipFill>
                    <a:blip r:embed="rId13"/>
                    <a:stretch>
                      <a:fillRect/>
                    </a:stretch>
                  </pic:blipFill>
                  <pic:spPr>
                    <a:xfrm>
                      <a:off x="0" y="0"/>
                      <a:ext cx="5852160" cy="2507726"/>
                    </a:xfrm>
                    <a:prstGeom prst="rect"/>
                  </pic:spPr>
                </pic:pic>
              </a:graphicData>
            </a:graphic>
          </wp:inline>
        </w:drawing>
      </w:r>
    </w:p>
    <w:p>
      <w:pPr>
        <w:spacing w:after="200"/>
        <w:jc w:val="center"/>
      </w:pPr>
      <w:r>
        <w:rPr>
          <w:b/>
          <w:sz w:val="20"/>
        </w:rPr>
        <w:t xml:space="preserve">圖 3.4  </w:t>
      </w:r>
      <w:r>
        <w:rPr>
          <w:b/>
          <w:sz w:val="20"/>
        </w:rPr>
        <w:t>SACFFinalModel 訓練策略全景</w:t>
      </w:r>
      <w:r>
        <w:rPr>
          <w:sz w:val="4"/>
        </w:rPr>
        <w:br/>
      </w:r>
      <w:r>
        <w:rPr>
          <w:i/>
          <w:sz w:val="19"/>
        </w:rPr>
        <w:t>左：訓練時間軸與學習率排程，含 Phase 1（凍結下層）、Phase 2（全模型）、SWA 視窗。右：訓練 → EMA → SWA → TTA → 內部 ensemble → 單一 sacf_final.pt 的完整流程。</w:t>
      </w:r>
    </w:p>
    <w:p>
      <w:pPr>
        <w:spacing w:before="160" w:after="120"/>
      </w:pPr>
      <w:r>
        <w:rPr>
          <w:b/>
          <w:sz w:val="26"/>
        </w:rPr>
        <w:t>3.4.1　漸進式層解凍與差分學習率</w:t>
      </w:r>
    </w:p>
    <w:p>
      <w:pPr>
        <w:spacing w:after="120" w:line="360" w:lineRule="auto"/>
        <w:ind w:firstLine="482"/>
      </w:pPr>
      <w:r>
        <w:rPr>
          <w:sz w:val="22"/>
        </w:rPr>
        <w:t>前 1/3 輪次（Epoch 1–20）凍結 DeBERTa 下層 6 層，僅微調上層 18 層、模態編碼器、4 個分支模組與預測頭，使任務相關高層語義先行收斂，避免隨機初始化的任務模組對底層特徵造成不可逆破壞。Epoch 20 解凍下層，以主幹學習率一半（2 × 10⁻⁶）重新接入訓練。差分學習率設計：DeBERTa 上層 4 × 10⁻⁶（保護預訓練特徵）、解凍下層 2 × 10⁻⁶、其他模組（4 分支 + 模態編碼器）8 × 10⁻⁵（隨機初始化需快速收斂）。</w:t>
      </w:r>
    </w:p>
    <w:p>
      <w:pPr>
        <w:spacing w:before="160" w:after="40"/>
        <w:jc w:val="center"/>
      </w:pPr>
      <w:r>
        <w:rPr>
          <w:b/>
          <w:sz w:val="21"/>
        </w:rPr>
        <w:t xml:space="preserve">表 3.2  </w:t>
      </w:r>
      <w:r>
        <w:rPr>
          <w:b/>
          <w:sz w:val="21"/>
        </w:rPr>
        <w:t>差分學習率設計</w:t>
      </w:r>
    </w:p>
    <w:tbl>
      <w:tblPr>
        <w:tblStyle w:val="LightGrid-Accent1"/>
        <w:tblW w:type="auto" w:w="0"/>
        <w:jc w:val="center"/>
        <w:tblLook w:firstColumn="1" w:firstRow="1" w:lastColumn="0" w:lastRow="0" w:noHBand="0" w:noVBand="1" w:val="04A0"/>
      </w:tblPr>
      <w:tblGrid>
        <w:gridCol w:w="3173"/>
        <w:gridCol w:w="3173"/>
        <w:gridCol w:w="3173"/>
      </w:tblGrid>
      <w:tr>
        <w:tc>
          <w:tcPr>
            <w:tcW w:type="dxa" w:w="4320"/>
            <w:vAlign w:val="center"/>
          </w:tcPr>
          <w:p>
            <w:pPr>
              <w:jc w:val="center"/>
            </w:pPr>
            <w:r/>
            <w:r>
              <w:rPr>
                <w:b/>
                <w:sz w:val="20"/>
              </w:rPr>
              <w:t>參數群組</w:t>
            </w:r>
          </w:p>
        </w:tc>
        <w:tc>
          <w:tcPr>
            <w:tcW w:type="dxa" w:w="1440"/>
            <w:vAlign w:val="center"/>
          </w:tcPr>
          <w:p>
            <w:pPr>
              <w:jc w:val="center"/>
            </w:pPr>
            <w:r/>
            <w:r>
              <w:rPr>
                <w:b/>
                <w:sz w:val="20"/>
              </w:rPr>
              <w:t>學習率</w:t>
            </w:r>
          </w:p>
        </w:tc>
        <w:tc>
          <w:tcPr>
            <w:tcW w:type="dxa" w:w="2880"/>
            <w:vAlign w:val="center"/>
          </w:tcPr>
          <w:p>
            <w:pPr>
              <w:jc w:val="center"/>
            </w:pPr>
            <w:r/>
            <w:r>
              <w:rPr>
                <w:b/>
                <w:sz w:val="20"/>
              </w:rPr>
              <w:t>設計理由</w:t>
            </w:r>
          </w:p>
        </w:tc>
      </w:tr>
      <w:tr>
        <w:tc>
          <w:tcPr>
            <w:tcW w:type="dxa" w:w="4320"/>
            <w:vAlign w:val="center"/>
          </w:tcPr>
          <w:p>
            <w:pPr>
              <w:jc w:val="center"/>
            </w:pPr>
            <w:r/>
            <w:r>
              <w:rPr>
                <w:sz w:val="19"/>
              </w:rPr>
              <w:t>DeBERTa 上層（第 6–23 層）</w:t>
            </w:r>
          </w:p>
        </w:tc>
        <w:tc>
          <w:tcPr>
            <w:tcW w:type="dxa" w:w="1440"/>
            <w:vAlign w:val="center"/>
          </w:tcPr>
          <w:p>
            <w:pPr>
              <w:jc w:val="center"/>
            </w:pPr>
            <w:r/>
            <w:r>
              <w:rPr>
                <w:sz w:val="19"/>
              </w:rPr>
              <w:t>4 × 10⁻⁶</w:t>
            </w:r>
          </w:p>
        </w:tc>
        <w:tc>
          <w:tcPr>
            <w:tcW w:type="dxa" w:w="2880"/>
            <w:vAlign w:val="center"/>
          </w:tcPr>
          <w:p>
            <w:pPr>
              <w:jc w:val="center"/>
            </w:pPr>
            <w:r/>
            <w:r>
              <w:rPr>
                <w:sz w:val="19"/>
              </w:rPr>
              <w:t>微調預訓練語義表徵</w:t>
            </w:r>
          </w:p>
        </w:tc>
      </w:tr>
      <w:tr>
        <w:tc>
          <w:tcPr>
            <w:tcW w:type="dxa" w:w="4320"/>
            <w:vAlign w:val="center"/>
          </w:tcPr>
          <w:p>
            <w:pPr>
              <w:jc w:val="center"/>
            </w:pPr>
            <w:r/>
            <w:r>
              <w:rPr>
                <w:sz w:val="19"/>
              </w:rPr>
              <w:t>DeBERTa 下層（第 0–5 層，Epoch 20 後）</w:t>
            </w:r>
          </w:p>
        </w:tc>
        <w:tc>
          <w:tcPr>
            <w:tcW w:type="dxa" w:w="1440"/>
            <w:vAlign w:val="center"/>
          </w:tcPr>
          <w:p>
            <w:pPr>
              <w:jc w:val="center"/>
            </w:pPr>
            <w:r/>
            <w:r>
              <w:rPr>
                <w:sz w:val="19"/>
              </w:rPr>
              <w:t>2 × 10⁻⁶</w:t>
            </w:r>
          </w:p>
        </w:tc>
        <w:tc>
          <w:tcPr>
            <w:tcW w:type="dxa" w:w="2880"/>
            <w:vAlign w:val="center"/>
          </w:tcPr>
          <w:p>
            <w:pPr>
              <w:jc w:val="center"/>
            </w:pPr>
            <w:r/>
            <w:r>
              <w:rPr>
                <w:sz w:val="19"/>
              </w:rPr>
              <w:t>保護底層語言特徵防遺忘</w:t>
            </w:r>
          </w:p>
        </w:tc>
      </w:tr>
      <w:tr>
        <w:tc>
          <w:tcPr>
            <w:tcW w:type="dxa" w:w="4320"/>
            <w:vAlign w:val="center"/>
          </w:tcPr>
          <w:p>
            <w:pPr>
              <w:jc w:val="center"/>
            </w:pPr>
            <w:r/>
            <w:r>
              <w:rPr>
                <w:sz w:val="19"/>
              </w:rPr>
              <w:t>BiLSTM + 4 × (PEA, SACF, Proj, Heads)</w:t>
            </w:r>
          </w:p>
        </w:tc>
        <w:tc>
          <w:tcPr>
            <w:tcW w:type="dxa" w:w="1440"/>
            <w:vAlign w:val="center"/>
          </w:tcPr>
          <w:p>
            <w:pPr>
              <w:jc w:val="center"/>
            </w:pPr>
            <w:r/>
            <w:r>
              <w:rPr>
                <w:sz w:val="19"/>
              </w:rPr>
              <w:t>8 × 10⁻⁵</w:t>
            </w:r>
          </w:p>
        </w:tc>
        <w:tc>
          <w:tcPr>
            <w:tcW w:type="dxa" w:w="2880"/>
            <w:vAlign w:val="center"/>
          </w:tcPr>
          <w:p>
            <w:pPr>
              <w:jc w:val="center"/>
            </w:pPr>
            <w:r/>
            <w:r>
              <w:rPr>
                <w:sz w:val="19"/>
              </w:rPr>
              <w:t>隨機初始化模組需快速適應</w:t>
            </w:r>
          </w:p>
        </w:tc>
      </w:tr>
    </w:tbl>
    <w:p>
      <w:pPr>
        <w:spacing w:after="160"/>
      </w:pPr>
    </w:p>
    <w:p>
      <w:pPr>
        <w:spacing w:before="160" w:after="120"/>
      </w:pPr>
      <w:r>
        <w:rPr>
          <w:b/>
          <w:sz w:val="26"/>
        </w:rPr>
        <w:t>3.4.2　多分支聯合損失設計</w:t>
      </w:r>
    </w:p>
    <w:p>
      <w:pPr>
        <w:spacing w:after="120" w:line="360" w:lineRule="auto"/>
        <w:ind w:firstLine="482"/>
      </w:pPr>
      <w:r>
        <w:rPr>
          <w:sz w:val="22"/>
        </w:rPr>
        <w:t>SACFFinalModel 的訓練損失由四個組件構成（圖 3.5）：L_total = 0.5 · L_mean + 0.5 · L_per_branch + 0.01 · L_diversity + 0.05 · L_R-Drop。這個複合損失同時優化「分支獨立勝任」、「集成輸出最佳」、「分支多樣化」、「預測穩健性」四個目標。</w:t>
      </w:r>
    </w:p>
    <w:p>
      <w:pPr>
        <w:spacing w:before="160" w:after="40"/>
        <w:jc w:val="center"/>
      </w:pPr>
      <w:r>
        <w:drawing>
          <wp:inline xmlns:a="http://schemas.openxmlformats.org/drawingml/2006/main" xmlns:pic="http://schemas.openxmlformats.org/drawingml/2006/picture">
            <wp:extent cx="5852160" cy="2135309"/>
            <wp:docPr id="6" name="Picture 6"/>
            <wp:cNvGraphicFramePr>
              <a:graphicFrameLocks noChangeAspect="1"/>
            </wp:cNvGraphicFramePr>
            <a:graphic>
              <a:graphicData uri="http://schemas.openxmlformats.org/drawingml/2006/picture">
                <pic:pic>
                  <pic:nvPicPr>
                    <pic:cNvPr id="0" name="fig5_loss.png"/>
                    <pic:cNvPicPr/>
                  </pic:nvPicPr>
                  <pic:blipFill>
                    <a:blip r:embed="rId14"/>
                    <a:stretch>
                      <a:fillRect/>
                    </a:stretch>
                  </pic:blipFill>
                  <pic:spPr>
                    <a:xfrm>
                      <a:off x="0" y="0"/>
                      <a:ext cx="5852160" cy="2135309"/>
                    </a:xfrm>
                    <a:prstGeom prst="rect"/>
                  </pic:spPr>
                </pic:pic>
              </a:graphicData>
            </a:graphic>
          </wp:inline>
        </w:drawing>
      </w:r>
    </w:p>
    <w:p>
      <w:pPr>
        <w:spacing w:after="200"/>
        <w:jc w:val="center"/>
      </w:pPr>
      <w:r>
        <w:rPr>
          <w:b/>
          <w:sz w:val="20"/>
        </w:rPr>
        <w:t xml:space="preserve">圖 3.5  </w:t>
      </w:r>
      <w:r>
        <w:rPr>
          <w:b/>
          <w:sz w:val="20"/>
        </w:rPr>
        <w:t>SACFFinalModel 多分支損失函數設計</w:t>
      </w:r>
      <w:r>
        <w:rPr>
          <w:sz w:val="4"/>
        </w:rPr>
        <w:br/>
      </w:r>
      <w:r>
        <w:rPr>
          <w:i/>
          <w:sz w:val="19"/>
        </w:rPr>
        <w:t>左：兩主損失 50/50 配比（L_per_branch 與 L_mean）。中：四項損失的相對權重。右：EMD 序數懲罰矩陣，對角線為 0、跨距遠（-3↔+3）懲罰最大。</w:t>
      </w:r>
    </w:p>
    <w:p>
      <w:pPr>
        <w:spacing w:after="120" w:line="360" w:lineRule="auto"/>
        <w:ind w:firstLine="482"/>
      </w:pPr>
      <w:r>
        <w:rPr>
          <w:sz w:val="22"/>
        </w:rPr>
        <w:t>（1）L_per_branch：對每個分支 i = 1..4 獨立計算 L_branch_i = 0.75 · Focal(l7_i, y₇) + 0.25 · EMD(l7_i, y₇) + 0.3 · CE(l2_i, y₂) + 0.4 · SmoothL1(reg_i, y_reg)，再對 4 分支取平均。此項強迫每個分支自身就是個能勝任全部任務的好預測器，避免「退化」為僅學習部分樣本。Focal Loss 配置 γ = 2.0、類別平衡權重 [0.5, 3.0]、標籤平滑 ε = 0.05；Ordinal EMD Loss 將「跨距遠的誤判」（如 +3 預測為 −3）懲罰提升至最大，更符合情感強度的連續性本質。</w:t>
      </w:r>
    </w:p>
    <w:p>
      <w:pPr>
        <w:spacing w:after="120" w:line="360" w:lineRule="auto"/>
        <w:ind w:firstLine="482"/>
      </w:pPr>
      <w:r>
        <w:rPr>
          <w:sz w:val="22"/>
        </w:rPr>
        <w:t>（2）L_mean：對 4 分支「先平均再算損失」，計算 l7_mean = (l7₁ + l7₂ + l7₃ + l7₄) / 4，再以 0.75 · Focal + 0.25 · EMD 等對 mean 套用。此項是「集成輸出本身」被直接優化的關鍵——讓 4 分支「合作」最大化集成預測正確性，而不只是各自為政。（3）L_diversity：用「分支間 cosine similarity 平均」作為輕度懲罰：L_div = (1 / C(4, 2)) · Σ_{i&lt;j} cos(l7_i, l7_j)，權重 0.01。若沒有此懲罰，4 個分支可能逐漸收斂到相同的函數使集成失去意義。（4）L_R-Drop：對同一 batch 跑兩次 forward（不同 dropout 遮罩），計算對稱 KL 散度作為一致性懲罰，權重 0.05。</w:t>
      </w:r>
    </w:p>
    <w:p>
      <w:pPr>
        <w:spacing w:before="160" w:after="120"/>
      </w:pPr>
      <w:r>
        <w:rPr>
          <w:b/>
          <w:sz w:val="26"/>
        </w:rPr>
        <w:t>3.4.3　EMA 與 SWA</w:t>
      </w:r>
    </w:p>
    <w:p>
      <w:pPr>
        <w:spacing w:after="120" w:line="360" w:lineRule="auto"/>
        <w:ind w:firstLine="482"/>
      </w:pPr>
      <w:r>
        <w:rPr>
          <w:sz w:val="22"/>
        </w:rPr>
        <w:t>指數移動平均（EMA, μ = 0.9995）與隨機權重平均（SWA）共同作為兩層參數平滑機制。EMA 在訓練全程維護影子模型，每步更新 θ_shadow ← μ · θ_shadow + (1 − μ) · θ；SWA 從 Epoch 42 起每 2 個 epoch 收集一次 EMA 影子模型快照（共 10 個快照）。訓練結束後，10 個快照進行算術平均得到最終的 SACFFinalModel 參數：θ_SWA = (1 / 10) · Σ_t θ_EMA^(t)。SWA 模型佔據比任何單一 checkpoint 更平坦的損失盆地，泛化能力顯著優於尖銳極值。</w:t>
      </w:r>
    </w:p>
    <w:p>
      <w:pPr>
        <w:spacing w:before="280" w:after="120"/>
      </w:pPr>
      <w:r>
        <w:rPr>
          <w:b/>
          <w:sz w:val="32"/>
        </w:rPr>
        <w:t>3.5　推斷流程</w:t>
      </w:r>
    </w:p>
    <w:p>
      <w:pPr>
        <w:spacing w:after="120" w:line="360" w:lineRule="auto"/>
        <w:ind w:firstLine="482"/>
      </w:pPr>
      <w:r>
        <w:rPr>
          <w:sz w:val="22"/>
        </w:rPr>
        <w:t>在嚴格零資料洩漏與無條件分類準確度的雙重約束下，SACFFinalModel 的推斷流程僅包含對全部樣本一視同仁的測試時間增強（TTA）：不過濾任何測試樣本、不依據測試集任何資訊調整參數，最終以 raw argmax 取得類別預測（無任何 logit 校正）。圖 3.6 呈現完整推斷流程。</w:t>
      </w:r>
    </w:p>
    <w:p>
      <w:pPr>
        <w:spacing w:before="160" w:after="40"/>
        <w:jc w:val="center"/>
      </w:pPr>
      <w:r>
        <w:drawing>
          <wp:inline xmlns:a="http://schemas.openxmlformats.org/drawingml/2006/main" xmlns:pic="http://schemas.openxmlformats.org/drawingml/2006/picture">
            <wp:extent cx="5852160" cy="3186261"/>
            <wp:docPr id="7" name="Picture 7"/>
            <wp:cNvGraphicFramePr>
              <a:graphicFrameLocks noChangeAspect="1"/>
            </wp:cNvGraphicFramePr>
            <a:graphic>
              <a:graphicData uri="http://schemas.openxmlformats.org/drawingml/2006/picture">
                <pic:pic>
                  <pic:nvPicPr>
                    <pic:cNvPr id="0" name="fig6_inference.png"/>
                    <pic:cNvPicPr/>
                  </pic:nvPicPr>
                  <pic:blipFill>
                    <a:blip r:embed="rId15"/>
                    <a:stretch>
                      <a:fillRect/>
                    </a:stretch>
                  </pic:blipFill>
                  <pic:spPr>
                    <a:xfrm>
                      <a:off x="0" y="0"/>
                      <a:ext cx="5852160" cy="3186261"/>
                    </a:xfrm>
                    <a:prstGeom prst="rect"/>
                  </pic:spPr>
                </pic:pic>
              </a:graphicData>
            </a:graphic>
          </wp:inline>
        </w:drawing>
      </w:r>
    </w:p>
    <w:p>
      <w:pPr>
        <w:spacing w:after="200"/>
        <w:jc w:val="center"/>
      </w:pPr>
      <w:r>
        <w:rPr>
          <w:b/>
          <w:sz w:val="20"/>
        </w:rPr>
        <w:t xml:space="preserve">圖 3.6  </w:t>
      </w:r>
      <w:r>
        <w:rPr>
          <w:b/>
          <w:sz w:val="20"/>
        </w:rPr>
        <w:t>SACFFinalModel 推斷流程（單一 forward，無後處理）</w:t>
      </w:r>
      <w:r>
        <w:rPr>
          <w:sz w:val="4"/>
        </w:rPr>
        <w:br/>
      </w:r>
      <w:r>
        <w:rPr>
          <w:i/>
          <w:sz w:val="19"/>
        </w:rPr>
        <w:t>輸入經 SACFFinalModel 一次 forward → 共享 DeBERTa 編碼 → 4 分支並行融合 → 內部 mean(logits) → argmax。整個過程在模型內部完成，外部僅看到單一 nn.Module 的標準前向呼叫。</w:t>
      </w:r>
    </w:p>
    <w:p>
      <w:pPr>
        <w:spacing w:before="160" w:after="120"/>
      </w:pPr>
      <w:r>
        <w:rPr>
          <w:b/>
          <w:sz w:val="26"/>
        </w:rPr>
        <w:t>3.5.1　測試時間增強（TTA）</w:t>
      </w:r>
    </w:p>
    <w:p>
      <w:pPr>
        <w:spacing w:after="120" w:line="360" w:lineRule="auto"/>
        <w:ind w:firstLine="482"/>
      </w:pPr>
      <w:r>
        <w:rPr>
          <w:sz w:val="22"/>
        </w:rPr>
        <w:t>TTA 利用模型內建的 Dropout 機制在推斷階段引入受控隨機性：推斷時保持模型處於 train 模式（Dropout 持續激活），對同一測試樣本執行 T_TTA = 5 次獨立隨機前向傳播，對 5 次結果取均值。每次傳播因 Dropout 遮罩不同產生略有差異的 logits，等效於蒙特卡羅 Dropout（MC Dropout）推斷，能有效平均掉單次推斷中的隨機誤差。由於 4 分支內部已進行 ensemble，5 次 TTA 額外提供「同一個分支不同 dropout pattern」的多樣性，兩層機制疊加共產生 4 × 5 = 20 個有效預測版本。</w:t>
      </w:r>
    </w:p>
    <w:p>
      <w:pPr>
        <w:spacing w:before="160" w:after="120"/>
      </w:pPr>
      <w:r>
        <w:rPr>
          <w:b/>
          <w:sz w:val="26"/>
        </w:rPr>
        <w:t>3.5.2　內部多分支集成（Internal Ensemble）</w:t>
      </w:r>
    </w:p>
    <w:p>
      <w:pPr>
        <w:spacing w:after="120" w:line="360" w:lineRule="auto"/>
        <w:ind w:firstLine="482"/>
      </w:pPr>
      <w:r>
        <w:rPr>
          <w:sz w:val="22"/>
        </w:rPr>
        <w:t>與傳統「事後集成」（多個獨立模型，推斷時融合輸出）不同，SACFFinalModel 的集成機制完全內建於 forward() 方法：logit_ensemble = (l7_branch_1 + l7_branch_2 + l7_branch_3 + l7_branch_4) / 4。這個過程對外部呼叫者完全透明，使用方式與單分支模型完全相同：model(input_ids, ...) → 直接得到集成後的 logits。此設計的優勢在於：（1）部署時只需管理一個 .pt 檔案；（2）DeBERTa 共享計算僅一次 forward，比 4 個獨立模型快約 3 倍；（3）4 分支在訓練階段已透過 L_mean 損失共同優化集成輸出，比事後融合的協同性更佳。</w:t>
      </w:r>
    </w:p>
    <w:p>
      <w:pPr>
        <w:spacing w:before="280" w:after="120"/>
      </w:pPr>
      <w:r>
        <w:rPr>
          <w:b/>
          <w:sz w:val="32"/>
        </w:rPr>
        <w:t>3.6　實驗結果與分析</w:t>
      </w:r>
    </w:p>
    <w:p>
      <w:pPr>
        <w:spacing w:before="160" w:after="120"/>
      </w:pPr>
      <w:r>
        <w:rPr>
          <w:b/>
          <w:sz w:val="26"/>
        </w:rPr>
        <w:t>3.6.1　評估指標</w:t>
      </w:r>
    </w:p>
    <w:p>
      <w:pPr>
        <w:spacing w:after="120" w:line="360" w:lineRule="auto"/>
        <w:ind w:firstLine="482"/>
      </w:pPr>
      <w:r>
        <w:rPr>
          <w:sz w:val="22"/>
        </w:rPr>
        <w:t>本研究使用五個指標評估模型效能：Acc-7（七分類準確率，主要指標）、Acc-2（二分類準確率）、F1（加權 F1 分數）、MAE（平均絕對誤差，越低越好）以及 Pearson 相關係數（Corr）。所有評估結果均來自對測試集的唯一一次評估，嚴格遵循零資料洩漏與無條件預測的雙重原則。</w:t>
      </w:r>
    </w:p>
    <w:p>
      <w:pPr>
        <w:spacing w:before="160" w:after="120"/>
      </w:pPr>
      <w:r>
        <w:rPr>
          <w:b/>
          <w:sz w:val="26"/>
        </w:rPr>
        <w:t>3.6.2　主要結果</w:t>
      </w:r>
    </w:p>
    <w:p>
      <w:pPr>
        <w:spacing w:after="120" w:line="360" w:lineRule="auto"/>
        <w:ind w:firstLine="482"/>
      </w:pPr>
      <w:r>
        <w:rPr>
          <w:sz w:val="22"/>
        </w:rPr>
        <w:t>SACFFinalModel 在 CMU-MOSI 測試集上的最終效能彙整於表 3.3。主要指標 Acc-7 達到 53.21%，輔助指標 Acc-2 = 86.15%、F1 = 86.10%、MAE = 0.5719、Corr = 0.8747。Within-1 準確度（容許 ±1 類別誤差）達 92.0%，顯示模型誤差絕大多數為相鄰類別混淆。圖 3.10 視覺化呈現每類別準確度與五項指標。</w:t>
      </w:r>
    </w:p>
    <w:p>
      <w:pPr>
        <w:spacing w:before="160" w:after="40"/>
        <w:jc w:val="center"/>
      </w:pPr>
      <w:r>
        <w:rPr>
          <w:b/>
          <w:sz w:val="21"/>
        </w:rPr>
        <w:t xml:space="preserve">表 3.3  </w:t>
      </w:r>
      <w:r>
        <w:rPr>
          <w:b/>
          <w:sz w:val="21"/>
        </w:rPr>
        <w:t>SACFFinalModel 測試集效能（無條件、零洩漏）</w:t>
      </w:r>
    </w:p>
    <w:tbl>
      <w:tblPr>
        <w:tblStyle w:val="LightGrid-Accent1"/>
        <w:tblW w:type="auto" w:w="0"/>
        <w:jc w:val="center"/>
        <w:tblLook w:firstColumn="1" w:firstRow="1" w:lastColumn="0" w:lastRow="0" w:noHBand="0" w:noVBand="1" w:val="04A0"/>
      </w:tblPr>
      <w:tblGrid>
        <w:gridCol w:w="3173"/>
        <w:gridCol w:w="3173"/>
        <w:gridCol w:w="3173"/>
      </w:tblGrid>
      <w:tr>
        <w:tc>
          <w:tcPr>
            <w:tcW w:type="dxa" w:w="2304"/>
            <w:vAlign w:val="center"/>
          </w:tcPr>
          <w:p>
            <w:pPr>
              <w:jc w:val="center"/>
            </w:pPr>
            <w:r/>
            <w:r>
              <w:rPr>
                <w:b/>
                <w:sz w:val="20"/>
              </w:rPr>
              <w:t>評估指標</w:t>
            </w:r>
          </w:p>
        </w:tc>
        <w:tc>
          <w:tcPr>
            <w:tcW w:type="dxa" w:w="2880"/>
            <w:vAlign w:val="center"/>
          </w:tcPr>
          <w:p>
            <w:pPr>
              <w:jc w:val="center"/>
            </w:pPr>
            <w:r/>
            <w:r>
              <w:rPr>
                <w:b/>
                <w:sz w:val="20"/>
              </w:rPr>
              <w:t>SACFFinalModel</w:t>
            </w:r>
          </w:p>
        </w:tc>
        <w:tc>
          <w:tcPr>
            <w:tcW w:type="dxa" w:w="3456"/>
            <w:vAlign w:val="center"/>
          </w:tcPr>
          <w:p>
            <w:pPr>
              <w:jc w:val="center"/>
            </w:pPr>
            <w:r/>
            <w:r>
              <w:rPr>
                <w:b/>
                <w:sz w:val="20"/>
              </w:rPr>
              <w:t>說明</w:t>
            </w:r>
          </w:p>
        </w:tc>
      </w:tr>
      <w:tr>
        <w:tc>
          <w:tcPr>
            <w:tcW w:type="dxa" w:w="2304"/>
            <w:vAlign w:val="center"/>
          </w:tcPr>
          <w:p>
            <w:pPr>
              <w:jc w:val="center"/>
            </w:pPr>
            <w:r/>
            <w:r>
              <w:rPr>
                <w:sz w:val="19"/>
              </w:rPr>
              <w:t>Acc-7 (%) ↑</w:t>
            </w:r>
          </w:p>
        </w:tc>
        <w:tc>
          <w:tcPr>
            <w:tcW w:type="dxa" w:w="2880"/>
            <w:vAlign w:val="center"/>
          </w:tcPr>
          <w:p>
            <w:pPr>
              <w:jc w:val="center"/>
            </w:pPr>
            <w:r/>
            <w:r>
              <w:rPr>
                <w:sz w:val="19"/>
              </w:rPr>
              <w:t>53.21</w:t>
            </w:r>
          </w:p>
        </w:tc>
        <w:tc>
          <w:tcPr>
            <w:tcW w:type="dxa" w:w="3456"/>
            <w:vAlign w:val="center"/>
          </w:tcPr>
          <w:p>
            <w:pPr>
              <w:jc w:val="center"/>
            </w:pPr>
            <w:r/>
            <w:r>
              <w:rPr>
                <w:sz w:val="19"/>
              </w:rPr>
              <w:t>七分類精確準確度（主要指標）</w:t>
            </w:r>
          </w:p>
        </w:tc>
      </w:tr>
      <w:tr>
        <w:tc>
          <w:tcPr>
            <w:tcW w:type="dxa" w:w="2304"/>
            <w:vAlign w:val="center"/>
          </w:tcPr>
          <w:p>
            <w:pPr>
              <w:jc w:val="center"/>
            </w:pPr>
            <w:r/>
            <w:r>
              <w:rPr>
                <w:sz w:val="19"/>
              </w:rPr>
              <w:t>Acc-2 (%) ↑</w:t>
            </w:r>
          </w:p>
        </w:tc>
        <w:tc>
          <w:tcPr>
            <w:tcW w:type="dxa" w:w="2880"/>
            <w:vAlign w:val="center"/>
          </w:tcPr>
          <w:p>
            <w:pPr>
              <w:jc w:val="center"/>
            </w:pPr>
            <w:r/>
            <w:r>
              <w:rPr>
                <w:sz w:val="19"/>
              </w:rPr>
              <w:t>86.15</w:t>
            </w:r>
          </w:p>
        </w:tc>
        <w:tc>
          <w:tcPr>
            <w:tcW w:type="dxa" w:w="3456"/>
            <w:vAlign w:val="center"/>
          </w:tcPr>
          <w:p>
            <w:pPr>
              <w:jc w:val="center"/>
            </w:pPr>
            <w:r/>
            <w:r>
              <w:rPr>
                <w:sz w:val="19"/>
              </w:rPr>
              <w:t>正負面二分類</w:t>
            </w:r>
          </w:p>
        </w:tc>
      </w:tr>
      <w:tr>
        <w:tc>
          <w:tcPr>
            <w:tcW w:type="dxa" w:w="2304"/>
            <w:vAlign w:val="center"/>
          </w:tcPr>
          <w:p>
            <w:pPr>
              <w:jc w:val="center"/>
            </w:pPr>
            <w:r/>
            <w:r>
              <w:rPr>
                <w:sz w:val="19"/>
              </w:rPr>
              <w:t>F1 (%) ↑</w:t>
            </w:r>
          </w:p>
        </w:tc>
        <w:tc>
          <w:tcPr>
            <w:tcW w:type="dxa" w:w="2880"/>
            <w:vAlign w:val="center"/>
          </w:tcPr>
          <w:p>
            <w:pPr>
              <w:jc w:val="center"/>
            </w:pPr>
            <w:r/>
            <w:r>
              <w:rPr>
                <w:sz w:val="19"/>
              </w:rPr>
              <w:t>86.10</w:t>
            </w:r>
          </w:p>
        </w:tc>
        <w:tc>
          <w:tcPr>
            <w:tcW w:type="dxa" w:w="3456"/>
            <w:vAlign w:val="center"/>
          </w:tcPr>
          <w:p>
            <w:pPr>
              <w:jc w:val="center"/>
            </w:pPr>
            <w:r/>
            <w:r>
              <w:rPr>
                <w:sz w:val="19"/>
              </w:rPr>
              <w:t>加權 F1</w:t>
            </w:r>
          </w:p>
        </w:tc>
      </w:tr>
      <w:tr>
        <w:tc>
          <w:tcPr>
            <w:tcW w:type="dxa" w:w="2304"/>
            <w:vAlign w:val="center"/>
          </w:tcPr>
          <w:p>
            <w:pPr>
              <w:jc w:val="center"/>
            </w:pPr>
            <w:r/>
            <w:r>
              <w:rPr>
                <w:sz w:val="19"/>
              </w:rPr>
              <w:t>MAE ↓</w:t>
            </w:r>
          </w:p>
        </w:tc>
        <w:tc>
          <w:tcPr>
            <w:tcW w:type="dxa" w:w="2880"/>
            <w:vAlign w:val="center"/>
          </w:tcPr>
          <w:p>
            <w:pPr>
              <w:jc w:val="center"/>
            </w:pPr>
            <w:r/>
            <w:r>
              <w:rPr>
                <w:sz w:val="19"/>
              </w:rPr>
              <w:t>0.5719</w:t>
            </w:r>
          </w:p>
        </w:tc>
        <w:tc>
          <w:tcPr>
            <w:tcW w:type="dxa" w:w="3456"/>
            <w:vAlign w:val="center"/>
          </w:tcPr>
          <w:p>
            <w:pPr>
              <w:jc w:val="center"/>
            </w:pPr>
            <w:r/>
            <w:r>
              <w:rPr>
                <w:sz w:val="19"/>
              </w:rPr>
              <w:t>回歸絕對誤差均值</w:t>
            </w:r>
          </w:p>
        </w:tc>
      </w:tr>
      <w:tr>
        <w:tc>
          <w:tcPr>
            <w:tcW w:type="dxa" w:w="2304"/>
            <w:vAlign w:val="center"/>
          </w:tcPr>
          <w:p>
            <w:pPr>
              <w:jc w:val="center"/>
            </w:pPr>
            <w:r/>
            <w:r>
              <w:rPr>
                <w:sz w:val="19"/>
              </w:rPr>
              <w:t>Corr ↑</w:t>
            </w:r>
          </w:p>
        </w:tc>
        <w:tc>
          <w:tcPr>
            <w:tcW w:type="dxa" w:w="2880"/>
            <w:vAlign w:val="center"/>
          </w:tcPr>
          <w:p>
            <w:pPr>
              <w:jc w:val="center"/>
            </w:pPr>
            <w:r/>
            <w:r>
              <w:rPr>
                <w:sz w:val="19"/>
              </w:rPr>
              <w:t>0.8747</w:t>
            </w:r>
          </w:p>
        </w:tc>
        <w:tc>
          <w:tcPr>
            <w:tcW w:type="dxa" w:w="3456"/>
            <w:vAlign w:val="center"/>
          </w:tcPr>
          <w:p>
            <w:pPr>
              <w:jc w:val="center"/>
            </w:pPr>
            <w:r/>
            <w:r>
              <w:rPr>
                <w:sz w:val="19"/>
              </w:rPr>
              <w:t>Pearson 相關係數</w:t>
            </w:r>
          </w:p>
        </w:tc>
      </w:tr>
      <w:tr>
        <w:tc>
          <w:tcPr>
            <w:tcW w:type="dxa" w:w="2304"/>
            <w:vAlign w:val="center"/>
          </w:tcPr>
          <w:p>
            <w:pPr>
              <w:jc w:val="center"/>
            </w:pPr>
            <w:r/>
            <w:r>
              <w:rPr>
                <w:sz w:val="19"/>
              </w:rPr>
              <w:t>Within-1 (%) ↑</w:t>
            </w:r>
          </w:p>
        </w:tc>
        <w:tc>
          <w:tcPr>
            <w:tcW w:type="dxa" w:w="2880"/>
            <w:vAlign w:val="center"/>
          </w:tcPr>
          <w:p>
            <w:pPr>
              <w:jc w:val="center"/>
            </w:pPr>
            <w:r/>
            <w:r>
              <w:rPr>
                <w:sz w:val="19"/>
              </w:rPr>
              <w:t>92.0</w:t>
            </w:r>
          </w:p>
        </w:tc>
        <w:tc>
          <w:tcPr>
            <w:tcW w:type="dxa" w:w="3456"/>
            <w:vAlign w:val="center"/>
          </w:tcPr>
          <w:p>
            <w:pPr>
              <w:jc w:val="center"/>
            </w:pPr>
            <w:r/>
            <w:r>
              <w:rPr>
                <w:sz w:val="19"/>
              </w:rPr>
              <w:t>容許 ±1 類別誤差的準確度</w:t>
            </w:r>
          </w:p>
        </w:tc>
      </w:tr>
    </w:tbl>
    <w:p>
      <w:pPr>
        <w:spacing w:after="160"/>
      </w:pPr>
    </w:p>
    <w:p>
      <w:pPr>
        <w:spacing w:before="160" w:after="40"/>
        <w:jc w:val="center"/>
      </w:pPr>
      <w:r>
        <w:drawing>
          <wp:inline xmlns:a="http://schemas.openxmlformats.org/drawingml/2006/main" xmlns:pic="http://schemas.openxmlformats.org/drawingml/2006/picture">
            <wp:extent cx="5852160" cy="2155642"/>
            <wp:docPr id="8" name="Picture 8"/>
            <wp:cNvGraphicFramePr>
              <a:graphicFrameLocks noChangeAspect="1"/>
            </wp:cNvGraphicFramePr>
            <a:graphic>
              <a:graphicData uri="http://schemas.openxmlformats.org/drawingml/2006/picture">
                <pic:pic>
                  <pic:nvPicPr>
                    <pic:cNvPr id="0" name="fig10_results.png"/>
                    <pic:cNvPicPr/>
                  </pic:nvPicPr>
                  <pic:blipFill>
                    <a:blip r:embed="rId16"/>
                    <a:stretch>
                      <a:fillRect/>
                    </a:stretch>
                  </pic:blipFill>
                  <pic:spPr>
                    <a:xfrm>
                      <a:off x="0" y="0"/>
                      <a:ext cx="5852160" cy="2155642"/>
                    </a:xfrm>
                    <a:prstGeom prst="rect"/>
                  </pic:spPr>
                </pic:pic>
              </a:graphicData>
            </a:graphic>
          </wp:inline>
        </w:drawing>
      </w:r>
    </w:p>
    <w:p>
      <w:pPr>
        <w:spacing w:after="200"/>
        <w:jc w:val="center"/>
      </w:pPr>
      <w:r>
        <w:rPr>
          <w:b/>
          <w:sz w:val="20"/>
        </w:rPr>
        <w:t xml:space="preserve">圖 3.10  </w:t>
      </w:r>
      <w:r>
        <w:rPr>
          <w:b/>
          <w:sz w:val="20"/>
        </w:rPr>
        <w:t>最終結果分析（測試集 686 筆，無條件預測）</w:t>
      </w:r>
      <w:r>
        <w:rPr>
          <w:sz w:val="4"/>
        </w:rPr>
        <w:br/>
      </w:r>
      <w:r>
        <w:rPr>
          <w:i/>
          <w:sz w:val="19"/>
        </w:rPr>
        <w:t>左：每類別精確準確度（藍）vs 容許 ±1 誤差準確度（淺藍）。右：五項主要指標彙整（MAE 與 Corr 已 ×100 縮放）。</w:t>
      </w:r>
    </w:p>
    <w:p>
      <w:pPr>
        <w:spacing w:before="160" w:after="120"/>
      </w:pPr>
      <w:r>
        <w:rPr>
          <w:b/>
          <w:sz w:val="26"/>
        </w:rPr>
        <w:t>3.6.3　與既有方法比較</w:t>
      </w:r>
    </w:p>
    <w:p>
      <w:pPr>
        <w:spacing w:after="120" w:line="360" w:lineRule="auto"/>
        <w:ind w:firstLine="482"/>
      </w:pPr>
      <w:r>
        <w:rPr>
          <w:sz w:val="22"/>
        </w:rPr>
        <w:t>圖 3.9 與表 3.4 呈現本研究與 CMU-MOSI 七分類任務上 11 個代表性方法的比較。SACFFinalModel 達 Acc-7 = 53.21%，超越目前已知最佳基準 MSAmba（49.67%，AAAI 2025）+3.54 個百分點，亦超越 ALMT（49.42%，EMNLP 2023）+3.79 個百分點與 UniMSE（48.68%，EMNLP 2022）+4.53 個百分點。重要的是，本研究結果在嚴格無條件分類準確度的條件下取得，這比多數既有研究使用的條件性評估更為嚴謹。</w:t>
      </w:r>
    </w:p>
    <w:p>
      <w:pPr>
        <w:spacing w:before="160" w:after="40"/>
        <w:jc w:val="center"/>
      </w:pPr>
      <w:r>
        <w:rPr>
          <w:b/>
          <w:sz w:val="21"/>
        </w:rPr>
        <w:t xml:space="preserve">表 3.4  </w:t>
      </w:r>
      <w:r>
        <w:rPr>
          <w:b/>
          <w:sz w:val="21"/>
        </w:rPr>
        <w:t>與既有方法的 CMU-MOSI Acc-7 比較</w:t>
      </w:r>
    </w:p>
    <w:tbl>
      <w:tblPr>
        <w:tblStyle w:val="LightGrid-Accent1"/>
        <w:tblW w:type="auto" w:w="0"/>
        <w:jc w:val="center"/>
        <w:tblLook w:firstColumn="1" w:firstRow="1" w:lastColumn="0" w:lastRow="0" w:noHBand="0" w:noVBand="1" w:val="04A0"/>
      </w:tblPr>
      <w:tblGrid>
        <w:gridCol w:w="2379"/>
        <w:gridCol w:w="2379"/>
        <w:gridCol w:w="2379"/>
        <w:gridCol w:w="2379"/>
      </w:tblGrid>
      <w:tr>
        <w:tc>
          <w:tcPr>
            <w:tcW w:type="dxa" w:w="2592"/>
            <w:vAlign w:val="center"/>
          </w:tcPr>
          <w:p>
            <w:pPr>
              <w:jc w:val="center"/>
            </w:pPr>
            <w:r/>
            <w:r>
              <w:rPr>
                <w:b/>
                <w:sz w:val="20"/>
              </w:rPr>
              <w:t>方法</w:t>
            </w:r>
          </w:p>
        </w:tc>
        <w:tc>
          <w:tcPr>
            <w:tcW w:type="dxa" w:w="1440"/>
            <w:vAlign w:val="center"/>
          </w:tcPr>
          <w:p>
            <w:pPr>
              <w:jc w:val="center"/>
            </w:pPr>
            <w:r/>
            <w:r>
              <w:rPr>
                <w:b/>
                <w:sz w:val="20"/>
              </w:rPr>
              <w:t>年份</w:t>
            </w:r>
          </w:p>
        </w:tc>
        <w:tc>
          <w:tcPr>
            <w:tcW w:type="dxa" w:w="1872"/>
            <w:vAlign w:val="center"/>
          </w:tcPr>
          <w:p>
            <w:pPr>
              <w:jc w:val="center"/>
            </w:pPr>
            <w:r/>
            <w:r>
              <w:rPr>
                <w:b/>
                <w:sz w:val="20"/>
              </w:rPr>
              <w:t>Acc-7 (%)</w:t>
            </w:r>
          </w:p>
        </w:tc>
        <w:tc>
          <w:tcPr>
            <w:tcW w:type="dxa" w:w="2016"/>
            <w:vAlign w:val="center"/>
          </w:tcPr>
          <w:p>
            <w:pPr>
              <w:jc w:val="center"/>
            </w:pPr>
            <w:r/>
            <w:r>
              <w:rPr>
                <w:b/>
                <w:sz w:val="20"/>
              </w:rPr>
              <w:t>相對 SACFFinal</w:t>
            </w:r>
          </w:p>
        </w:tc>
      </w:tr>
      <w:tr>
        <w:tc>
          <w:tcPr>
            <w:tcW w:type="dxa" w:w="2592"/>
            <w:vAlign w:val="center"/>
          </w:tcPr>
          <w:p>
            <w:pPr>
              <w:jc w:val="center"/>
            </w:pPr>
            <w:r/>
            <w:r>
              <w:rPr>
                <w:sz w:val="19"/>
              </w:rPr>
              <w:t>MFM</w:t>
            </w:r>
          </w:p>
        </w:tc>
        <w:tc>
          <w:tcPr>
            <w:tcW w:type="dxa" w:w="1440"/>
            <w:vAlign w:val="center"/>
          </w:tcPr>
          <w:p>
            <w:pPr>
              <w:jc w:val="center"/>
            </w:pPr>
            <w:r/>
            <w:r>
              <w:rPr>
                <w:sz w:val="19"/>
              </w:rPr>
              <w:t>2019</w:t>
            </w:r>
          </w:p>
        </w:tc>
        <w:tc>
          <w:tcPr>
            <w:tcW w:type="dxa" w:w="1872"/>
            <w:vAlign w:val="center"/>
          </w:tcPr>
          <w:p>
            <w:pPr>
              <w:jc w:val="center"/>
            </w:pPr>
            <w:r/>
            <w:r>
              <w:rPr>
                <w:sz w:val="19"/>
              </w:rPr>
              <w:t>34.10</w:t>
            </w:r>
          </w:p>
        </w:tc>
        <w:tc>
          <w:tcPr>
            <w:tcW w:type="dxa" w:w="2016"/>
            <w:vAlign w:val="center"/>
          </w:tcPr>
          <w:p>
            <w:pPr>
              <w:jc w:val="center"/>
            </w:pPr>
            <w:r/>
            <w:r>
              <w:rPr>
                <w:sz w:val="19"/>
              </w:rPr>
              <w:t>−19.11</w:t>
            </w:r>
          </w:p>
        </w:tc>
      </w:tr>
      <w:tr>
        <w:tc>
          <w:tcPr>
            <w:tcW w:type="dxa" w:w="2592"/>
            <w:vAlign w:val="center"/>
          </w:tcPr>
          <w:p>
            <w:pPr>
              <w:jc w:val="center"/>
            </w:pPr>
            <w:r/>
            <w:r>
              <w:rPr>
                <w:sz w:val="19"/>
              </w:rPr>
              <w:t>MulT</w:t>
            </w:r>
          </w:p>
        </w:tc>
        <w:tc>
          <w:tcPr>
            <w:tcW w:type="dxa" w:w="1440"/>
            <w:vAlign w:val="center"/>
          </w:tcPr>
          <w:p>
            <w:pPr>
              <w:jc w:val="center"/>
            </w:pPr>
            <w:r/>
            <w:r>
              <w:rPr>
                <w:sz w:val="19"/>
              </w:rPr>
              <w:t>2019</w:t>
            </w:r>
          </w:p>
        </w:tc>
        <w:tc>
          <w:tcPr>
            <w:tcW w:type="dxa" w:w="1872"/>
            <w:vAlign w:val="center"/>
          </w:tcPr>
          <w:p>
            <w:pPr>
              <w:jc w:val="center"/>
            </w:pPr>
            <w:r/>
            <w:r>
              <w:rPr>
                <w:sz w:val="19"/>
              </w:rPr>
              <w:t>40.00</w:t>
            </w:r>
          </w:p>
        </w:tc>
        <w:tc>
          <w:tcPr>
            <w:tcW w:type="dxa" w:w="2016"/>
            <w:vAlign w:val="center"/>
          </w:tcPr>
          <w:p>
            <w:pPr>
              <w:jc w:val="center"/>
            </w:pPr>
            <w:r/>
            <w:r>
              <w:rPr>
                <w:sz w:val="19"/>
              </w:rPr>
              <w:t>−13.21</w:t>
            </w:r>
          </w:p>
        </w:tc>
      </w:tr>
      <w:tr>
        <w:tc>
          <w:tcPr>
            <w:tcW w:type="dxa" w:w="2592"/>
            <w:vAlign w:val="center"/>
          </w:tcPr>
          <w:p>
            <w:pPr>
              <w:jc w:val="center"/>
            </w:pPr>
            <w:r/>
            <w:r>
              <w:rPr>
                <w:sz w:val="19"/>
              </w:rPr>
              <w:t>MISA</w:t>
            </w:r>
          </w:p>
        </w:tc>
        <w:tc>
          <w:tcPr>
            <w:tcW w:type="dxa" w:w="1440"/>
            <w:vAlign w:val="center"/>
          </w:tcPr>
          <w:p>
            <w:pPr>
              <w:jc w:val="center"/>
            </w:pPr>
            <w:r/>
            <w:r>
              <w:rPr>
                <w:sz w:val="19"/>
              </w:rPr>
              <w:t>2020</w:t>
            </w:r>
          </w:p>
        </w:tc>
        <w:tc>
          <w:tcPr>
            <w:tcW w:type="dxa" w:w="1872"/>
            <w:vAlign w:val="center"/>
          </w:tcPr>
          <w:p>
            <w:pPr>
              <w:jc w:val="center"/>
            </w:pPr>
            <w:r/>
            <w:r>
              <w:rPr>
                <w:sz w:val="19"/>
              </w:rPr>
              <w:t>42.30</w:t>
            </w:r>
          </w:p>
        </w:tc>
        <w:tc>
          <w:tcPr>
            <w:tcW w:type="dxa" w:w="2016"/>
            <w:vAlign w:val="center"/>
          </w:tcPr>
          <w:p>
            <w:pPr>
              <w:jc w:val="center"/>
            </w:pPr>
            <w:r/>
            <w:r>
              <w:rPr>
                <w:sz w:val="19"/>
              </w:rPr>
              <w:t>−10.91</w:t>
            </w:r>
          </w:p>
        </w:tc>
      </w:tr>
      <w:tr>
        <w:tc>
          <w:tcPr>
            <w:tcW w:type="dxa" w:w="2592"/>
            <w:vAlign w:val="center"/>
          </w:tcPr>
          <w:p>
            <w:pPr>
              <w:jc w:val="center"/>
            </w:pPr>
            <w:r/>
            <w:r>
              <w:rPr>
                <w:sz w:val="19"/>
              </w:rPr>
              <w:t>MAG-BERT</w:t>
            </w:r>
          </w:p>
        </w:tc>
        <w:tc>
          <w:tcPr>
            <w:tcW w:type="dxa" w:w="1440"/>
            <w:vAlign w:val="center"/>
          </w:tcPr>
          <w:p>
            <w:pPr>
              <w:jc w:val="center"/>
            </w:pPr>
            <w:r/>
            <w:r>
              <w:rPr>
                <w:sz w:val="19"/>
              </w:rPr>
              <w:t>2020</w:t>
            </w:r>
          </w:p>
        </w:tc>
        <w:tc>
          <w:tcPr>
            <w:tcW w:type="dxa" w:w="1872"/>
            <w:vAlign w:val="center"/>
          </w:tcPr>
          <w:p>
            <w:pPr>
              <w:jc w:val="center"/>
            </w:pPr>
            <w:r/>
            <w:r>
              <w:rPr>
                <w:sz w:val="19"/>
              </w:rPr>
              <w:t>41.43</w:t>
            </w:r>
          </w:p>
        </w:tc>
        <w:tc>
          <w:tcPr>
            <w:tcW w:type="dxa" w:w="2016"/>
            <w:vAlign w:val="center"/>
          </w:tcPr>
          <w:p>
            <w:pPr>
              <w:jc w:val="center"/>
            </w:pPr>
            <w:r/>
            <w:r>
              <w:rPr>
                <w:sz w:val="19"/>
              </w:rPr>
              <w:t>−11.78</w:t>
            </w:r>
          </w:p>
        </w:tc>
      </w:tr>
      <w:tr>
        <w:tc>
          <w:tcPr>
            <w:tcW w:type="dxa" w:w="2592"/>
            <w:vAlign w:val="center"/>
          </w:tcPr>
          <w:p>
            <w:pPr>
              <w:jc w:val="center"/>
            </w:pPr>
            <w:r/>
            <w:r>
              <w:rPr>
                <w:sz w:val="19"/>
              </w:rPr>
              <w:t>Self-MM</w:t>
            </w:r>
          </w:p>
        </w:tc>
        <w:tc>
          <w:tcPr>
            <w:tcW w:type="dxa" w:w="1440"/>
            <w:vAlign w:val="center"/>
          </w:tcPr>
          <w:p>
            <w:pPr>
              <w:jc w:val="center"/>
            </w:pPr>
            <w:r/>
            <w:r>
              <w:rPr>
                <w:sz w:val="19"/>
              </w:rPr>
              <w:t>2021</w:t>
            </w:r>
          </w:p>
        </w:tc>
        <w:tc>
          <w:tcPr>
            <w:tcW w:type="dxa" w:w="1872"/>
            <w:vAlign w:val="center"/>
          </w:tcPr>
          <w:p>
            <w:pPr>
              <w:jc w:val="center"/>
            </w:pPr>
            <w:r/>
            <w:r>
              <w:rPr>
                <w:sz w:val="19"/>
              </w:rPr>
              <w:t>46.67</w:t>
            </w:r>
          </w:p>
        </w:tc>
        <w:tc>
          <w:tcPr>
            <w:tcW w:type="dxa" w:w="2016"/>
            <w:vAlign w:val="center"/>
          </w:tcPr>
          <w:p>
            <w:pPr>
              <w:jc w:val="center"/>
            </w:pPr>
            <w:r/>
            <w:r>
              <w:rPr>
                <w:sz w:val="19"/>
              </w:rPr>
              <w:t>−6.54</w:t>
            </w:r>
          </w:p>
        </w:tc>
      </w:tr>
      <w:tr>
        <w:tc>
          <w:tcPr>
            <w:tcW w:type="dxa" w:w="2592"/>
            <w:vAlign w:val="center"/>
          </w:tcPr>
          <w:p>
            <w:pPr>
              <w:jc w:val="center"/>
            </w:pPr>
            <w:r/>
            <w:r>
              <w:rPr>
                <w:sz w:val="19"/>
              </w:rPr>
              <w:t>MMIM</w:t>
            </w:r>
          </w:p>
        </w:tc>
        <w:tc>
          <w:tcPr>
            <w:tcW w:type="dxa" w:w="1440"/>
            <w:vAlign w:val="center"/>
          </w:tcPr>
          <w:p>
            <w:pPr>
              <w:jc w:val="center"/>
            </w:pPr>
            <w:r/>
            <w:r>
              <w:rPr>
                <w:sz w:val="19"/>
              </w:rPr>
              <w:t>2021</w:t>
            </w:r>
          </w:p>
        </w:tc>
        <w:tc>
          <w:tcPr>
            <w:tcW w:type="dxa" w:w="1872"/>
            <w:vAlign w:val="center"/>
          </w:tcPr>
          <w:p>
            <w:pPr>
              <w:jc w:val="center"/>
            </w:pPr>
            <w:r/>
            <w:r>
              <w:rPr>
                <w:sz w:val="19"/>
              </w:rPr>
              <w:t>46.65</w:t>
            </w:r>
          </w:p>
        </w:tc>
        <w:tc>
          <w:tcPr>
            <w:tcW w:type="dxa" w:w="2016"/>
            <w:vAlign w:val="center"/>
          </w:tcPr>
          <w:p>
            <w:pPr>
              <w:jc w:val="center"/>
            </w:pPr>
            <w:r/>
            <w:r>
              <w:rPr>
                <w:sz w:val="19"/>
              </w:rPr>
              <w:t>−6.56</w:t>
            </w:r>
          </w:p>
        </w:tc>
      </w:tr>
      <w:tr>
        <w:tc>
          <w:tcPr>
            <w:tcW w:type="dxa" w:w="2592"/>
            <w:vAlign w:val="center"/>
          </w:tcPr>
          <w:p>
            <w:pPr>
              <w:jc w:val="center"/>
            </w:pPr>
            <w:r/>
            <w:r>
              <w:rPr>
                <w:sz w:val="19"/>
              </w:rPr>
              <w:t>UniMSE</w:t>
            </w:r>
          </w:p>
        </w:tc>
        <w:tc>
          <w:tcPr>
            <w:tcW w:type="dxa" w:w="1440"/>
            <w:vAlign w:val="center"/>
          </w:tcPr>
          <w:p>
            <w:pPr>
              <w:jc w:val="center"/>
            </w:pPr>
            <w:r/>
            <w:r>
              <w:rPr>
                <w:sz w:val="19"/>
              </w:rPr>
              <w:t>2022</w:t>
            </w:r>
          </w:p>
        </w:tc>
        <w:tc>
          <w:tcPr>
            <w:tcW w:type="dxa" w:w="1872"/>
            <w:vAlign w:val="center"/>
          </w:tcPr>
          <w:p>
            <w:pPr>
              <w:jc w:val="center"/>
            </w:pPr>
            <w:r/>
            <w:r>
              <w:rPr>
                <w:sz w:val="19"/>
              </w:rPr>
              <w:t>48.68</w:t>
            </w:r>
          </w:p>
        </w:tc>
        <w:tc>
          <w:tcPr>
            <w:tcW w:type="dxa" w:w="2016"/>
            <w:vAlign w:val="center"/>
          </w:tcPr>
          <w:p>
            <w:pPr>
              <w:jc w:val="center"/>
            </w:pPr>
            <w:r/>
            <w:r>
              <w:rPr>
                <w:sz w:val="19"/>
              </w:rPr>
              <w:t>−4.53</w:t>
            </w:r>
          </w:p>
        </w:tc>
      </w:tr>
      <w:tr>
        <w:tc>
          <w:tcPr>
            <w:tcW w:type="dxa" w:w="2592"/>
            <w:vAlign w:val="center"/>
          </w:tcPr>
          <w:p>
            <w:pPr>
              <w:jc w:val="center"/>
            </w:pPr>
            <w:r/>
            <w:r>
              <w:rPr>
                <w:sz w:val="19"/>
              </w:rPr>
              <w:t>ConFEDE</w:t>
            </w:r>
          </w:p>
        </w:tc>
        <w:tc>
          <w:tcPr>
            <w:tcW w:type="dxa" w:w="1440"/>
            <w:vAlign w:val="center"/>
          </w:tcPr>
          <w:p>
            <w:pPr>
              <w:jc w:val="center"/>
            </w:pPr>
            <w:r/>
            <w:r>
              <w:rPr>
                <w:sz w:val="19"/>
              </w:rPr>
              <w:t>2023</w:t>
            </w:r>
          </w:p>
        </w:tc>
        <w:tc>
          <w:tcPr>
            <w:tcW w:type="dxa" w:w="1872"/>
            <w:vAlign w:val="center"/>
          </w:tcPr>
          <w:p>
            <w:pPr>
              <w:jc w:val="center"/>
            </w:pPr>
            <w:r/>
            <w:r>
              <w:rPr>
                <w:sz w:val="19"/>
              </w:rPr>
              <w:t>42.27</w:t>
            </w:r>
          </w:p>
        </w:tc>
        <w:tc>
          <w:tcPr>
            <w:tcW w:type="dxa" w:w="2016"/>
            <w:vAlign w:val="center"/>
          </w:tcPr>
          <w:p>
            <w:pPr>
              <w:jc w:val="center"/>
            </w:pPr>
            <w:r/>
            <w:r>
              <w:rPr>
                <w:sz w:val="19"/>
              </w:rPr>
              <w:t>−10.94</w:t>
            </w:r>
          </w:p>
        </w:tc>
      </w:tr>
      <w:tr>
        <w:tc>
          <w:tcPr>
            <w:tcW w:type="dxa" w:w="2592"/>
            <w:vAlign w:val="center"/>
          </w:tcPr>
          <w:p>
            <w:pPr>
              <w:jc w:val="center"/>
            </w:pPr>
            <w:r/>
            <w:r>
              <w:rPr>
                <w:sz w:val="19"/>
              </w:rPr>
              <w:t>ALMT</w:t>
            </w:r>
          </w:p>
        </w:tc>
        <w:tc>
          <w:tcPr>
            <w:tcW w:type="dxa" w:w="1440"/>
            <w:vAlign w:val="center"/>
          </w:tcPr>
          <w:p>
            <w:pPr>
              <w:jc w:val="center"/>
            </w:pPr>
            <w:r/>
            <w:r>
              <w:rPr>
                <w:sz w:val="19"/>
              </w:rPr>
              <w:t>2023</w:t>
            </w:r>
          </w:p>
        </w:tc>
        <w:tc>
          <w:tcPr>
            <w:tcW w:type="dxa" w:w="1872"/>
            <w:vAlign w:val="center"/>
          </w:tcPr>
          <w:p>
            <w:pPr>
              <w:jc w:val="center"/>
            </w:pPr>
            <w:r/>
            <w:r>
              <w:rPr>
                <w:sz w:val="19"/>
              </w:rPr>
              <w:t>49.42</w:t>
            </w:r>
          </w:p>
        </w:tc>
        <w:tc>
          <w:tcPr>
            <w:tcW w:type="dxa" w:w="2016"/>
            <w:vAlign w:val="center"/>
          </w:tcPr>
          <w:p>
            <w:pPr>
              <w:jc w:val="center"/>
            </w:pPr>
            <w:r/>
            <w:r>
              <w:rPr>
                <w:sz w:val="19"/>
              </w:rPr>
              <w:t>−3.79</w:t>
            </w:r>
          </w:p>
        </w:tc>
      </w:tr>
      <w:tr>
        <w:tc>
          <w:tcPr>
            <w:tcW w:type="dxa" w:w="2592"/>
            <w:vAlign w:val="center"/>
          </w:tcPr>
          <w:p>
            <w:pPr>
              <w:jc w:val="center"/>
            </w:pPr>
            <w:r/>
            <w:r>
              <w:rPr>
                <w:sz w:val="19"/>
              </w:rPr>
              <w:t>CLGSI</w:t>
            </w:r>
          </w:p>
        </w:tc>
        <w:tc>
          <w:tcPr>
            <w:tcW w:type="dxa" w:w="1440"/>
            <w:vAlign w:val="center"/>
          </w:tcPr>
          <w:p>
            <w:pPr>
              <w:jc w:val="center"/>
            </w:pPr>
            <w:r/>
            <w:r>
              <w:rPr>
                <w:sz w:val="19"/>
              </w:rPr>
              <w:t>2024</w:t>
            </w:r>
          </w:p>
        </w:tc>
        <w:tc>
          <w:tcPr>
            <w:tcW w:type="dxa" w:w="1872"/>
            <w:vAlign w:val="center"/>
          </w:tcPr>
          <w:p>
            <w:pPr>
              <w:jc w:val="center"/>
            </w:pPr>
            <w:r/>
            <w:r>
              <w:rPr>
                <w:sz w:val="19"/>
              </w:rPr>
              <w:t>47.96</w:t>
            </w:r>
          </w:p>
        </w:tc>
        <w:tc>
          <w:tcPr>
            <w:tcW w:type="dxa" w:w="2016"/>
            <w:vAlign w:val="center"/>
          </w:tcPr>
          <w:p>
            <w:pPr>
              <w:jc w:val="center"/>
            </w:pPr>
            <w:r/>
            <w:r>
              <w:rPr>
                <w:sz w:val="19"/>
              </w:rPr>
              <w:t>−5.25</w:t>
            </w:r>
          </w:p>
        </w:tc>
      </w:tr>
      <w:tr>
        <w:tc>
          <w:tcPr>
            <w:tcW w:type="dxa" w:w="2592"/>
            <w:vAlign w:val="center"/>
          </w:tcPr>
          <w:p>
            <w:pPr>
              <w:jc w:val="center"/>
            </w:pPr>
            <w:r/>
            <w:r>
              <w:rPr>
                <w:sz w:val="19"/>
              </w:rPr>
              <w:t>MSAmba (前 SOTA)</w:t>
            </w:r>
          </w:p>
        </w:tc>
        <w:tc>
          <w:tcPr>
            <w:tcW w:type="dxa" w:w="1440"/>
            <w:vAlign w:val="center"/>
          </w:tcPr>
          <w:p>
            <w:pPr>
              <w:jc w:val="center"/>
            </w:pPr>
            <w:r/>
            <w:r>
              <w:rPr>
                <w:sz w:val="19"/>
              </w:rPr>
              <w:t>2025</w:t>
            </w:r>
          </w:p>
        </w:tc>
        <w:tc>
          <w:tcPr>
            <w:tcW w:type="dxa" w:w="1872"/>
            <w:vAlign w:val="center"/>
          </w:tcPr>
          <w:p>
            <w:pPr>
              <w:jc w:val="center"/>
            </w:pPr>
            <w:r/>
            <w:r>
              <w:rPr>
                <w:sz w:val="19"/>
              </w:rPr>
              <w:t>49.67</w:t>
            </w:r>
          </w:p>
        </w:tc>
        <w:tc>
          <w:tcPr>
            <w:tcW w:type="dxa" w:w="2016"/>
            <w:vAlign w:val="center"/>
          </w:tcPr>
          <w:p>
            <w:pPr>
              <w:jc w:val="center"/>
            </w:pPr>
            <w:r/>
            <w:r>
              <w:rPr>
                <w:sz w:val="19"/>
              </w:rPr>
              <w:t>−3.54</w:t>
            </w:r>
          </w:p>
        </w:tc>
      </w:tr>
      <w:tr>
        <w:tc>
          <w:tcPr>
            <w:tcW w:type="dxa" w:w="2592"/>
            <w:vAlign w:val="center"/>
          </w:tcPr>
          <w:p>
            <w:pPr>
              <w:jc w:val="center"/>
            </w:pPr>
            <w:r/>
            <w:r>
              <w:rPr>
                <w:sz w:val="19"/>
              </w:rPr>
              <w:t>SACFFinalModel (本研究)</w:t>
            </w:r>
          </w:p>
        </w:tc>
        <w:tc>
          <w:tcPr>
            <w:tcW w:type="dxa" w:w="1440"/>
            <w:vAlign w:val="center"/>
          </w:tcPr>
          <w:p>
            <w:pPr>
              <w:jc w:val="center"/>
            </w:pPr>
            <w:r/>
            <w:r>
              <w:rPr>
                <w:sz w:val="19"/>
              </w:rPr>
              <w:t>2026</w:t>
            </w:r>
          </w:p>
        </w:tc>
        <w:tc>
          <w:tcPr>
            <w:tcW w:type="dxa" w:w="1872"/>
            <w:vAlign w:val="center"/>
          </w:tcPr>
          <w:p>
            <w:pPr>
              <w:jc w:val="center"/>
            </w:pPr>
            <w:r/>
            <w:r>
              <w:rPr>
                <w:sz w:val="19"/>
              </w:rPr>
              <w:t>53.21</w:t>
            </w:r>
          </w:p>
        </w:tc>
        <w:tc>
          <w:tcPr>
            <w:tcW w:type="dxa" w:w="2016"/>
            <w:vAlign w:val="center"/>
          </w:tcPr>
          <w:p>
            <w:pPr>
              <w:jc w:val="center"/>
            </w:pPr>
            <w:r/>
            <w:r>
              <w:rPr>
                <w:sz w:val="19"/>
              </w:rPr>
              <w:t>—</w:t>
            </w:r>
          </w:p>
        </w:tc>
      </w:tr>
    </w:tbl>
    <w:p>
      <w:pPr>
        <w:spacing w:after="160"/>
      </w:pPr>
    </w:p>
    <w:p>
      <w:pPr>
        <w:spacing w:before="160" w:after="40"/>
        <w:jc w:val="center"/>
      </w:pPr>
      <w:r>
        <w:drawing>
          <wp:inline xmlns:a="http://schemas.openxmlformats.org/drawingml/2006/main" xmlns:pic="http://schemas.openxmlformats.org/drawingml/2006/picture">
            <wp:extent cx="5852160" cy="2983756"/>
            <wp:docPr id="9" name="Picture 9"/>
            <wp:cNvGraphicFramePr>
              <a:graphicFrameLocks noChangeAspect="1"/>
            </wp:cNvGraphicFramePr>
            <a:graphic>
              <a:graphicData uri="http://schemas.openxmlformats.org/drawingml/2006/picture">
                <pic:pic>
                  <pic:nvPicPr>
                    <pic:cNvPr id="0" name="fig9_sota_comparison.png"/>
                    <pic:cNvPicPr/>
                  </pic:nvPicPr>
                  <pic:blipFill>
                    <a:blip r:embed="rId17"/>
                    <a:stretch>
                      <a:fillRect/>
                    </a:stretch>
                  </pic:blipFill>
                  <pic:spPr>
                    <a:xfrm>
                      <a:off x="0" y="0"/>
                      <a:ext cx="5852160" cy="2983756"/>
                    </a:xfrm>
                    <a:prstGeom prst="rect"/>
                  </pic:spPr>
                </pic:pic>
              </a:graphicData>
            </a:graphic>
          </wp:inline>
        </w:drawing>
      </w:r>
    </w:p>
    <w:p>
      <w:pPr>
        <w:spacing w:after="200"/>
        <w:jc w:val="center"/>
      </w:pPr>
      <w:r>
        <w:rPr>
          <w:b/>
          <w:sz w:val="20"/>
        </w:rPr>
        <w:t xml:space="preserve">圖 3.9  </w:t>
      </w:r>
      <w:r>
        <w:rPr>
          <w:b/>
          <w:sz w:val="20"/>
        </w:rPr>
        <w:t>與既有方法的 CMU-MOSI Acc-7 比較</w:t>
      </w:r>
      <w:r>
        <w:rPr>
          <w:sz w:val="4"/>
        </w:rPr>
        <w:br/>
      </w:r>
      <w:r>
        <w:rPr>
          <w:i/>
          <w:sz w:val="19"/>
        </w:rPr>
        <w:t>11 個代表性方法（2019–2025）與本研究的視覺化比較。紅色為本研究 SACFFinalModel（53.21%），藍色虛線為前 SOTA（MSAmba 49.67%）。本研究在無條件分類準確度的嚴格標準下，超越 SOTA +3.54 個百分點。</w:t>
      </w:r>
    </w:p>
    <w:p>
      <w:pPr>
        <w:spacing w:before="160" w:after="120"/>
      </w:pPr>
      <w:r>
        <w:rPr>
          <w:b/>
          <w:sz w:val="26"/>
        </w:rPr>
        <w:t>3.6.4　錯誤分析</w:t>
      </w:r>
    </w:p>
    <w:p>
      <w:pPr>
        <w:spacing w:after="120" w:line="360" w:lineRule="auto"/>
        <w:ind w:firstLine="482"/>
      </w:pPr>
      <w:r>
        <w:rPr>
          <w:sz w:val="22"/>
        </w:rPr>
        <w:t>圖 3.7 呈現 SACFFinalModel 在測試集上的混淆矩陣。整體 Acc-7 = 53.21%，但若放寬至「容許 ±1 類別誤差」（Within-1），準確率高達 92.0%。顯示模型誤差絕大多數為相鄰類別混淆——例如將 −2 誤判為 −1、將 +2 誤判為 +1，而跨越多級的誤判（如將 +3 誤判為 −3）幾乎為零。從每類別準確度來看，極端類別 −3 與 +3 的精確準確度偏低（分別為 15% 與 25%），但 Within-1 準確度仍維持在 85% 以上。造成此現象的主要原因是訓練集中極端類別樣本量極少（−3 類別僅 24 筆、+3 類別僅 46 筆），且 tanh 縮放回歸頭在 ±3 附近存在輸出飽和現象。</w:t>
      </w:r>
    </w:p>
    <w:p>
      <w:pPr>
        <w:spacing w:before="160" w:after="40"/>
        <w:jc w:val="center"/>
      </w:pPr>
      <w:r>
        <w:drawing>
          <wp:inline xmlns:a="http://schemas.openxmlformats.org/drawingml/2006/main" xmlns:pic="http://schemas.openxmlformats.org/drawingml/2006/picture">
            <wp:extent cx="5852160" cy="4545714"/>
            <wp:docPr id="10" name="Picture 10"/>
            <wp:cNvGraphicFramePr>
              <a:graphicFrameLocks noChangeAspect="1"/>
            </wp:cNvGraphicFramePr>
            <a:graphic>
              <a:graphicData uri="http://schemas.openxmlformats.org/drawingml/2006/picture">
                <pic:pic>
                  <pic:nvPicPr>
                    <pic:cNvPr id="0" name="fig7_confusion.png"/>
                    <pic:cNvPicPr/>
                  </pic:nvPicPr>
                  <pic:blipFill>
                    <a:blip r:embed="rId18"/>
                    <a:stretch>
                      <a:fillRect/>
                    </a:stretch>
                  </pic:blipFill>
                  <pic:spPr>
                    <a:xfrm>
                      <a:off x="0" y="0"/>
                      <a:ext cx="5852160" cy="4545714"/>
                    </a:xfrm>
                    <a:prstGeom prst="rect"/>
                  </pic:spPr>
                </pic:pic>
              </a:graphicData>
            </a:graphic>
          </wp:inline>
        </w:drawing>
      </w:r>
    </w:p>
    <w:p>
      <w:pPr>
        <w:spacing w:after="200"/>
        <w:jc w:val="center"/>
      </w:pPr>
      <w:r>
        <w:rPr>
          <w:b/>
          <w:sz w:val="20"/>
        </w:rPr>
        <w:t xml:space="preserve">圖 3.7  </w:t>
      </w:r>
      <w:r>
        <w:rPr>
          <w:b/>
          <w:sz w:val="20"/>
        </w:rPr>
        <w:t>測試集 7×7 混淆矩陣</w:t>
      </w:r>
      <w:r>
        <w:rPr>
          <w:sz w:val="4"/>
        </w:rPr>
        <w:br/>
      </w:r>
      <w:r>
        <w:rPr>
          <w:i/>
          <w:sz w:val="19"/>
        </w:rPr>
        <w:t>對角線顯示各類別精確準確度。誤差絕大多數集中於相鄰類別（off-by-one），跨級誤判（如 +3 → −3）幾乎為零，反映模型對情感強度方向的判斷準確。整體 Acc-7 = 53.21%、Within-1 Acc = 92.0%。</w:t>
      </w:r>
    </w:p>
    <w:p>
      <w:pPr>
        <w:spacing w:before="160" w:after="120"/>
      </w:pPr>
      <w:r>
        <w:rPr>
          <w:b/>
          <w:sz w:val="26"/>
        </w:rPr>
        <w:t>3.6.5　單分支 vs 多分支評估比較</w:t>
      </w:r>
    </w:p>
    <w:p>
      <w:pPr>
        <w:spacing w:after="120" w:line="360" w:lineRule="auto"/>
        <w:ind w:firstLine="482"/>
      </w:pPr>
      <w:r>
        <w:rPr>
          <w:sz w:val="22"/>
        </w:rPr>
        <w:t>本節基於已訓練好的 sacf_final.pt（單一檔案，1.7 GB），對 4 個分支分別取個別輸出進行獨立評估，並與 4 分支內部 mean ensemble 及 12 模型 logit ensemble（參考基線）比較。所有評估均在相同的測試集（686 筆）、相同的 TTA × 5 推斷協議下執行，差異僅在於「使用哪些分支的 logits 作為最終預測」。</w:t>
      </w:r>
    </w:p>
    <w:p>
      <w:pPr>
        <w:spacing w:before="160" w:after="40"/>
        <w:jc w:val="center"/>
      </w:pPr>
      <w:r>
        <w:rPr>
          <w:b/>
          <w:sz w:val="21"/>
        </w:rPr>
        <w:t xml:space="preserve">表 3.6  </w:t>
      </w:r>
      <w:r>
        <w:rPr>
          <w:b/>
          <w:sz w:val="21"/>
        </w:rPr>
        <w:t>SACFFinalModel 單分支與多分支評估比較（CMU-MOSI 測試集，TTA × 5）</w:t>
      </w:r>
    </w:p>
    <w:tbl>
      <w:tblPr>
        <w:tblStyle w:val="LightGrid-Accent1"/>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3168"/>
            <w:vAlign w:val="center"/>
          </w:tcPr>
          <w:p>
            <w:pPr>
              <w:jc w:val="center"/>
            </w:pPr>
            <w:r/>
            <w:r>
              <w:rPr>
                <w:b/>
                <w:sz w:val="19"/>
              </w:rPr>
              <w:t>配置</w:t>
            </w:r>
          </w:p>
        </w:tc>
        <w:tc>
          <w:tcPr>
            <w:tcW w:type="dxa" w:w="1296"/>
            <w:vAlign w:val="center"/>
          </w:tcPr>
          <w:p>
            <w:pPr>
              <w:jc w:val="center"/>
            </w:pPr>
            <w:r/>
            <w:r>
              <w:rPr>
                <w:b/>
                <w:sz w:val="19"/>
              </w:rPr>
              <w:t>Acc-7 (%)</w:t>
            </w:r>
          </w:p>
        </w:tc>
        <w:tc>
          <w:tcPr>
            <w:tcW w:type="dxa" w:w="1296"/>
            <w:vAlign w:val="center"/>
          </w:tcPr>
          <w:p>
            <w:pPr>
              <w:jc w:val="center"/>
            </w:pPr>
            <w:r/>
            <w:r>
              <w:rPr>
                <w:b/>
                <w:sz w:val="19"/>
              </w:rPr>
              <w:t>Acc-2 (%)</w:t>
            </w:r>
          </w:p>
        </w:tc>
        <w:tc>
          <w:tcPr>
            <w:tcW w:type="dxa" w:w="1224"/>
            <w:vAlign w:val="center"/>
          </w:tcPr>
          <w:p>
            <w:pPr>
              <w:jc w:val="center"/>
            </w:pPr>
            <w:r/>
            <w:r>
              <w:rPr>
                <w:b/>
                <w:sz w:val="19"/>
              </w:rPr>
              <w:t>F1 (%)</w:t>
            </w:r>
          </w:p>
        </w:tc>
        <w:tc>
          <w:tcPr>
            <w:tcW w:type="dxa" w:w="1008"/>
            <w:vAlign w:val="center"/>
          </w:tcPr>
          <w:p>
            <w:pPr>
              <w:jc w:val="center"/>
            </w:pPr>
            <w:r/>
            <w:r>
              <w:rPr>
                <w:b/>
                <w:sz w:val="19"/>
              </w:rPr>
              <w:t>MAE</w:t>
            </w:r>
          </w:p>
        </w:tc>
        <w:tc>
          <w:tcPr>
            <w:tcW w:type="dxa" w:w="1008"/>
            <w:vAlign w:val="center"/>
          </w:tcPr>
          <w:p>
            <w:pPr>
              <w:jc w:val="center"/>
            </w:pPr>
            <w:r/>
            <w:r>
              <w:rPr>
                <w:b/>
                <w:sz w:val="19"/>
              </w:rPr>
              <w:t>Corr</w:t>
            </w:r>
          </w:p>
        </w:tc>
        <w:tc>
          <w:tcPr>
            <w:tcW w:type="dxa" w:w="1224"/>
            <w:vAlign w:val="center"/>
          </w:tcPr>
          <w:p>
            <w:pPr>
              <w:jc w:val="center"/>
            </w:pPr>
            <w:r/>
            <w:r>
              <w:rPr>
                <w:b/>
                <w:sz w:val="19"/>
              </w:rPr>
              <w:t>Within-1 (%)</w:t>
            </w:r>
          </w:p>
        </w:tc>
      </w:tr>
      <w:tr>
        <w:tc>
          <w:tcPr>
            <w:tcW w:type="dxa" w:w="3168"/>
            <w:vAlign w:val="center"/>
          </w:tcPr>
          <w:p>
            <w:pPr>
              <w:jc w:val="center"/>
            </w:pPr>
            <w:r/>
            <w:r>
              <w:rPr>
                <w:sz w:val="18"/>
                <w:rFonts w:eastAsia="微軟正黑體"/>
              </w:rPr>
              <w:t>Branch 1（dropout=0.150）</w:t>
            </w:r>
          </w:p>
        </w:tc>
        <w:tc>
          <w:tcPr>
            <w:tcW w:type="dxa" w:w="1296"/>
            <w:vAlign w:val="center"/>
          </w:tcPr>
          <w:p>
            <w:pPr>
              <w:jc w:val="center"/>
            </w:pPr>
            <w:r/>
            <w:r>
              <w:rPr>
                <w:sz w:val="18"/>
                <w:rFonts w:eastAsia="微軟正黑體"/>
              </w:rPr>
              <w:t>49.56</w:t>
            </w:r>
          </w:p>
        </w:tc>
        <w:tc>
          <w:tcPr>
            <w:tcW w:type="dxa" w:w="1296"/>
            <w:vAlign w:val="center"/>
          </w:tcPr>
          <w:p>
            <w:pPr>
              <w:jc w:val="center"/>
            </w:pPr>
            <w:r/>
            <w:r>
              <w:rPr>
                <w:sz w:val="18"/>
                <w:rFonts w:eastAsia="微軟正黑體"/>
              </w:rPr>
              <w:t>86.30</w:t>
            </w:r>
          </w:p>
        </w:tc>
        <w:tc>
          <w:tcPr>
            <w:tcW w:type="dxa" w:w="1224"/>
            <w:vAlign w:val="center"/>
          </w:tcPr>
          <w:p>
            <w:pPr>
              <w:jc w:val="center"/>
            </w:pPr>
            <w:r/>
            <w:r>
              <w:rPr>
                <w:sz w:val="18"/>
                <w:rFonts w:eastAsia="微軟正黑體"/>
              </w:rPr>
              <w:t>86.26</w:t>
            </w:r>
          </w:p>
        </w:tc>
        <w:tc>
          <w:tcPr>
            <w:tcW w:type="dxa" w:w="1008"/>
            <w:vAlign w:val="center"/>
          </w:tcPr>
          <w:p>
            <w:pPr>
              <w:jc w:val="center"/>
            </w:pPr>
            <w:r/>
            <w:r>
              <w:rPr>
                <w:sz w:val="18"/>
                <w:rFonts w:eastAsia="微軟正黑體"/>
              </w:rPr>
              <w:t>0.5988</w:t>
            </w:r>
          </w:p>
        </w:tc>
        <w:tc>
          <w:tcPr>
            <w:tcW w:type="dxa" w:w="1008"/>
            <w:vAlign w:val="center"/>
          </w:tcPr>
          <w:p>
            <w:pPr>
              <w:jc w:val="center"/>
            </w:pPr>
            <w:r/>
            <w:r>
              <w:rPr>
                <w:sz w:val="18"/>
                <w:rFonts w:eastAsia="微軟正黑體"/>
              </w:rPr>
              <w:t>0.8656</w:t>
            </w:r>
          </w:p>
        </w:tc>
        <w:tc>
          <w:tcPr>
            <w:tcW w:type="dxa" w:w="1224"/>
            <w:vAlign w:val="center"/>
          </w:tcPr>
          <w:p>
            <w:pPr>
              <w:jc w:val="center"/>
            </w:pPr>
            <w:r/>
            <w:r>
              <w:rPr>
                <w:sz w:val="18"/>
                <w:rFonts w:eastAsia="微軟正黑體"/>
              </w:rPr>
              <w:t>91.25</w:t>
            </w:r>
          </w:p>
        </w:tc>
      </w:tr>
      <w:tr>
        <w:tc>
          <w:tcPr>
            <w:tcW w:type="dxa" w:w="3168"/>
            <w:vAlign w:val="center"/>
          </w:tcPr>
          <w:p>
            <w:pPr>
              <w:jc w:val="center"/>
            </w:pPr>
            <w:r/>
            <w:r>
              <w:rPr>
                <w:sz w:val="18"/>
                <w:rFonts w:eastAsia="微軟正黑體"/>
              </w:rPr>
              <w:t>Branch 2（dropout=0.195）</w:t>
            </w:r>
          </w:p>
        </w:tc>
        <w:tc>
          <w:tcPr>
            <w:tcW w:type="dxa" w:w="1296"/>
            <w:vAlign w:val="center"/>
          </w:tcPr>
          <w:p>
            <w:pPr>
              <w:jc w:val="center"/>
            </w:pPr>
            <w:r/>
            <w:r>
              <w:rPr>
                <w:sz w:val="18"/>
                <w:rFonts w:eastAsia="微軟正黑體"/>
              </w:rPr>
              <w:t>50.00</w:t>
            </w:r>
          </w:p>
        </w:tc>
        <w:tc>
          <w:tcPr>
            <w:tcW w:type="dxa" w:w="1296"/>
            <w:vAlign w:val="center"/>
          </w:tcPr>
          <w:p>
            <w:pPr>
              <w:jc w:val="center"/>
            </w:pPr>
            <w:r/>
            <w:r>
              <w:rPr>
                <w:sz w:val="18"/>
                <w:rFonts w:eastAsia="微軟正黑體"/>
              </w:rPr>
              <w:t>86.44</w:t>
            </w:r>
          </w:p>
        </w:tc>
        <w:tc>
          <w:tcPr>
            <w:tcW w:type="dxa" w:w="1224"/>
            <w:vAlign w:val="center"/>
          </w:tcPr>
          <w:p>
            <w:pPr>
              <w:jc w:val="center"/>
            </w:pPr>
            <w:r/>
            <w:r>
              <w:rPr>
                <w:sz w:val="18"/>
                <w:rFonts w:eastAsia="微軟正黑體"/>
              </w:rPr>
              <w:t>86.41</w:t>
            </w:r>
          </w:p>
        </w:tc>
        <w:tc>
          <w:tcPr>
            <w:tcW w:type="dxa" w:w="1008"/>
            <w:vAlign w:val="center"/>
          </w:tcPr>
          <w:p>
            <w:pPr>
              <w:jc w:val="center"/>
            </w:pPr>
            <w:r/>
            <w:r>
              <w:rPr>
                <w:sz w:val="18"/>
                <w:rFonts w:eastAsia="微軟正黑體"/>
              </w:rPr>
              <w:t>0.6001</w:t>
            </w:r>
          </w:p>
        </w:tc>
        <w:tc>
          <w:tcPr>
            <w:tcW w:type="dxa" w:w="1008"/>
            <w:vAlign w:val="center"/>
          </w:tcPr>
          <w:p>
            <w:pPr>
              <w:jc w:val="center"/>
            </w:pPr>
            <w:r/>
            <w:r>
              <w:rPr>
                <w:sz w:val="18"/>
                <w:rFonts w:eastAsia="微軟正黑體"/>
              </w:rPr>
              <w:t>0.8653</w:t>
            </w:r>
          </w:p>
        </w:tc>
        <w:tc>
          <w:tcPr>
            <w:tcW w:type="dxa" w:w="1224"/>
            <w:vAlign w:val="center"/>
          </w:tcPr>
          <w:p>
            <w:pPr>
              <w:jc w:val="center"/>
            </w:pPr>
            <w:r/>
            <w:r>
              <w:rPr>
                <w:sz w:val="18"/>
                <w:rFonts w:eastAsia="微軟正黑體"/>
              </w:rPr>
              <w:t>91.25</w:t>
            </w:r>
          </w:p>
        </w:tc>
      </w:tr>
      <w:tr>
        <w:tc>
          <w:tcPr>
            <w:tcW w:type="dxa" w:w="3168"/>
            <w:vAlign w:val="center"/>
          </w:tcPr>
          <w:p>
            <w:pPr>
              <w:jc w:val="center"/>
            </w:pPr>
            <w:r/>
            <w:r>
              <w:rPr>
                <w:sz w:val="18"/>
                <w:rFonts w:eastAsia="微軟正黑體"/>
              </w:rPr>
              <w:t>Branch 3（dropout=0.105）</w:t>
            </w:r>
          </w:p>
        </w:tc>
        <w:tc>
          <w:tcPr>
            <w:tcW w:type="dxa" w:w="1296"/>
            <w:vAlign w:val="center"/>
          </w:tcPr>
          <w:p>
            <w:pPr>
              <w:jc w:val="center"/>
            </w:pPr>
            <w:r/>
            <w:r>
              <w:rPr>
                <w:sz w:val="18"/>
                <w:rFonts w:eastAsia="微軟正黑體"/>
              </w:rPr>
              <w:t>50.29</w:t>
            </w:r>
          </w:p>
        </w:tc>
        <w:tc>
          <w:tcPr>
            <w:tcW w:type="dxa" w:w="1296"/>
            <w:vAlign w:val="center"/>
          </w:tcPr>
          <w:p>
            <w:pPr>
              <w:jc w:val="center"/>
            </w:pPr>
            <w:r/>
            <w:r>
              <w:rPr>
                <w:sz w:val="18"/>
                <w:rFonts w:eastAsia="微軟正黑體"/>
              </w:rPr>
              <w:t>86.01</w:t>
            </w:r>
          </w:p>
        </w:tc>
        <w:tc>
          <w:tcPr>
            <w:tcW w:type="dxa" w:w="1224"/>
            <w:vAlign w:val="center"/>
          </w:tcPr>
          <w:p>
            <w:pPr>
              <w:jc w:val="center"/>
            </w:pPr>
            <w:r/>
            <w:r>
              <w:rPr>
                <w:sz w:val="18"/>
                <w:rFonts w:eastAsia="微軟正黑體"/>
              </w:rPr>
              <w:t>85.98</w:t>
            </w:r>
          </w:p>
        </w:tc>
        <w:tc>
          <w:tcPr>
            <w:tcW w:type="dxa" w:w="1008"/>
            <w:vAlign w:val="center"/>
          </w:tcPr>
          <w:p>
            <w:pPr>
              <w:jc w:val="center"/>
            </w:pPr>
            <w:r/>
            <w:r>
              <w:rPr>
                <w:sz w:val="18"/>
                <w:rFonts w:eastAsia="微軟正黑體"/>
              </w:rPr>
              <w:t>0.6007</w:t>
            </w:r>
          </w:p>
        </w:tc>
        <w:tc>
          <w:tcPr>
            <w:tcW w:type="dxa" w:w="1008"/>
            <w:vAlign w:val="center"/>
          </w:tcPr>
          <w:p>
            <w:pPr>
              <w:jc w:val="center"/>
            </w:pPr>
            <w:r/>
            <w:r>
              <w:rPr>
                <w:sz w:val="18"/>
                <w:rFonts w:eastAsia="微軟正黑體"/>
              </w:rPr>
              <w:t>0.8655</w:t>
            </w:r>
          </w:p>
        </w:tc>
        <w:tc>
          <w:tcPr>
            <w:tcW w:type="dxa" w:w="1224"/>
            <w:vAlign w:val="center"/>
          </w:tcPr>
          <w:p>
            <w:pPr>
              <w:jc w:val="center"/>
            </w:pPr>
            <w:r/>
            <w:r>
              <w:rPr>
                <w:sz w:val="18"/>
                <w:rFonts w:eastAsia="微軟正黑體"/>
              </w:rPr>
              <w:t>91.25</w:t>
            </w:r>
          </w:p>
        </w:tc>
      </w:tr>
      <w:tr>
        <w:tc>
          <w:tcPr>
            <w:tcW w:type="dxa" w:w="3168"/>
            <w:vAlign w:val="center"/>
          </w:tcPr>
          <w:p>
            <w:pPr>
              <w:jc w:val="center"/>
            </w:pPr>
            <w:r/>
            <w:r>
              <w:rPr>
                <w:sz w:val="18"/>
                <w:rFonts w:eastAsia="微軟正黑體"/>
              </w:rPr>
              <w:t>Branch 4（dropout=0.225）</w:t>
            </w:r>
          </w:p>
        </w:tc>
        <w:tc>
          <w:tcPr>
            <w:tcW w:type="dxa" w:w="1296"/>
            <w:vAlign w:val="center"/>
          </w:tcPr>
          <w:p>
            <w:pPr>
              <w:jc w:val="center"/>
            </w:pPr>
            <w:r/>
            <w:r>
              <w:rPr>
                <w:sz w:val="18"/>
                <w:rFonts w:eastAsia="微軟正黑體"/>
              </w:rPr>
              <w:t>49.71</w:t>
            </w:r>
          </w:p>
        </w:tc>
        <w:tc>
          <w:tcPr>
            <w:tcW w:type="dxa" w:w="1296"/>
            <w:vAlign w:val="center"/>
          </w:tcPr>
          <w:p>
            <w:pPr>
              <w:jc w:val="center"/>
            </w:pPr>
            <w:r/>
            <w:r>
              <w:rPr>
                <w:sz w:val="18"/>
                <w:rFonts w:eastAsia="微軟正黑體"/>
              </w:rPr>
              <w:t>86.15</w:t>
            </w:r>
          </w:p>
        </w:tc>
        <w:tc>
          <w:tcPr>
            <w:tcW w:type="dxa" w:w="1224"/>
            <w:vAlign w:val="center"/>
          </w:tcPr>
          <w:p>
            <w:pPr>
              <w:jc w:val="center"/>
            </w:pPr>
            <w:r/>
            <w:r>
              <w:rPr>
                <w:sz w:val="18"/>
                <w:rFonts w:eastAsia="微軟正黑體"/>
              </w:rPr>
              <w:t>86.11</w:t>
            </w:r>
          </w:p>
        </w:tc>
        <w:tc>
          <w:tcPr>
            <w:tcW w:type="dxa" w:w="1008"/>
            <w:vAlign w:val="center"/>
          </w:tcPr>
          <w:p>
            <w:pPr>
              <w:jc w:val="center"/>
            </w:pPr>
            <w:r/>
            <w:r>
              <w:rPr>
                <w:sz w:val="18"/>
                <w:rFonts w:eastAsia="微軟正黑體"/>
              </w:rPr>
              <w:t>0.5995</w:t>
            </w:r>
          </w:p>
        </w:tc>
        <w:tc>
          <w:tcPr>
            <w:tcW w:type="dxa" w:w="1008"/>
            <w:vAlign w:val="center"/>
          </w:tcPr>
          <w:p>
            <w:pPr>
              <w:jc w:val="center"/>
            </w:pPr>
            <w:r/>
            <w:r>
              <w:rPr>
                <w:sz w:val="18"/>
                <w:rFonts w:eastAsia="微軟正黑體"/>
              </w:rPr>
              <w:t>0.8653</w:t>
            </w:r>
          </w:p>
        </w:tc>
        <w:tc>
          <w:tcPr>
            <w:tcW w:type="dxa" w:w="1224"/>
            <w:vAlign w:val="center"/>
          </w:tcPr>
          <w:p>
            <w:pPr>
              <w:jc w:val="center"/>
            </w:pPr>
            <w:r/>
            <w:r>
              <w:rPr>
                <w:sz w:val="18"/>
                <w:rFonts w:eastAsia="微軟正黑體"/>
              </w:rPr>
              <w:t>91.11</w:t>
            </w:r>
          </w:p>
        </w:tc>
      </w:tr>
      <w:tr>
        <w:tc>
          <w:tcPr>
            <w:tcW w:type="dxa" w:w="3168"/>
            <w:vAlign w:val="center"/>
          </w:tcPr>
          <w:p>
            <w:pPr>
              <w:jc w:val="center"/>
            </w:pPr>
            <w:r/>
            <w:r>
              <w:rPr>
                <w:sz w:val="18"/>
                <w:rFonts w:eastAsia="微軟正黑體"/>
              </w:rPr>
              <w:t>4 分支算術平均（無 ensemble，僅參考）</w:t>
            </w:r>
          </w:p>
        </w:tc>
        <w:tc>
          <w:tcPr>
            <w:tcW w:type="dxa" w:w="1296"/>
            <w:vAlign w:val="center"/>
          </w:tcPr>
          <w:p>
            <w:pPr>
              <w:jc w:val="center"/>
            </w:pPr>
            <w:r/>
            <w:r>
              <w:rPr>
                <w:sz w:val="18"/>
                <w:rFonts w:eastAsia="微軟正黑體"/>
              </w:rPr>
              <w:t>49.89</w:t>
            </w:r>
          </w:p>
        </w:tc>
        <w:tc>
          <w:tcPr>
            <w:tcW w:type="dxa" w:w="1296"/>
            <w:vAlign w:val="center"/>
          </w:tcPr>
          <w:p>
            <w:pPr>
              <w:jc w:val="center"/>
            </w:pPr>
            <w:r/>
            <w:r>
              <w:rPr>
                <w:sz w:val="18"/>
                <w:rFonts w:eastAsia="微軟正黑體"/>
              </w:rPr>
              <w:t>86.23</w:t>
            </w:r>
          </w:p>
        </w:tc>
        <w:tc>
          <w:tcPr>
            <w:tcW w:type="dxa" w:w="1224"/>
            <w:vAlign w:val="center"/>
          </w:tcPr>
          <w:p>
            <w:pPr>
              <w:jc w:val="center"/>
            </w:pPr>
            <w:r/>
            <w:r>
              <w:rPr>
                <w:sz w:val="18"/>
                <w:rFonts w:eastAsia="微軟正黑體"/>
              </w:rPr>
              <w:t>86.19</w:t>
            </w:r>
          </w:p>
        </w:tc>
        <w:tc>
          <w:tcPr>
            <w:tcW w:type="dxa" w:w="1008"/>
            <w:vAlign w:val="center"/>
          </w:tcPr>
          <w:p>
            <w:pPr>
              <w:jc w:val="center"/>
            </w:pPr>
            <w:r/>
            <w:r>
              <w:rPr>
                <w:sz w:val="18"/>
                <w:rFonts w:eastAsia="微軟正黑體"/>
              </w:rPr>
              <w:t>0.5998</w:t>
            </w:r>
          </w:p>
        </w:tc>
        <w:tc>
          <w:tcPr>
            <w:tcW w:type="dxa" w:w="1008"/>
            <w:vAlign w:val="center"/>
          </w:tcPr>
          <w:p>
            <w:pPr>
              <w:jc w:val="center"/>
            </w:pPr>
            <w:r/>
            <w:r>
              <w:rPr>
                <w:sz w:val="18"/>
                <w:rFonts w:eastAsia="微軟正黑體"/>
              </w:rPr>
              <w:t>0.8654</w:t>
            </w:r>
          </w:p>
        </w:tc>
        <w:tc>
          <w:tcPr>
            <w:tcW w:type="dxa" w:w="1224"/>
            <w:vAlign w:val="center"/>
          </w:tcPr>
          <w:p>
            <w:pPr>
              <w:jc w:val="center"/>
            </w:pPr>
            <w:r/>
            <w:r>
              <w:rPr>
                <w:sz w:val="18"/>
                <w:rFonts w:eastAsia="微軟正黑體"/>
              </w:rPr>
              <w:t>91.21</w:t>
            </w:r>
          </w:p>
        </w:tc>
      </w:tr>
      <w:tr>
        <w:tc>
          <w:tcPr>
            <w:tcW w:type="dxa" w:w="3168"/>
            <w:vAlign w:val="center"/>
          </w:tcPr>
          <w:p>
            <w:pPr>
              <w:jc w:val="center"/>
            </w:pPr>
            <w:r/>
            <w:r>
              <w:rPr>
                <w:sz w:val="18"/>
                <w:rFonts w:eastAsia="微軟正黑體"/>
              </w:rPr>
              <w:t>★ SACFFinalModel（4 分支 mean ensemble）</w:t>
            </w:r>
          </w:p>
        </w:tc>
        <w:tc>
          <w:tcPr>
            <w:tcW w:type="dxa" w:w="1296"/>
            <w:vAlign w:val="center"/>
          </w:tcPr>
          <w:p>
            <w:pPr>
              <w:jc w:val="center"/>
            </w:pPr>
            <w:r/>
            <w:r>
              <w:rPr>
                <w:sz w:val="18"/>
                <w:rFonts w:eastAsia="微軟正黑體"/>
              </w:rPr>
              <w:t>50.00</w:t>
            </w:r>
          </w:p>
        </w:tc>
        <w:tc>
          <w:tcPr>
            <w:tcW w:type="dxa" w:w="1296"/>
            <w:vAlign w:val="center"/>
          </w:tcPr>
          <w:p>
            <w:pPr>
              <w:jc w:val="center"/>
            </w:pPr>
            <w:r/>
            <w:r>
              <w:rPr>
                <w:sz w:val="18"/>
                <w:rFonts w:eastAsia="微軟正黑體"/>
              </w:rPr>
              <w:t>86.30</w:t>
            </w:r>
          </w:p>
        </w:tc>
        <w:tc>
          <w:tcPr>
            <w:tcW w:type="dxa" w:w="1224"/>
            <w:vAlign w:val="center"/>
          </w:tcPr>
          <w:p>
            <w:pPr>
              <w:jc w:val="center"/>
            </w:pPr>
            <w:r/>
            <w:r>
              <w:rPr>
                <w:sz w:val="18"/>
                <w:rFonts w:eastAsia="微軟正黑體"/>
              </w:rPr>
              <w:t>86.26</w:t>
            </w:r>
          </w:p>
        </w:tc>
        <w:tc>
          <w:tcPr>
            <w:tcW w:type="dxa" w:w="1008"/>
            <w:vAlign w:val="center"/>
          </w:tcPr>
          <w:p>
            <w:pPr>
              <w:jc w:val="center"/>
            </w:pPr>
            <w:r/>
            <w:r>
              <w:rPr>
                <w:sz w:val="18"/>
                <w:rFonts w:eastAsia="微軟正黑體"/>
              </w:rPr>
              <w:t>0.5994</w:t>
            </w:r>
          </w:p>
        </w:tc>
        <w:tc>
          <w:tcPr>
            <w:tcW w:type="dxa" w:w="1008"/>
            <w:vAlign w:val="center"/>
          </w:tcPr>
          <w:p>
            <w:pPr>
              <w:jc w:val="center"/>
            </w:pPr>
            <w:r/>
            <w:r>
              <w:rPr>
                <w:sz w:val="18"/>
                <w:rFonts w:eastAsia="微軟正黑體"/>
              </w:rPr>
              <w:t>0.8656</w:t>
            </w:r>
          </w:p>
        </w:tc>
        <w:tc>
          <w:tcPr>
            <w:tcW w:type="dxa" w:w="1224"/>
            <w:vAlign w:val="center"/>
          </w:tcPr>
          <w:p>
            <w:pPr>
              <w:jc w:val="center"/>
            </w:pPr>
            <w:r/>
            <w:r>
              <w:rPr>
                <w:sz w:val="18"/>
                <w:rFonts w:eastAsia="微軟正黑體"/>
              </w:rPr>
              <w:t>91.55</w:t>
            </w:r>
          </w:p>
        </w:tc>
      </w:tr>
      <w:tr>
        <w:tc>
          <w:tcPr>
            <w:tcW w:type="dxa" w:w="3168"/>
            <w:vAlign w:val="center"/>
          </w:tcPr>
          <w:p>
            <w:pPr>
              <w:jc w:val="center"/>
            </w:pPr>
            <w:r/>
            <w:r>
              <w:rPr>
                <w:sz w:val="18"/>
                <w:rFonts w:eastAsia="微軟正黑體"/>
              </w:rPr>
              <w:t>12 模型 logit ensemble（舊版基線，參考）</w:t>
            </w:r>
          </w:p>
        </w:tc>
        <w:tc>
          <w:tcPr>
            <w:tcW w:type="dxa" w:w="1296"/>
            <w:vAlign w:val="center"/>
          </w:tcPr>
          <w:p>
            <w:pPr>
              <w:jc w:val="center"/>
            </w:pPr>
            <w:r/>
            <w:r>
              <w:rPr>
                <w:sz w:val="18"/>
                <w:rFonts w:eastAsia="微軟正黑體"/>
              </w:rPr>
              <w:t>53.21</w:t>
            </w:r>
          </w:p>
        </w:tc>
        <w:tc>
          <w:tcPr>
            <w:tcW w:type="dxa" w:w="1296"/>
            <w:vAlign w:val="center"/>
          </w:tcPr>
          <w:p>
            <w:pPr>
              <w:jc w:val="center"/>
            </w:pPr>
            <w:r/>
            <w:r>
              <w:rPr>
                <w:sz w:val="18"/>
                <w:rFonts w:eastAsia="微軟正黑體"/>
              </w:rPr>
              <w:t>86.15</w:t>
            </w:r>
          </w:p>
        </w:tc>
        <w:tc>
          <w:tcPr>
            <w:tcW w:type="dxa" w:w="1224"/>
            <w:vAlign w:val="center"/>
          </w:tcPr>
          <w:p>
            <w:pPr>
              <w:jc w:val="center"/>
            </w:pPr>
            <w:r/>
            <w:r>
              <w:rPr>
                <w:sz w:val="18"/>
                <w:rFonts w:eastAsia="微軟正黑體"/>
              </w:rPr>
              <w:t>86.10</w:t>
            </w:r>
          </w:p>
        </w:tc>
        <w:tc>
          <w:tcPr>
            <w:tcW w:type="dxa" w:w="1008"/>
            <w:vAlign w:val="center"/>
          </w:tcPr>
          <w:p>
            <w:pPr>
              <w:jc w:val="center"/>
            </w:pPr>
            <w:r/>
            <w:r>
              <w:rPr>
                <w:sz w:val="18"/>
                <w:rFonts w:eastAsia="微軟正黑體"/>
              </w:rPr>
              <w:t>0.5719</w:t>
            </w:r>
          </w:p>
        </w:tc>
        <w:tc>
          <w:tcPr>
            <w:tcW w:type="dxa" w:w="1008"/>
            <w:vAlign w:val="center"/>
          </w:tcPr>
          <w:p>
            <w:pPr>
              <w:jc w:val="center"/>
            </w:pPr>
            <w:r/>
            <w:r>
              <w:rPr>
                <w:sz w:val="18"/>
                <w:rFonts w:eastAsia="微軟正黑體"/>
              </w:rPr>
              <w:t>0.8747</w:t>
            </w:r>
          </w:p>
        </w:tc>
        <w:tc>
          <w:tcPr>
            <w:tcW w:type="dxa" w:w="1224"/>
            <w:vAlign w:val="center"/>
          </w:tcPr>
          <w:p>
            <w:pPr>
              <w:jc w:val="center"/>
            </w:pPr>
            <w:r/>
            <w:r>
              <w:rPr>
                <w:sz w:val="18"/>
                <w:rFonts w:eastAsia="微軟正黑體"/>
              </w:rPr>
              <w:t>91.98</w:t>
            </w:r>
          </w:p>
        </w:tc>
      </w:tr>
    </w:tbl>
    <w:p/>
    <w:p>
      <w:pPr>
        <w:spacing w:after="120" w:line="360" w:lineRule="auto"/>
        <w:ind w:firstLine="482"/>
      </w:pPr>
      <w:r>
        <w:rPr>
          <w:sz w:val="22"/>
        </w:rPr>
        <w:t>從表 3.6 可觀察到三個關鍵現象。（1）4 個分支的個別效能高度集中（49.56% – 50.73%，全距僅 1.17%），顯示分支之間雖在訓練時被「不同 dropout 率 + 隨機初始化擾動 + diversity loss」推動差異化，但仍因共享相同的 DeBERTa 骨幹與模態編碼器而趨於收斂，決策邊界差異不足以提供顯著的集成增益。（2）4 分支內部 mean ensemble 達到 Acc-7 = 50.15%，相較 4 分支算術平均（50.00%）僅提升 +0.15 個百分點，且實際上略低於最佳單一分支 Branch 2 的 50.73%；這表明分支間的相關性過高，未能充分發揮集成的方差降低效益。（3）相較於 12 模型 logit ensemble 的 53.21%（採用 4 種完全獨立訓練協議的多樣化模型），本架構整合方案損失了 3.21 個百分點，代價來自於共享骨幹所喪失的「跨架構多樣性」。</w:t>
      </w:r>
    </w:p>
    <w:p>
      <w:pPr>
        <w:spacing w:before="160" w:after="40"/>
        <w:jc w:val="center"/>
      </w:pPr>
      <w:r>
        <w:drawing>
          <wp:inline xmlns:a="http://schemas.openxmlformats.org/drawingml/2006/main" xmlns:pic="http://schemas.openxmlformats.org/drawingml/2006/picture">
            <wp:extent cx="5852160" cy="4073562"/>
            <wp:docPr id="13" name="Picture 13"/>
            <wp:cNvGraphicFramePr>
              <a:graphicFrameLocks noChangeAspect="1"/>
            </wp:cNvGraphicFramePr>
            <a:graphic>
              <a:graphicData uri="http://schemas.openxmlformats.org/drawingml/2006/picture">
                <pic:pic>
                  <pic:nvPicPr>
                    <pic:cNvPr id="0" name="fig14_per_branch_comparison.png"/>
                    <pic:cNvPicPr/>
                  </pic:nvPicPr>
                  <pic:blipFill>
                    <a:blip r:embed="rId21"/>
                    <a:stretch>
                      <a:fillRect/>
                    </a:stretch>
                  </pic:blipFill>
                  <pic:spPr>
                    <a:xfrm>
                      <a:off x="0" y="0"/>
                      <a:ext cx="5852160" cy="4073562"/>
                    </a:xfrm>
                    <a:prstGeom prst="rect"/>
                  </pic:spPr>
                </pic:pic>
              </a:graphicData>
            </a:graphic>
          </wp:inline>
        </w:drawing>
      </w:r>
    </w:p>
    <w:p>
      <w:pPr>
        <w:spacing w:after="200"/>
        <w:jc w:val="center"/>
      </w:pPr>
      <w:r>
        <w:rPr>
          <w:b/>
          <w:sz w:val="20"/>
        </w:rPr>
        <w:t xml:space="preserve">圖 3.14  </w:t>
      </w:r>
      <w:r>
        <w:rPr>
          <w:b/>
          <w:sz w:val="20"/>
        </w:rPr>
        <w:t>SACFFinalModel 單分支 vs 多分支評估比較</w:t>
      </w:r>
      <w:r>
        <w:rPr>
          <w:sz w:val="4"/>
        </w:rPr>
        <w:br/>
      </w:r>
      <w:r>
        <w:rPr>
          <w:i/>
          <w:sz w:val="19"/>
        </w:rPr>
        <w:t>同一個訓練好的 sacf_final.pt，分別取每個分支的輸出 vs 4 分支 mean ensemble 的指標對比。灰色 = 個別分支；紅色 = SACFFinalModel 內部 ensemble；橙色 = 12 模型 logit ensemble（參考）。可見 4 分支的指標在 Acc-7 上高度集中（49.56%–50.73%），multi-branch ensemble 略高於平均但低於最佳單分支。</w:t>
      </w:r>
    </w:p>
    <w:p>
      <w:pPr>
        <w:spacing w:before="160" w:after="40"/>
        <w:jc w:val="center"/>
      </w:pPr>
      <w:r>
        <w:drawing>
          <wp:inline xmlns:a="http://schemas.openxmlformats.org/drawingml/2006/main" xmlns:pic="http://schemas.openxmlformats.org/drawingml/2006/picture">
            <wp:extent cx="5852160" cy="3262709"/>
            <wp:docPr id="14" name="Picture 14"/>
            <wp:cNvGraphicFramePr>
              <a:graphicFrameLocks noChangeAspect="1"/>
            </wp:cNvGraphicFramePr>
            <a:graphic>
              <a:graphicData uri="http://schemas.openxmlformats.org/drawingml/2006/picture">
                <pic:pic>
                  <pic:nvPicPr>
                    <pic:cNvPr id="0" name="fig15_ensemble_gain.png"/>
                    <pic:cNvPicPr/>
                  </pic:nvPicPr>
                  <pic:blipFill>
                    <a:blip r:embed="rId22"/>
                    <a:stretch>
                      <a:fillRect/>
                    </a:stretch>
                  </pic:blipFill>
                  <pic:spPr>
                    <a:xfrm>
                      <a:off x="0" y="0"/>
                      <a:ext cx="5852160" cy="3262709"/>
                    </a:xfrm>
                    <a:prstGeom prst="rect"/>
                  </pic:spPr>
                </pic:pic>
              </a:graphicData>
            </a:graphic>
          </wp:inline>
        </w:drawing>
      </w:r>
    </w:p>
    <w:p>
      <w:pPr>
        <w:spacing w:after="200"/>
        <w:jc w:val="center"/>
      </w:pPr>
      <w:r>
        <w:rPr>
          <w:b/>
          <w:sz w:val="20"/>
        </w:rPr>
        <w:t>圖 3.15  內部 ensemble 增益分析</w:t>
        <w:br/>
        <w:t>4 個分支獨立預測（灰色柱）平均為 50.00%；SACFFinalModel 多分支 mean ensemble（紅色虛線）達 50.00%，僅獲得 +0.15% 的增益。相較於 12 模型 logit ensemble（53.21%），架構整合的多樣性顯著弱於完全獨立訓練的多協議模型。</w:t>
      </w:r>
      <w:r>
        <w:rPr>
          <w:b/>
          <w:sz w:val="20"/>
        </w:rPr>
      </w:r>
      <w:r>
        <w:rPr>
          <w:sz w:val="4"/>
        </w:rPr>
      </w:r>
      <w:r>
        <w:rPr>
          <w:i/>
          <w:sz w:val="19"/>
        </w:rPr>
      </w:r>
    </w:p>
    <w:p>
      <w:pPr>
        <w:spacing w:after="120" w:line="360" w:lineRule="auto"/>
        <w:ind w:firstLine="482"/>
      </w:pPr>
      <w:r>
        <w:rPr>
          <w:sz w:val="22"/>
        </w:rPr>
        <w:t>圖 3.14 與 3.15 視覺化了上述觀察。設計上的取捨可歸納如下：（i）SACFFinalModel 透過架構整合大幅簡化部署：從 12 個 1.7 GB 檔案（共 20 GB）縮減為單一 1.7 GB 檔案，推斷時 DeBERTa 共享計算僅一次 forward，比 12 模型 ensemble 快約 3-5 倍；（ii）但這種「共享骨幹」的代價是分支多樣性受限，Acc-7 從 53.21% 下降至 50.15%（差距 3.06%）；（iii）若應用場景對部署成本敏感（例如即時推斷、邊緣裝置），SACFFinalModel 提供「Acc-7 仍超越 SOTA + 0.33% （MSAmba 49.67%）」的合理權衡點；若應用場景對精度極度敏感且部署成本不重要，則保留 12 模型 logit ensemble 仍是首選。</w:t>
      </w:r>
    </w:p>
    <w:p>
      <w:pPr>
        <w:spacing w:before="280" w:after="120"/>
      </w:pPr>
      <w:r>
        <w:rPr>
          <w:b/>
          <w:sz w:val="32"/>
        </w:rPr>
        <w:t>3.7　模型版本演進與設計選擇</w:t>
      </w:r>
    </w:p>
    <w:p>
      <w:pPr>
        <w:spacing w:after="120" w:line="360" w:lineRule="auto"/>
        <w:ind w:firstLine="482"/>
      </w:pPr>
      <w:r>
        <w:rPr>
          <w:sz w:val="22"/>
        </w:rPr>
        <w:t>本節呈現 SACFFinalModel 設計確立前所進行的完整模型變體探索。在 SCAF 框架研發過程中，我們系統性地比較了 13 個模型變體（編號 v55–v65），涵蓋訓練協議、損失函數、正則化強度與骨幹模型等多個維度的變化。所有變體均在相同的零洩漏與無條件評估標準下執行。圖 3.12 視覺化呈現各版本演進軌跡，圖 3.13 以多指標雷達圖比較頂尖版本的綜合表現。</w:t>
      </w:r>
    </w:p>
    <w:p>
      <w:pPr>
        <w:spacing w:before="160" w:after="40"/>
        <w:jc w:val="center"/>
      </w:pPr>
      <w:r>
        <w:drawing>
          <wp:inline xmlns:a="http://schemas.openxmlformats.org/drawingml/2006/main" xmlns:pic="http://schemas.openxmlformats.org/drawingml/2006/picture">
            <wp:extent cx="5852160" cy="2982499"/>
            <wp:docPr id="11" name="Picture 11"/>
            <wp:cNvGraphicFramePr>
              <a:graphicFrameLocks noChangeAspect="1"/>
            </wp:cNvGraphicFramePr>
            <a:graphic>
              <a:graphicData uri="http://schemas.openxmlformats.org/drawingml/2006/picture">
                <pic:pic>
                  <pic:nvPicPr>
                    <pic:cNvPr id="0" name="fig12_acc7_progression.png"/>
                    <pic:cNvPicPr/>
                  </pic:nvPicPr>
                  <pic:blipFill>
                    <a:blip r:embed="rId19"/>
                    <a:stretch>
                      <a:fillRect/>
                    </a:stretch>
                  </pic:blipFill>
                  <pic:spPr>
                    <a:xfrm>
                      <a:off x="0" y="0"/>
                      <a:ext cx="5852160" cy="2982499"/>
                    </a:xfrm>
                    <a:prstGeom prst="rect"/>
                  </pic:spPr>
                </pic:pic>
              </a:graphicData>
            </a:graphic>
          </wp:inline>
        </w:drawing>
      </w:r>
    </w:p>
    <w:p>
      <w:pPr>
        <w:spacing w:after="200"/>
        <w:jc w:val="center"/>
      </w:pPr>
      <w:r>
        <w:rPr>
          <w:b/>
          <w:sz w:val="20"/>
        </w:rPr>
        <w:t xml:space="preserve">圖 3.12  </w:t>
      </w:r>
      <w:r>
        <w:rPr>
          <w:b/>
          <w:sz w:val="20"/>
        </w:rPr>
        <w:t>SACF 版本演進與最終 SACFFinalModel 提升</w:t>
      </w:r>
      <w:r>
        <w:rPr>
          <w:sz w:val="4"/>
        </w:rPr>
        <w:br/>
      </w:r>
      <w:r>
        <w:rPr>
          <w:i/>
          <w:sz w:val="19"/>
        </w:rPr>
        <w:t>橫軸：時間順序排列的 13 個版本 + SACFFinalModel。紅色虛線：本研究最終 53.21%；藍色虛線：前 SOTA（MSAmba 49.67%）。v64 RoBERTa 替換骨幹為負面消融案例，最終 SACFFinalModel（紅色實心點）顯著高於所有個別版本。</w:t>
      </w:r>
    </w:p>
    <w:p>
      <w:pPr>
        <w:spacing w:after="120" w:line="360" w:lineRule="auto"/>
        <w:ind w:firstLine="482"/>
      </w:pPr>
      <w:r>
        <w:rPr>
          <w:sz w:val="22"/>
        </w:rPr>
        <w:t>從各版本演進可歸納幾項關鍵觀察：（1）TrainVal 合併訓練是最大單次貢獻（v55 → v56：+3.65%）；（2）EMD 損失與 TTA 提供穩定小幅增益；（3）外部預訓練（v60_mmaffin）與替代骨幹（v64 RoBERTa）皆未提升效能；（4）Manifold Mixup（v61）與 CORN 序數頭（v62）在 1,284 筆訓練樣本量下反而傷害精度；（5）SACFFinalModel 透過架構內建多分支取代多版本獨立訓練，在保持 53.21% Acc-7 的同時將部署從 12 個檔案縮減為 1 個。</w:t>
      </w:r>
    </w:p>
    <w:p>
      <w:pPr>
        <w:spacing w:before="160" w:after="40"/>
        <w:jc w:val="center"/>
      </w:pPr>
      <w:r>
        <w:drawing>
          <wp:inline xmlns:a="http://schemas.openxmlformats.org/drawingml/2006/main" xmlns:pic="http://schemas.openxmlformats.org/drawingml/2006/picture">
            <wp:extent cx="5852160" cy="6887866"/>
            <wp:docPr id="12" name="Picture 12"/>
            <wp:cNvGraphicFramePr>
              <a:graphicFrameLocks noChangeAspect="1"/>
            </wp:cNvGraphicFramePr>
            <a:graphic>
              <a:graphicData uri="http://schemas.openxmlformats.org/drawingml/2006/picture">
                <pic:pic>
                  <pic:nvPicPr>
                    <pic:cNvPr id="0" name="fig13_radar_top5.png"/>
                    <pic:cNvPicPr/>
                  </pic:nvPicPr>
                  <pic:blipFill>
                    <a:blip r:embed="rId20"/>
                    <a:stretch>
                      <a:fillRect/>
                    </a:stretch>
                  </pic:blipFill>
                  <pic:spPr>
                    <a:xfrm>
                      <a:off x="0" y="0"/>
                      <a:ext cx="5852160" cy="6887866"/>
                    </a:xfrm>
                    <a:prstGeom prst="rect"/>
                  </pic:spPr>
                </pic:pic>
              </a:graphicData>
            </a:graphic>
          </wp:inline>
        </w:drawing>
      </w:r>
    </w:p>
    <w:p>
      <w:pPr>
        <w:spacing w:after="200"/>
        <w:jc w:val="center"/>
      </w:pPr>
      <w:r>
        <w:rPr>
          <w:b/>
          <w:sz w:val="20"/>
        </w:rPr>
        <w:t xml:space="preserve">圖 3.13  </w:t>
      </w:r>
      <w:r>
        <w:rPr>
          <w:b/>
          <w:sz w:val="20"/>
        </w:rPr>
        <w:t>Top-5 模型 + SACFFinalModel 多指標雷達圖</w:t>
      </w:r>
      <w:r>
        <w:rPr>
          <w:sz w:val="4"/>
        </w:rPr>
        <w:br/>
      </w:r>
      <w:r>
        <w:rPr>
          <w:i/>
          <w:sz w:val="19"/>
        </w:rPr>
        <w:t>六個維度（Acc-7、Within-1、相對 SOTA、極端類別穩健性、集成增益）已歸一化至 [0, 1]。紅色實線+陰影為 SACFFinalModel，呈現在多數維度同時占據外環。</w:t>
      </w:r>
    </w:p>
    <w:p>
      <w:pPr>
        <w:spacing w:before="280" w:after="120"/>
      </w:pPr>
      <w:r>
        <w:rPr>
          <w:b/>
          <w:sz w:val="32"/>
        </w:rPr>
        <w:t>3.8　實作細節</w:t>
      </w:r>
    </w:p>
    <w:p>
      <w:pPr>
        <w:spacing w:after="120" w:line="360" w:lineRule="auto"/>
        <w:ind w:firstLine="482"/>
      </w:pPr>
      <w:r>
        <w:rPr>
          <w:sz w:val="22"/>
        </w:rPr>
        <w:t>本節彙整所有關鍵超參數設定，以確保研究結果的可重現性。所有實驗在 NVIDIA RTX PRO 6000 Blackwell（96 GB 顯存）工作站執行，使用 PyTorch 混合精度訓練（AMP, bfloat16）。完整超參數列表如表 3.5。原始程式碼位於 emotion_system/training/scaf_final.py（訓練主程式）與 emotion_system/sacf_final_loader.py（推斷載入器）。</w:t>
      </w:r>
    </w:p>
    <w:p>
      <w:pPr>
        <w:spacing w:before="160" w:after="40"/>
        <w:jc w:val="center"/>
      </w:pPr>
      <w:r>
        <w:rPr>
          <w:b/>
          <w:sz w:val="21"/>
        </w:rPr>
        <w:t xml:space="preserve">表 3.5  </w:t>
      </w:r>
      <w:r>
        <w:rPr>
          <w:b/>
          <w:sz w:val="21"/>
        </w:rPr>
        <w:t>SACFFinalModel 完整超參數設定</w:t>
      </w:r>
    </w:p>
    <w:tbl>
      <w:tblPr>
        <w:tblStyle w:val="LightGrid-Accent1"/>
        <w:tblW w:type="auto" w:w="0"/>
        <w:jc w:val="center"/>
        <w:tblLook w:firstColumn="1" w:firstRow="1" w:lastColumn="0" w:lastRow="0" w:noHBand="0" w:noVBand="1" w:val="04A0"/>
      </w:tblPr>
      <w:tblGrid>
        <w:gridCol w:w="3173"/>
        <w:gridCol w:w="3173"/>
        <w:gridCol w:w="3173"/>
      </w:tblGrid>
      <w:tr>
        <w:tc>
          <w:tcPr>
            <w:tcW w:type="dxa" w:w="3456"/>
            <w:vAlign w:val="center"/>
          </w:tcPr>
          <w:p>
            <w:pPr>
              <w:jc w:val="center"/>
            </w:pPr>
            <w:r/>
            <w:r>
              <w:rPr>
                <w:b/>
                <w:sz w:val="20"/>
              </w:rPr>
              <w:t>超參數</w:t>
            </w:r>
          </w:p>
        </w:tc>
        <w:tc>
          <w:tcPr>
            <w:tcW w:type="dxa" w:w="2592"/>
            <w:vAlign w:val="center"/>
          </w:tcPr>
          <w:p>
            <w:pPr>
              <w:jc w:val="center"/>
            </w:pPr>
            <w:r/>
            <w:r>
              <w:rPr>
                <w:b/>
                <w:sz w:val="20"/>
              </w:rPr>
              <w:t>值</w:t>
            </w:r>
          </w:p>
        </w:tc>
        <w:tc>
          <w:tcPr>
            <w:tcW w:type="dxa" w:w="3456"/>
            <w:vAlign w:val="center"/>
          </w:tcPr>
          <w:p>
            <w:pPr>
              <w:jc w:val="center"/>
            </w:pPr>
            <w:r/>
            <w:r>
              <w:rPr>
                <w:b/>
                <w:sz w:val="20"/>
              </w:rPr>
              <w:t>說明</w:t>
            </w:r>
          </w:p>
        </w:tc>
      </w:tr>
      <w:tr>
        <w:tc>
          <w:tcPr>
            <w:tcW w:type="dxa" w:w="3456"/>
            <w:vAlign w:val="center"/>
          </w:tcPr>
          <w:p>
            <w:pPr>
              <w:jc w:val="center"/>
            </w:pPr>
            <w:r/>
            <w:r>
              <w:rPr>
                <w:sz w:val="19"/>
              </w:rPr>
              <w:t>模型類型</w:t>
            </w:r>
          </w:p>
        </w:tc>
        <w:tc>
          <w:tcPr>
            <w:tcW w:type="dxa" w:w="2592"/>
            <w:vAlign w:val="center"/>
          </w:tcPr>
          <w:p>
            <w:pPr>
              <w:jc w:val="center"/>
            </w:pPr>
            <w:r/>
            <w:r>
              <w:rPr>
                <w:sz w:val="19"/>
              </w:rPr>
              <w:t>SACFFinalModel（多分支單一模型）</w:t>
            </w:r>
          </w:p>
        </w:tc>
        <w:tc>
          <w:tcPr>
            <w:tcW w:type="dxa" w:w="3456"/>
            <w:vAlign w:val="center"/>
          </w:tcPr>
          <w:p>
            <w:pPr>
              <w:jc w:val="center"/>
            </w:pPr>
            <w:r/>
            <w:r>
              <w:rPr>
                <w:sz w:val="19"/>
              </w:rPr>
              <w:t>單一 nn.Module，內部 4 並行分支</w:t>
            </w:r>
          </w:p>
        </w:tc>
      </w:tr>
      <w:tr>
        <w:tc>
          <w:tcPr>
            <w:tcW w:type="dxa" w:w="3456"/>
            <w:vAlign w:val="center"/>
          </w:tcPr>
          <w:p>
            <w:pPr>
              <w:jc w:val="center"/>
            </w:pPr>
            <w:r/>
            <w:r>
              <w:rPr>
                <w:sz w:val="19"/>
              </w:rPr>
              <w:t>語言骨幹</w:t>
            </w:r>
          </w:p>
        </w:tc>
        <w:tc>
          <w:tcPr>
            <w:tcW w:type="dxa" w:w="2592"/>
            <w:vAlign w:val="center"/>
          </w:tcPr>
          <w:p>
            <w:pPr>
              <w:jc w:val="center"/>
            </w:pPr>
            <w:r/>
            <w:r>
              <w:rPr>
                <w:sz w:val="19"/>
              </w:rPr>
              <w:t>microsoft/deberta-v3-large</w:t>
            </w:r>
          </w:p>
        </w:tc>
        <w:tc>
          <w:tcPr>
            <w:tcW w:type="dxa" w:w="3456"/>
            <w:vAlign w:val="center"/>
          </w:tcPr>
          <w:p>
            <w:pPr>
              <w:jc w:val="center"/>
            </w:pPr>
            <w:r/>
            <w:r>
              <w:rPr>
                <w:sz w:val="19"/>
              </w:rPr>
              <w:t>24 層 Transformer，~400M 參數</w:t>
            </w:r>
          </w:p>
        </w:tc>
      </w:tr>
      <w:tr>
        <w:tc>
          <w:tcPr>
            <w:tcW w:type="dxa" w:w="3456"/>
            <w:vAlign w:val="center"/>
          </w:tcPr>
          <w:p>
            <w:pPr>
              <w:jc w:val="center"/>
            </w:pPr>
            <w:r/>
            <w:r>
              <w:rPr>
                <w:sz w:val="19"/>
              </w:rPr>
              <w:t>最大文字長度</w:t>
            </w:r>
          </w:p>
        </w:tc>
        <w:tc>
          <w:tcPr>
            <w:tcW w:type="dxa" w:w="2592"/>
            <w:vAlign w:val="center"/>
          </w:tcPr>
          <w:p>
            <w:pPr>
              <w:jc w:val="center"/>
            </w:pPr>
            <w:r/>
            <w:r>
              <w:rPr>
                <w:sz w:val="19"/>
              </w:rPr>
              <w:t>80 個詞元</w:t>
            </w:r>
          </w:p>
        </w:tc>
        <w:tc>
          <w:tcPr>
            <w:tcW w:type="dxa" w:w="3456"/>
            <w:vAlign w:val="center"/>
          </w:tcPr>
          <w:p>
            <w:pPr>
              <w:jc w:val="center"/>
            </w:pPr>
            <w:r/>
            <w:r>
              <w:rPr>
                <w:sz w:val="19"/>
              </w:rPr>
              <w:t>含任務提示詞前綴</w:t>
            </w:r>
          </w:p>
        </w:tc>
      </w:tr>
      <w:tr>
        <w:tc>
          <w:tcPr>
            <w:tcW w:type="dxa" w:w="3456"/>
            <w:vAlign w:val="center"/>
          </w:tcPr>
          <w:p>
            <w:pPr>
              <w:jc w:val="center"/>
            </w:pPr>
            <w:r/>
            <w:r>
              <w:rPr>
                <w:sz w:val="19"/>
              </w:rPr>
              <w:t>音訊／視覺特徵</w:t>
            </w:r>
          </w:p>
        </w:tc>
        <w:tc>
          <w:tcPr>
            <w:tcW w:type="dxa" w:w="2592"/>
            <w:vAlign w:val="center"/>
          </w:tcPr>
          <w:p>
            <w:pPr>
              <w:jc w:val="center"/>
            </w:pPr>
            <w:r/>
            <w:r>
              <w:rPr>
                <w:sz w:val="19"/>
              </w:rPr>
              <w:t>5 / 20 維</w:t>
            </w:r>
          </w:p>
        </w:tc>
        <w:tc>
          <w:tcPr>
            <w:tcW w:type="dxa" w:w="3456"/>
            <w:vAlign w:val="center"/>
          </w:tcPr>
          <w:p>
            <w:pPr>
              <w:jc w:val="center"/>
            </w:pPr>
            <w:r/>
            <w:r>
              <w:rPr>
                <w:sz w:val="19"/>
              </w:rPr>
              <w:t>COVAREP / FACET</w:t>
            </w:r>
          </w:p>
        </w:tc>
      </w:tr>
      <w:tr>
        <w:tc>
          <w:tcPr>
            <w:tcW w:type="dxa" w:w="3456"/>
            <w:vAlign w:val="center"/>
          </w:tcPr>
          <w:p>
            <w:pPr>
              <w:jc w:val="center"/>
            </w:pPr>
            <w:r/>
            <w:r>
              <w:rPr>
                <w:sz w:val="19"/>
              </w:rPr>
              <w:t>模態隱藏維度</w:t>
            </w:r>
          </w:p>
        </w:tc>
        <w:tc>
          <w:tcPr>
            <w:tcW w:type="dxa" w:w="2592"/>
            <w:vAlign w:val="center"/>
          </w:tcPr>
          <w:p>
            <w:pPr>
              <w:jc w:val="center"/>
            </w:pPr>
            <w:r/>
            <w:r>
              <w:rPr>
                <w:sz w:val="19"/>
              </w:rPr>
              <w:t>128</w:t>
            </w:r>
          </w:p>
        </w:tc>
        <w:tc>
          <w:tcPr>
            <w:tcW w:type="dxa" w:w="3456"/>
            <w:vAlign w:val="center"/>
          </w:tcPr>
          <w:p>
            <w:pPr>
              <w:jc w:val="center"/>
            </w:pPr>
            <w:r/>
            <w:r>
              <w:rPr>
                <w:sz w:val="19"/>
              </w:rPr>
              <w:t>BiLSTM 每方向</w:t>
            </w:r>
          </w:p>
        </w:tc>
      </w:tr>
      <w:tr>
        <w:tc>
          <w:tcPr>
            <w:tcW w:type="dxa" w:w="3456"/>
            <w:vAlign w:val="center"/>
          </w:tcPr>
          <w:p>
            <w:pPr>
              <w:jc w:val="center"/>
            </w:pPr>
            <w:r/>
            <w:r>
              <w:rPr>
                <w:sz w:val="19"/>
              </w:rPr>
              <w:t>融合維度</w:t>
            </w:r>
          </w:p>
        </w:tc>
        <w:tc>
          <w:tcPr>
            <w:tcW w:type="dxa" w:w="2592"/>
            <w:vAlign w:val="center"/>
          </w:tcPr>
          <w:p>
            <w:pPr>
              <w:jc w:val="center"/>
            </w:pPr>
            <w:r/>
            <w:r>
              <w:rPr>
                <w:sz w:val="19"/>
              </w:rPr>
              <w:t>512</w:t>
            </w:r>
          </w:p>
        </w:tc>
        <w:tc>
          <w:tcPr>
            <w:tcW w:type="dxa" w:w="3456"/>
            <w:vAlign w:val="center"/>
          </w:tcPr>
          <w:p>
            <w:pPr>
              <w:jc w:val="center"/>
            </w:pPr>
            <w:r/>
            <w:r>
              <w:rPr>
                <w:sz w:val="19"/>
              </w:rPr>
              <w:t>共享投影層輸出</w:t>
            </w:r>
          </w:p>
        </w:tc>
      </w:tr>
      <w:tr>
        <w:tc>
          <w:tcPr>
            <w:tcW w:type="dxa" w:w="3456"/>
            <w:vAlign w:val="center"/>
          </w:tcPr>
          <w:p>
            <w:pPr>
              <w:jc w:val="center"/>
            </w:pPr>
            <w:r/>
            <w:r>
              <w:rPr>
                <w:sz w:val="19"/>
              </w:rPr>
              <w:t>分支數</w:t>
            </w:r>
          </w:p>
        </w:tc>
        <w:tc>
          <w:tcPr>
            <w:tcW w:type="dxa" w:w="2592"/>
            <w:vAlign w:val="center"/>
          </w:tcPr>
          <w:p>
            <w:pPr>
              <w:jc w:val="center"/>
            </w:pPr>
            <w:r/>
            <w:r>
              <w:rPr>
                <w:sz w:val="19"/>
              </w:rPr>
              <w:t>4</w:t>
            </w:r>
          </w:p>
        </w:tc>
        <w:tc>
          <w:tcPr>
            <w:tcW w:type="dxa" w:w="3456"/>
            <w:vAlign w:val="center"/>
          </w:tcPr>
          <w:p>
            <w:pPr>
              <w:jc w:val="center"/>
            </w:pPr>
            <w:r/>
            <w:r>
              <w:rPr>
                <w:sz w:val="19"/>
              </w:rPr>
              <w:t>並行 PEA + SACF + Heads</w:t>
            </w:r>
          </w:p>
        </w:tc>
      </w:tr>
      <w:tr>
        <w:tc>
          <w:tcPr>
            <w:tcW w:type="dxa" w:w="3456"/>
            <w:vAlign w:val="center"/>
          </w:tcPr>
          <w:p>
            <w:pPr>
              <w:jc w:val="center"/>
            </w:pPr>
            <w:r/>
            <w:r>
              <w:rPr>
                <w:sz w:val="19"/>
              </w:rPr>
              <w:t>每分支 Dropout</w:t>
            </w:r>
          </w:p>
        </w:tc>
        <w:tc>
          <w:tcPr>
            <w:tcW w:type="dxa" w:w="2592"/>
            <w:vAlign w:val="center"/>
          </w:tcPr>
          <w:p>
            <w:pPr>
              <w:jc w:val="center"/>
            </w:pPr>
            <w:r/>
            <w:r>
              <w:rPr>
                <w:sz w:val="19"/>
              </w:rPr>
              <w:t>[0.150, 0.195, 0.105, 0.225]</w:t>
            </w:r>
          </w:p>
        </w:tc>
        <w:tc>
          <w:tcPr>
            <w:tcW w:type="dxa" w:w="3456"/>
            <w:vAlign w:val="center"/>
          </w:tcPr>
          <w:p>
            <w:pPr>
              <w:jc w:val="center"/>
            </w:pPr>
            <w:r/>
            <w:r>
              <w:rPr>
                <w:sz w:val="19"/>
              </w:rPr>
              <w:t>不同率提升多樣性</w:t>
            </w:r>
          </w:p>
        </w:tc>
      </w:tr>
      <w:tr>
        <w:tc>
          <w:tcPr>
            <w:tcW w:type="dxa" w:w="3456"/>
            <w:vAlign w:val="center"/>
          </w:tcPr>
          <w:p>
            <w:pPr>
              <w:jc w:val="center"/>
            </w:pPr>
            <w:r/>
            <w:r>
              <w:rPr>
                <w:sz w:val="19"/>
              </w:rPr>
              <w:t>Top-K（SACF）</w:t>
            </w:r>
          </w:p>
        </w:tc>
        <w:tc>
          <w:tcPr>
            <w:tcW w:type="dxa" w:w="2592"/>
            <w:vAlign w:val="center"/>
          </w:tcPr>
          <w:p>
            <w:pPr>
              <w:jc w:val="center"/>
            </w:pPr>
            <w:r/>
            <w:r>
              <w:rPr>
                <w:sz w:val="19"/>
              </w:rPr>
              <w:t>5</w:t>
            </w:r>
          </w:p>
        </w:tc>
        <w:tc>
          <w:tcPr>
            <w:tcW w:type="dxa" w:w="3456"/>
            <w:vAlign w:val="center"/>
          </w:tcPr>
          <w:p>
            <w:pPr>
              <w:jc w:val="center"/>
            </w:pPr>
            <w:r/>
            <w:r>
              <w:rPr>
                <w:sz w:val="19"/>
              </w:rPr>
              <w:t>情感顯著詞元數</w:t>
            </w:r>
          </w:p>
        </w:tc>
      </w:tr>
      <w:tr>
        <w:tc>
          <w:tcPr>
            <w:tcW w:type="dxa" w:w="3456"/>
            <w:vAlign w:val="center"/>
          </w:tcPr>
          <w:p>
            <w:pPr>
              <w:jc w:val="center"/>
            </w:pPr>
            <w:r/>
            <w:r>
              <w:rPr>
                <w:sz w:val="19"/>
              </w:rPr>
              <w:t>批次大小</w:t>
            </w:r>
          </w:p>
        </w:tc>
        <w:tc>
          <w:tcPr>
            <w:tcW w:type="dxa" w:w="2592"/>
            <w:vAlign w:val="center"/>
          </w:tcPr>
          <w:p>
            <w:pPr>
              <w:jc w:val="center"/>
            </w:pPr>
            <w:r/>
            <w:r>
              <w:rPr>
                <w:sz w:val="19"/>
              </w:rPr>
              <w:t>8</w:t>
            </w:r>
          </w:p>
        </w:tc>
        <w:tc>
          <w:tcPr>
            <w:tcW w:type="dxa" w:w="3456"/>
            <w:vAlign w:val="center"/>
          </w:tcPr>
          <w:p>
            <w:pPr>
              <w:jc w:val="center"/>
            </w:pPr>
            <w:r/>
            <w:r>
              <w:rPr>
                <w:sz w:val="19"/>
              </w:rPr>
              <w:t>AMP bfloat16</w:t>
            </w:r>
          </w:p>
        </w:tc>
      </w:tr>
      <w:tr>
        <w:tc>
          <w:tcPr>
            <w:tcW w:type="dxa" w:w="3456"/>
            <w:vAlign w:val="center"/>
          </w:tcPr>
          <w:p>
            <w:pPr>
              <w:jc w:val="center"/>
            </w:pPr>
            <w:r/>
            <w:r>
              <w:rPr>
                <w:sz w:val="19"/>
              </w:rPr>
              <w:t>訓練輪數</w:t>
            </w:r>
          </w:p>
        </w:tc>
        <w:tc>
          <w:tcPr>
            <w:tcW w:type="dxa" w:w="2592"/>
            <w:vAlign w:val="center"/>
          </w:tcPr>
          <w:p>
            <w:pPr>
              <w:jc w:val="center"/>
            </w:pPr>
            <w:r/>
            <w:r>
              <w:rPr>
                <w:sz w:val="19"/>
              </w:rPr>
              <w:t>60</w:t>
            </w:r>
          </w:p>
        </w:tc>
        <w:tc>
          <w:tcPr>
            <w:tcW w:type="dxa" w:w="3456"/>
            <w:vAlign w:val="center"/>
          </w:tcPr>
          <w:p>
            <w:pPr>
              <w:jc w:val="center"/>
            </w:pPr>
            <w:r/>
            <w:r>
              <w:rPr>
                <w:sz w:val="19"/>
              </w:rPr>
              <w:t>固定，無早停</w:t>
            </w:r>
          </w:p>
        </w:tc>
      </w:tr>
      <w:tr>
        <w:tc>
          <w:tcPr>
            <w:tcW w:type="dxa" w:w="3456"/>
            <w:vAlign w:val="center"/>
          </w:tcPr>
          <w:p>
            <w:pPr>
              <w:jc w:val="center"/>
            </w:pPr>
            <w:r/>
            <w:r>
              <w:rPr>
                <w:sz w:val="19"/>
              </w:rPr>
              <w:t>lang_lr 上層</w:t>
            </w:r>
          </w:p>
        </w:tc>
        <w:tc>
          <w:tcPr>
            <w:tcW w:type="dxa" w:w="2592"/>
            <w:vAlign w:val="center"/>
          </w:tcPr>
          <w:p>
            <w:pPr>
              <w:jc w:val="center"/>
            </w:pPr>
            <w:r/>
            <w:r>
              <w:rPr>
                <w:sz w:val="19"/>
              </w:rPr>
              <w:t>4 × 10⁻⁶</w:t>
            </w:r>
          </w:p>
        </w:tc>
        <w:tc>
          <w:tcPr>
            <w:tcW w:type="dxa" w:w="3456"/>
            <w:vAlign w:val="center"/>
          </w:tcPr>
          <w:p>
            <w:pPr>
              <w:jc w:val="center"/>
            </w:pPr>
            <w:r/>
            <w:r>
              <w:rPr>
                <w:sz w:val="19"/>
              </w:rPr>
              <w:t>cosine + 6% warmup</w:t>
            </w:r>
          </w:p>
        </w:tc>
      </w:tr>
      <w:tr>
        <w:tc>
          <w:tcPr>
            <w:tcW w:type="dxa" w:w="3456"/>
            <w:vAlign w:val="center"/>
          </w:tcPr>
          <w:p>
            <w:pPr>
              <w:jc w:val="center"/>
            </w:pPr>
            <w:r/>
            <w:r>
              <w:rPr>
                <w:sz w:val="19"/>
              </w:rPr>
              <w:t>lang_lr 解凍下層</w:t>
            </w:r>
          </w:p>
        </w:tc>
        <w:tc>
          <w:tcPr>
            <w:tcW w:type="dxa" w:w="2592"/>
            <w:vAlign w:val="center"/>
          </w:tcPr>
          <w:p>
            <w:pPr>
              <w:jc w:val="center"/>
            </w:pPr>
            <w:r/>
            <w:r>
              <w:rPr>
                <w:sz w:val="19"/>
              </w:rPr>
              <w:t>2 × 10⁻⁶</w:t>
            </w:r>
          </w:p>
        </w:tc>
        <w:tc>
          <w:tcPr>
            <w:tcW w:type="dxa" w:w="3456"/>
            <w:vAlign w:val="center"/>
          </w:tcPr>
          <w:p>
            <w:pPr>
              <w:jc w:val="center"/>
            </w:pPr>
            <w:r/>
            <w:r>
              <w:rPr>
                <w:sz w:val="19"/>
              </w:rPr>
              <w:t>Epoch 20 後</w:t>
            </w:r>
          </w:p>
        </w:tc>
      </w:tr>
      <w:tr>
        <w:tc>
          <w:tcPr>
            <w:tcW w:type="dxa" w:w="3456"/>
            <w:vAlign w:val="center"/>
          </w:tcPr>
          <w:p>
            <w:pPr>
              <w:jc w:val="center"/>
            </w:pPr>
            <w:r/>
            <w:r>
              <w:rPr>
                <w:sz w:val="19"/>
              </w:rPr>
              <w:t>head_lr</w:t>
            </w:r>
          </w:p>
        </w:tc>
        <w:tc>
          <w:tcPr>
            <w:tcW w:type="dxa" w:w="2592"/>
            <w:vAlign w:val="center"/>
          </w:tcPr>
          <w:p>
            <w:pPr>
              <w:jc w:val="center"/>
            </w:pPr>
            <w:r/>
            <w:r>
              <w:rPr>
                <w:sz w:val="19"/>
              </w:rPr>
              <w:t>8 × 10⁻⁵</w:t>
            </w:r>
          </w:p>
        </w:tc>
        <w:tc>
          <w:tcPr>
            <w:tcW w:type="dxa" w:w="3456"/>
            <w:vAlign w:val="center"/>
          </w:tcPr>
          <w:p>
            <w:pPr>
              <w:jc w:val="center"/>
            </w:pPr>
            <w:r/>
            <w:r>
              <w:rPr>
                <w:sz w:val="19"/>
              </w:rPr>
              <w:t>所有非骨幹模組</w:t>
            </w:r>
          </w:p>
        </w:tc>
      </w:tr>
      <w:tr>
        <w:tc>
          <w:tcPr>
            <w:tcW w:type="dxa" w:w="3456"/>
            <w:vAlign w:val="center"/>
          </w:tcPr>
          <w:p>
            <w:pPr>
              <w:jc w:val="center"/>
            </w:pPr>
            <w:r/>
            <w:r>
              <w:rPr>
                <w:sz w:val="19"/>
              </w:rPr>
              <w:t>weight_decay</w:t>
            </w:r>
          </w:p>
        </w:tc>
        <w:tc>
          <w:tcPr>
            <w:tcW w:type="dxa" w:w="2592"/>
            <w:vAlign w:val="center"/>
          </w:tcPr>
          <w:p>
            <w:pPr>
              <w:jc w:val="center"/>
            </w:pPr>
            <w:r/>
            <w:r>
              <w:rPr>
                <w:sz w:val="19"/>
              </w:rPr>
              <w:t>0.01</w:t>
            </w:r>
          </w:p>
        </w:tc>
        <w:tc>
          <w:tcPr>
            <w:tcW w:type="dxa" w:w="3456"/>
            <w:vAlign w:val="center"/>
          </w:tcPr>
          <w:p>
            <w:pPr>
              <w:jc w:val="center"/>
            </w:pPr>
            <w:r/>
            <w:r>
              <w:rPr>
                <w:sz w:val="19"/>
              </w:rPr>
              <w:t>AdamW</w:t>
            </w:r>
          </w:p>
        </w:tc>
      </w:tr>
      <w:tr>
        <w:tc>
          <w:tcPr>
            <w:tcW w:type="dxa" w:w="3456"/>
            <w:vAlign w:val="center"/>
          </w:tcPr>
          <w:p>
            <w:pPr>
              <w:jc w:val="center"/>
            </w:pPr>
            <w:r/>
            <w:r>
              <w:rPr>
                <w:sz w:val="19"/>
              </w:rPr>
              <w:t>focal γ</w:t>
            </w:r>
          </w:p>
        </w:tc>
        <w:tc>
          <w:tcPr>
            <w:tcW w:type="dxa" w:w="2592"/>
            <w:vAlign w:val="center"/>
          </w:tcPr>
          <w:p>
            <w:pPr>
              <w:jc w:val="center"/>
            </w:pPr>
            <w:r/>
            <w:r>
              <w:rPr>
                <w:sz w:val="19"/>
              </w:rPr>
              <w:t>2.0</w:t>
            </w:r>
          </w:p>
        </w:tc>
        <w:tc>
          <w:tcPr>
            <w:tcW w:type="dxa" w:w="3456"/>
            <w:vAlign w:val="center"/>
          </w:tcPr>
          <w:p>
            <w:pPr>
              <w:jc w:val="center"/>
            </w:pPr>
            <w:r/>
            <w:r>
              <w:rPr>
                <w:sz w:val="19"/>
              </w:rPr>
              <w:t>難例聚焦</w:t>
            </w:r>
          </w:p>
        </w:tc>
      </w:tr>
      <w:tr>
        <w:tc>
          <w:tcPr>
            <w:tcW w:type="dxa" w:w="3456"/>
            <w:vAlign w:val="center"/>
          </w:tcPr>
          <w:p>
            <w:pPr>
              <w:jc w:val="center"/>
            </w:pPr>
            <w:r/>
            <w:r>
              <w:rPr>
                <w:sz w:val="19"/>
              </w:rPr>
              <w:t>label smoothing</w:t>
            </w:r>
          </w:p>
        </w:tc>
        <w:tc>
          <w:tcPr>
            <w:tcW w:type="dxa" w:w="2592"/>
            <w:vAlign w:val="center"/>
          </w:tcPr>
          <w:p>
            <w:pPr>
              <w:jc w:val="center"/>
            </w:pPr>
            <w:r/>
            <w:r>
              <w:rPr>
                <w:sz w:val="19"/>
              </w:rPr>
              <w:t>0.05</w:t>
            </w:r>
          </w:p>
        </w:tc>
        <w:tc>
          <w:tcPr>
            <w:tcW w:type="dxa" w:w="3456"/>
            <w:vAlign w:val="center"/>
          </w:tcPr>
          <w:p>
            <w:pPr>
              <w:jc w:val="center"/>
            </w:pPr>
            <w:r/>
            <w:r>
              <w:rPr>
                <w:sz w:val="19"/>
              </w:rPr>
              <w:t>Focal/CE</w:t>
            </w:r>
          </w:p>
        </w:tc>
      </w:tr>
      <w:tr>
        <w:tc>
          <w:tcPr>
            <w:tcW w:type="dxa" w:w="3456"/>
            <w:vAlign w:val="center"/>
          </w:tcPr>
          <w:p>
            <w:pPr>
              <w:jc w:val="center"/>
            </w:pPr>
            <w:r/>
            <w:r>
              <w:rPr>
                <w:sz w:val="19"/>
              </w:rPr>
              <w:t>EMD 權重</w:t>
            </w:r>
          </w:p>
        </w:tc>
        <w:tc>
          <w:tcPr>
            <w:tcW w:type="dxa" w:w="2592"/>
            <w:vAlign w:val="center"/>
          </w:tcPr>
          <w:p>
            <w:pPr>
              <w:jc w:val="center"/>
            </w:pPr>
            <w:r/>
            <w:r>
              <w:rPr>
                <w:sz w:val="19"/>
              </w:rPr>
              <w:t>0.25</w:t>
            </w:r>
          </w:p>
        </w:tc>
        <w:tc>
          <w:tcPr>
            <w:tcW w:type="dxa" w:w="3456"/>
            <w:vAlign w:val="center"/>
          </w:tcPr>
          <w:p>
            <w:pPr>
              <w:jc w:val="center"/>
            </w:pPr>
            <w:r/>
            <w:r>
              <w:rPr>
                <w:sz w:val="19"/>
              </w:rPr>
              <w:t>cls7 損失中的占比</w:t>
            </w:r>
          </w:p>
        </w:tc>
      </w:tr>
      <w:tr>
        <w:tc>
          <w:tcPr>
            <w:tcW w:type="dxa" w:w="3456"/>
            <w:vAlign w:val="center"/>
          </w:tcPr>
          <w:p>
            <w:pPr>
              <w:jc w:val="center"/>
            </w:pPr>
            <w:r/>
            <w:r>
              <w:rPr>
                <w:sz w:val="19"/>
              </w:rPr>
              <w:t>L_per_branch 權重</w:t>
            </w:r>
          </w:p>
        </w:tc>
        <w:tc>
          <w:tcPr>
            <w:tcW w:type="dxa" w:w="2592"/>
            <w:vAlign w:val="center"/>
          </w:tcPr>
          <w:p>
            <w:pPr>
              <w:jc w:val="center"/>
            </w:pPr>
            <w:r/>
            <w:r>
              <w:rPr>
                <w:sz w:val="19"/>
              </w:rPr>
              <w:t>0.5</w:t>
            </w:r>
          </w:p>
        </w:tc>
        <w:tc>
          <w:tcPr>
            <w:tcW w:type="dxa" w:w="3456"/>
            <w:vAlign w:val="center"/>
          </w:tcPr>
          <w:p>
            <w:pPr>
              <w:jc w:val="center"/>
            </w:pPr>
            <w:r/>
            <w:r>
              <w:rPr>
                <w:sz w:val="19"/>
              </w:rPr>
              <w:t>分支獨立任務損失</w:t>
            </w:r>
          </w:p>
        </w:tc>
      </w:tr>
      <w:tr>
        <w:tc>
          <w:tcPr>
            <w:tcW w:type="dxa" w:w="3456"/>
            <w:vAlign w:val="center"/>
          </w:tcPr>
          <w:p>
            <w:pPr>
              <w:jc w:val="center"/>
            </w:pPr>
            <w:r/>
            <w:r>
              <w:rPr>
                <w:sz w:val="19"/>
              </w:rPr>
              <w:t>L_mean 權重</w:t>
            </w:r>
          </w:p>
        </w:tc>
        <w:tc>
          <w:tcPr>
            <w:tcW w:type="dxa" w:w="2592"/>
            <w:vAlign w:val="center"/>
          </w:tcPr>
          <w:p>
            <w:pPr>
              <w:jc w:val="center"/>
            </w:pPr>
            <w:r/>
            <w:r>
              <w:rPr>
                <w:sz w:val="19"/>
              </w:rPr>
              <w:t>0.5</w:t>
            </w:r>
          </w:p>
        </w:tc>
        <w:tc>
          <w:tcPr>
            <w:tcW w:type="dxa" w:w="3456"/>
            <w:vAlign w:val="center"/>
          </w:tcPr>
          <w:p>
            <w:pPr>
              <w:jc w:val="center"/>
            </w:pPr>
            <w:r/>
            <w:r>
              <w:rPr>
                <w:sz w:val="19"/>
              </w:rPr>
              <w:t>集成輸出損失</w:t>
            </w:r>
          </w:p>
        </w:tc>
      </w:tr>
      <w:tr>
        <w:tc>
          <w:tcPr>
            <w:tcW w:type="dxa" w:w="3456"/>
            <w:vAlign w:val="center"/>
          </w:tcPr>
          <w:p>
            <w:pPr>
              <w:jc w:val="center"/>
            </w:pPr>
            <w:r/>
            <w:r>
              <w:rPr>
                <w:sz w:val="19"/>
              </w:rPr>
              <w:t>L_diversity 權重</w:t>
            </w:r>
          </w:p>
        </w:tc>
        <w:tc>
          <w:tcPr>
            <w:tcW w:type="dxa" w:w="2592"/>
            <w:vAlign w:val="center"/>
          </w:tcPr>
          <w:p>
            <w:pPr>
              <w:jc w:val="center"/>
            </w:pPr>
            <w:r/>
            <w:r>
              <w:rPr>
                <w:sz w:val="19"/>
              </w:rPr>
              <w:t>0.01</w:t>
            </w:r>
          </w:p>
        </w:tc>
        <w:tc>
          <w:tcPr>
            <w:tcW w:type="dxa" w:w="3456"/>
            <w:vAlign w:val="center"/>
          </w:tcPr>
          <w:p>
            <w:pPr>
              <w:jc w:val="center"/>
            </w:pPr>
            <w:r/>
            <w:r>
              <w:rPr>
                <w:sz w:val="19"/>
              </w:rPr>
              <w:t>分支間 cosine 懲罰</w:t>
            </w:r>
          </w:p>
        </w:tc>
      </w:tr>
      <w:tr>
        <w:tc>
          <w:tcPr>
            <w:tcW w:type="dxa" w:w="3456"/>
            <w:vAlign w:val="center"/>
          </w:tcPr>
          <w:p>
            <w:pPr>
              <w:jc w:val="center"/>
            </w:pPr>
            <w:r/>
            <w:r>
              <w:rPr>
                <w:sz w:val="19"/>
              </w:rPr>
              <w:t>L_R-Drop 權重</w:t>
            </w:r>
          </w:p>
        </w:tc>
        <w:tc>
          <w:tcPr>
            <w:tcW w:type="dxa" w:w="2592"/>
            <w:vAlign w:val="center"/>
          </w:tcPr>
          <w:p>
            <w:pPr>
              <w:jc w:val="center"/>
            </w:pPr>
            <w:r/>
            <w:r>
              <w:rPr>
                <w:sz w:val="19"/>
              </w:rPr>
              <w:t>0.05</w:t>
            </w:r>
          </w:p>
        </w:tc>
        <w:tc>
          <w:tcPr>
            <w:tcW w:type="dxa" w:w="3456"/>
            <w:vAlign w:val="center"/>
          </w:tcPr>
          <w:p>
            <w:pPr>
              <w:jc w:val="center"/>
            </w:pPr>
            <w:r/>
            <w:r>
              <w:rPr>
                <w:sz w:val="19"/>
              </w:rPr>
              <w:t>一致性正則化</w:t>
            </w:r>
          </w:p>
        </w:tc>
      </w:tr>
      <w:tr>
        <w:tc>
          <w:tcPr>
            <w:tcW w:type="dxa" w:w="3456"/>
            <w:vAlign w:val="center"/>
          </w:tcPr>
          <w:p>
            <w:pPr>
              <w:jc w:val="center"/>
            </w:pPr>
            <w:r/>
            <w:r>
              <w:rPr>
                <w:sz w:val="19"/>
              </w:rPr>
              <w:t>EMA decay</w:t>
            </w:r>
          </w:p>
        </w:tc>
        <w:tc>
          <w:tcPr>
            <w:tcW w:type="dxa" w:w="2592"/>
            <w:vAlign w:val="center"/>
          </w:tcPr>
          <w:p>
            <w:pPr>
              <w:jc w:val="center"/>
            </w:pPr>
            <w:r/>
            <w:r>
              <w:rPr>
                <w:sz w:val="19"/>
              </w:rPr>
              <w:t>0.9995</w:t>
            </w:r>
          </w:p>
        </w:tc>
        <w:tc>
          <w:tcPr>
            <w:tcW w:type="dxa" w:w="3456"/>
            <w:vAlign w:val="center"/>
          </w:tcPr>
          <w:p>
            <w:pPr>
              <w:jc w:val="center"/>
            </w:pPr>
            <w:r/>
            <w:r>
              <w:rPr>
                <w:sz w:val="19"/>
              </w:rPr>
              <w:t>影子模型更新</w:t>
            </w:r>
          </w:p>
        </w:tc>
      </w:tr>
      <w:tr>
        <w:tc>
          <w:tcPr>
            <w:tcW w:type="dxa" w:w="3456"/>
            <w:vAlign w:val="center"/>
          </w:tcPr>
          <w:p>
            <w:pPr>
              <w:jc w:val="center"/>
            </w:pPr>
            <w:r/>
            <w:r>
              <w:rPr>
                <w:sz w:val="19"/>
              </w:rPr>
              <w:t>SWA start / step</w:t>
            </w:r>
          </w:p>
        </w:tc>
        <w:tc>
          <w:tcPr>
            <w:tcW w:type="dxa" w:w="2592"/>
            <w:vAlign w:val="center"/>
          </w:tcPr>
          <w:p>
            <w:pPr>
              <w:jc w:val="center"/>
            </w:pPr>
            <w:r/>
            <w:r>
              <w:rPr>
                <w:sz w:val="19"/>
              </w:rPr>
              <w:t>Epoch 42 / 每 2 ep</w:t>
            </w:r>
          </w:p>
        </w:tc>
        <w:tc>
          <w:tcPr>
            <w:tcW w:type="dxa" w:w="3456"/>
            <w:vAlign w:val="center"/>
          </w:tcPr>
          <w:p>
            <w:pPr>
              <w:jc w:val="center"/>
            </w:pPr>
            <w:r/>
            <w:r>
              <w:rPr>
                <w:sz w:val="19"/>
              </w:rPr>
              <w:t>共 10 個快照</w:t>
            </w:r>
          </w:p>
        </w:tc>
      </w:tr>
      <w:tr>
        <w:tc>
          <w:tcPr>
            <w:tcW w:type="dxa" w:w="3456"/>
            <w:vAlign w:val="center"/>
          </w:tcPr>
          <w:p>
            <w:pPr>
              <w:jc w:val="center"/>
            </w:pPr>
            <w:r/>
            <w:r>
              <w:rPr>
                <w:sz w:val="19"/>
              </w:rPr>
              <w:t>TTA 次數</w:t>
            </w:r>
          </w:p>
        </w:tc>
        <w:tc>
          <w:tcPr>
            <w:tcW w:type="dxa" w:w="2592"/>
            <w:vAlign w:val="center"/>
          </w:tcPr>
          <w:p>
            <w:pPr>
              <w:jc w:val="center"/>
            </w:pPr>
            <w:r/>
            <w:r>
              <w:rPr>
                <w:sz w:val="19"/>
              </w:rPr>
              <w:t>5</w:t>
            </w:r>
          </w:p>
        </w:tc>
        <w:tc>
          <w:tcPr>
            <w:tcW w:type="dxa" w:w="3456"/>
            <w:vAlign w:val="center"/>
          </w:tcPr>
          <w:p>
            <w:pPr>
              <w:jc w:val="center"/>
            </w:pPr>
            <w:r/>
            <w:r>
              <w:rPr>
                <w:sz w:val="19"/>
              </w:rPr>
              <w:t>MC Dropout</w:t>
            </w:r>
          </w:p>
        </w:tc>
      </w:tr>
      <w:tr>
        <w:tc>
          <w:tcPr>
            <w:tcW w:type="dxa" w:w="3456"/>
            <w:vAlign w:val="center"/>
          </w:tcPr>
          <w:p>
            <w:pPr>
              <w:jc w:val="center"/>
            </w:pPr>
            <w:r/>
            <w:r>
              <w:rPr>
                <w:sz w:val="19"/>
              </w:rPr>
              <w:t>模型總參數量</w:t>
            </w:r>
          </w:p>
        </w:tc>
        <w:tc>
          <w:tcPr>
            <w:tcW w:type="dxa" w:w="2592"/>
            <w:vAlign w:val="center"/>
          </w:tcPr>
          <w:p>
            <w:pPr>
              <w:jc w:val="center"/>
            </w:pPr>
            <w:r/>
            <w:r>
              <w:rPr>
                <w:sz w:val="19"/>
              </w:rPr>
              <w:t>~444M</w:t>
            </w:r>
          </w:p>
        </w:tc>
        <w:tc>
          <w:tcPr>
            <w:tcW w:type="dxa" w:w="3456"/>
            <w:vAlign w:val="center"/>
          </w:tcPr>
          <w:p>
            <w:pPr>
              <w:jc w:val="center"/>
            </w:pPr>
            <w:r/>
            <w:r>
              <w:rPr>
                <w:sz w:val="19"/>
              </w:rPr>
              <w:t>骨幹 400M 共享 + 4 分支 ~44M</w:t>
            </w:r>
          </w:p>
        </w:tc>
      </w:tr>
      <w:tr>
        <w:tc>
          <w:tcPr>
            <w:tcW w:type="dxa" w:w="3456"/>
            <w:vAlign w:val="center"/>
          </w:tcPr>
          <w:p>
            <w:pPr>
              <w:jc w:val="center"/>
            </w:pPr>
            <w:r/>
            <w:r>
              <w:rPr>
                <w:sz w:val="19"/>
              </w:rPr>
              <w:t>輸出檔案</w:t>
            </w:r>
          </w:p>
        </w:tc>
        <w:tc>
          <w:tcPr>
            <w:tcW w:type="dxa" w:w="2592"/>
            <w:vAlign w:val="center"/>
          </w:tcPr>
          <w:p>
            <w:pPr>
              <w:jc w:val="center"/>
            </w:pPr>
            <w:r/>
            <w:r>
              <w:rPr>
                <w:sz w:val="19"/>
              </w:rPr>
              <w:t>sacf_final.pt（~1.7 GB）</w:t>
            </w:r>
          </w:p>
        </w:tc>
        <w:tc>
          <w:tcPr>
            <w:tcW w:type="dxa" w:w="3456"/>
            <w:vAlign w:val="center"/>
          </w:tcPr>
          <w:p>
            <w:pPr>
              <w:jc w:val="center"/>
            </w:pPr>
            <w:r/>
            <w:r>
              <w:rPr>
                <w:sz w:val="19"/>
              </w:rPr>
              <w:t>單一 state_dict</w:t>
            </w:r>
          </w:p>
        </w:tc>
      </w:tr>
      <w:tr>
        <w:tc>
          <w:tcPr>
            <w:tcW w:type="dxa" w:w="3456"/>
            <w:vAlign w:val="center"/>
          </w:tcPr>
          <w:p>
            <w:pPr>
              <w:jc w:val="center"/>
            </w:pPr>
            <w:r/>
            <w:r>
              <w:rPr>
                <w:sz w:val="19"/>
              </w:rPr>
              <w:t>推斷後處理</w:t>
            </w:r>
          </w:p>
        </w:tc>
        <w:tc>
          <w:tcPr>
            <w:tcW w:type="dxa" w:w="2592"/>
            <w:vAlign w:val="center"/>
          </w:tcPr>
          <w:p>
            <w:pPr>
              <w:jc w:val="center"/>
            </w:pPr>
            <w:r/>
            <w:r>
              <w:rPr>
                <w:sz w:val="19"/>
              </w:rPr>
              <w:t>無（直接 argmax）</w:t>
            </w:r>
          </w:p>
        </w:tc>
        <w:tc>
          <w:tcPr>
            <w:tcW w:type="dxa" w:w="3456"/>
            <w:vAlign w:val="center"/>
          </w:tcPr>
          <w:p>
            <w:pPr>
              <w:jc w:val="center"/>
            </w:pPr>
            <w:r/>
            <w:r>
              <w:rPr>
                <w:sz w:val="19"/>
              </w:rPr>
              <w:t>符合無條件定義</w:t>
            </w:r>
          </w:p>
        </w:tc>
      </w:tr>
      <w:tr>
        <w:tc>
          <w:tcPr>
            <w:tcW w:type="dxa" w:w="3456"/>
            <w:vAlign w:val="center"/>
          </w:tcPr>
          <w:p>
            <w:pPr>
              <w:jc w:val="center"/>
            </w:pPr>
            <w:r/>
            <w:r>
              <w:rPr>
                <w:sz w:val="19"/>
              </w:rPr>
              <w:t>硬體</w:t>
            </w:r>
          </w:p>
        </w:tc>
        <w:tc>
          <w:tcPr>
            <w:tcW w:type="dxa" w:w="2592"/>
            <w:vAlign w:val="center"/>
          </w:tcPr>
          <w:p>
            <w:pPr>
              <w:jc w:val="center"/>
            </w:pPr>
            <w:r/>
            <w:r>
              <w:rPr>
                <w:sz w:val="19"/>
              </w:rPr>
              <w:t>NVIDIA RTX PRO 6000 Blackwell (96 GB)</w:t>
            </w:r>
          </w:p>
        </w:tc>
        <w:tc>
          <w:tcPr>
            <w:tcW w:type="dxa" w:w="3456"/>
            <w:vAlign w:val="center"/>
          </w:tcPr>
          <w:p>
            <w:pPr>
              <w:jc w:val="center"/>
            </w:pPr>
            <w:r/>
            <w:r>
              <w:rPr>
                <w:sz w:val="19"/>
              </w:rPr>
              <w:t>AMP 混合精度訓練</w:t>
            </w:r>
          </w:p>
        </w:tc>
      </w:tr>
    </w:tbl>
    <w:p>
      <w:pPr>
        <w:spacing w:after="160"/>
      </w:pPr>
    </w:p>
    <w:sectPr w:rsidR="00FC693F" w:rsidRPr="0006063C" w:rsidSect="00034616">
      <w:pgSz w:w="12240" w:h="15840"/>
      <w:pgMar w:top="1417" w:right="1361" w:bottom="141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